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5245" w14:textId="2C638AD4" w:rsidR="00225475" w:rsidRDefault="002B2932">
      <w:pPr>
        <w:ind w:firstLine="0"/>
        <w:jc w:val="center"/>
        <w:rPr>
          <w:b/>
          <w:color w:val="008000"/>
          <w:sz w:val="52"/>
          <w:szCs w:val="52"/>
        </w:rPr>
      </w:pPr>
      <w:r w:rsidRPr="0077048E">
        <w:rPr>
          <w:b/>
          <w:noProof/>
          <w:color w:val="008000"/>
          <w:sz w:val="52"/>
          <w:szCs w:val="52"/>
        </w:rPr>
        <w:drawing>
          <wp:inline distT="0" distB="0" distL="0" distR="0" wp14:anchorId="01D1A549" wp14:editId="62BE92D2">
            <wp:extent cx="2257425" cy="838200"/>
            <wp:effectExtent l="0" t="0" r="9525" b="0"/>
            <wp:docPr id="3" name="Obraz 3" descr="k_PT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_PT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838200"/>
                    </a:xfrm>
                    <a:prstGeom prst="rect">
                      <a:avLst/>
                    </a:prstGeom>
                    <a:noFill/>
                    <a:ln>
                      <a:noFill/>
                    </a:ln>
                  </pic:spPr>
                </pic:pic>
              </a:graphicData>
            </a:graphic>
          </wp:inline>
        </w:drawing>
      </w:r>
    </w:p>
    <w:p w14:paraId="58DA1248" w14:textId="32BFD73E" w:rsidR="00F845EB" w:rsidRDefault="00F845EB">
      <w:pPr>
        <w:ind w:firstLine="0"/>
        <w:jc w:val="center"/>
        <w:rPr>
          <w:b/>
          <w:color w:val="008000"/>
          <w:sz w:val="52"/>
          <w:szCs w:val="52"/>
        </w:rPr>
      </w:pPr>
    </w:p>
    <w:p w14:paraId="04B1358D" w14:textId="77777777" w:rsidR="006C227A" w:rsidRDefault="006C227A">
      <w:pPr>
        <w:ind w:firstLine="0"/>
        <w:jc w:val="center"/>
        <w:rPr>
          <w:b/>
          <w:color w:val="008000"/>
          <w:sz w:val="52"/>
          <w:szCs w:val="52"/>
        </w:rPr>
      </w:pPr>
      <w:bookmarkStart w:id="0" w:name="_Hlk90030495"/>
    </w:p>
    <w:p w14:paraId="24EEF969" w14:textId="77777777" w:rsidR="00070E17" w:rsidRDefault="006C227A" w:rsidP="00070E17">
      <w:pPr>
        <w:ind w:firstLine="0"/>
        <w:jc w:val="center"/>
        <w:rPr>
          <w:b/>
          <w:sz w:val="26"/>
          <w:szCs w:val="26"/>
        </w:rPr>
      </w:pPr>
      <w:bookmarkStart w:id="1" w:name="_Hlk73011217"/>
      <w:r w:rsidRPr="00821AF6">
        <w:rPr>
          <w:b/>
          <w:sz w:val="52"/>
          <w:szCs w:val="52"/>
        </w:rPr>
        <w:t xml:space="preserve">ANALIZA KOSZTÓW I KORZYŚCI </w:t>
      </w:r>
      <w:r w:rsidR="006B572E" w:rsidRPr="00070E17">
        <w:rPr>
          <w:b/>
          <w:sz w:val="26"/>
          <w:szCs w:val="26"/>
        </w:rPr>
        <w:t>ZWIĄZANYCH Z WYKORZYSTANIEM</w:t>
      </w:r>
      <w:r w:rsidR="00070E17">
        <w:rPr>
          <w:b/>
          <w:sz w:val="26"/>
          <w:szCs w:val="26"/>
        </w:rPr>
        <w:t xml:space="preserve"> </w:t>
      </w:r>
      <w:r w:rsidR="006B572E" w:rsidRPr="00070E17">
        <w:rPr>
          <w:b/>
          <w:sz w:val="26"/>
          <w:szCs w:val="26"/>
        </w:rPr>
        <w:t>PRZY ŚWIADCZENIU USŁUG</w:t>
      </w:r>
    </w:p>
    <w:p w14:paraId="001931BF" w14:textId="77777777" w:rsidR="00070E17" w:rsidRDefault="006B572E" w:rsidP="00070E17">
      <w:pPr>
        <w:ind w:firstLine="0"/>
        <w:jc w:val="center"/>
        <w:rPr>
          <w:b/>
          <w:sz w:val="26"/>
          <w:szCs w:val="26"/>
        </w:rPr>
      </w:pPr>
      <w:r w:rsidRPr="00070E17">
        <w:rPr>
          <w:b/>
          <w:sz w:val="26"/>
          <w:szCs w:val="26"/>
        </w:rPr>
        <w:t>KOMUNIKACJI MIEJSKIEJ</w:t>
      </w:r>
      <w:r w:rsidR="00070E17">
        <w:rPr>
          <w:b/>
          <w:sz w:val="26"/>
          <w:szCs w:val="26"/>
        </w:rPr>
        <w:t xml:space="preserve"> </w:t>
      </w:r>
      <w:r w:rsidR="001C6BD7" w:rsidRPr="00070E17">
        <w:rPr>
          <w:b/>
          <w:sz w:val="26"/>
          <w:szCs w:val="26"/>
        </w:rPr>
        <w:t>AUTOBUSÓW</w:t>
      </w:r>
      <w:r w:rsidR="006C227A" w:rsidRPr="00070E17">
        <w:rPr>
          <w:b/>
          <w:sz w:val="26"/>
          <w:szCs w:val="26"/>
        </w:rPr>
        <w:t xml:space="preserve"> ZEROEMISYJNYCH</w:t>
      </w:r>
    </w:p>
    <w:p w14:paraId="70A1C2A4" w14:textId="224E7447" w:rsidR="00070E17" w:rsidRPr="00070E17" w:rsidRDefault="00070E17" w:rsidP="00070E17">
      <w:pPr>
        <w:ind w:firstLine="0"/>
        <w:jc w:val="center"/>
        <w:rPr>
          <w:b/>
          <w:sz w:val="26"/>
          <w:szCs w:val="26"/>
        </w:rPr>
      </w:pPr>
      <w:r w:rsidRPr="00070E17">
        <w:rPr>
          <w:b/>
          <w:sz w:val="26"/>
          <w:szCs w:val="26"/>
        </w:rPr>
        <w:t>ORAZ INNYCH ŚRODKÓW TRANSPORTU, W KTÓRYCH DO NAPĘDU WYKORZYSTYWANE</w:t>
      </w:r>
      <w:r>
        <w:rPr>
          <w:b/>
          <w:sz w:val="26"/>
          <w:szCs w:val="26"/>
        </w:rPr>
        <w:t xml:space="preserve"> </w:t>
      </w:r>
      <w:r w:rsidRPr="00070E17">
        <w:rPr>
          <w:b/>
          <w:sz w:val="26"/>
          <w:szCs w:val="26"/>
        </w:rPr>
        <w:t>SĄ WYŁĄCZNIE SILNIKI, KTÓRYCH CYKL PRACY</w:t>
      </w:r>
      <w:r w:rsidRPr="00070E17">
        <w:rPr>
          <w:b/>
          <w:sz w:val="26"/>
          <w:szCs w:val="26"/>
        </w:rPr>
        <w:br/>
        <w:t>NIE POWODUJE EMISJI GAZÓW CIEPLARNIANYCH LUB INNYCH SUBSTANCJI OBJĘTYCH SYSTEMEM ZARZĄDZANIA</w:t>
      </w:r>
      <w:r w:rsidRPr="00070E17">
        <w:rPr>
          <w:b/>
          <w:sz w:val="26"/>
          <w:szCs w:val="26"/>
        </w:rPr>
        <w:br/>
        <w:t>EMISJAMI GAZÓW CIEPLARNIANYCH</w:t>
      </w:r>
    </w:p>
    <w:bookmarkEnd w:id="1"/>
    <w:p w14:paraId="51E9A3BA" w14:textId="1C561626" w:rsidR="006B572E" w:rsidRDefault="00176AD7" w:rsidP="006B572E">
      <w:pPr>
        <w:ind w:firstLine="0"/>
        <w:jc w:val="center"/>
        <w:rPr>
          <w:b/>
          <w:color w:val="000000" w:themeColor="text1"/>
          <w:sz w:val="48"/>
          <w:szCs w:val="48"/>
        </w:rPr>
      </w:pPr>
      <w:r>
        <w:rPr>
          <w:b/>
          <w:color w:val="000000" w:themeColor="text1"/>
          <w:sz w:val="48"/>
          <w:szCs w:val="48"/>
        </w:rPr>
        <w:t xml:space="preserve">DLA </w:t>
      </w:r>
      <w:r w:rsidR="00B41667">
        <w:rPr>
          <w:b/>
          <w:color w:val="000000" w:themeColor="text1"/>
          <w:sz w:val="48"/>
          <w:szCs w:val="48"/>
        </w:rPr>
        <w:t>MIASTA</w:t>
      </w:r>
      <w:r w:rsidR="006B572E">
        <w:rPr>
          <w:b/>
          <w:color w:val="000000" w:themeColor="text1"/>
          <w:sz w:val="48"/>
          <w:szCs w:val="48"/>
        </w:rPr>
        <w:t xml:space="preserve"> </w:t>
      </w:r>
      <w:r w:rsidR="00B5326D">
        <w:rPr>
          <w:b/>
          <w:color w:val="000000" w:themeColor="text1"/>
          <w:sz w:val="48"/>
          <w:szCs w:val="48"/>
        </w:rPr>
        <w:t>RZESZOWA</w:t>
      </w:r>
    </w:p>
    <w:p w14:paraId="00B6CA49" w14:textId="1D982547" w:rsidR="00956571" w:rsidRPr="006B572E" w:rsidRDefault="000D3943">
      <w:pPr>
        <w:ind w:firstLine="0"/>
        <w:jc w:val="center"/>
        <w:rPr>
          <w:color w:val="FF0000"/>
        </w:rPr>
      </w:pPr>
      <w:r>
        <w:rPr>
          <w:color w:val="FF0000"/>
        </w:rPr>
        <w:t xml:space="preserve">Wersja z dnia </w:t>
      </w:r>
      <w:r w:rsidR="00327703">
        <w:rPr>
          <w:color w:val="FF0000"/>
        </w:rPr>
        <w:t>10</w:t>
      </w:r>
      <w:r w:rsidR="009E528B">
        <w:rPr>
          <w:color w:val="FF0000"/>
        </w:rPr>
        <w:t>.12.</w:t>
      </w:r>
      <w:r w:rsidR="00B07A6B">
        <w:rPr>
          <w:color w:val="FF0000"/>
        </w:rPr>
        <w:t>2021 r.</w:t>
      </w:r>
    </w:p>
    <w:p w14:paraId="4227D98D" w14:textId="77777777" w:rsidR="00E92E04" w:rsidRPr="006B572E" w:rsidRDefault="00E92E04">
      <w:pPr>
        <w:ind w:firstLine="0"/>
        <w:jc w:val="center"/>
      </w:pPr>
    </w:p>
    <w:p w14:paraId="0DD1C8DF" w14:textId="1485772C" w:rsidR="00E92E04" w:rsidRPr="006B572E" w:rsidRDefault="00E92E04">
      <w:pPr>
        <w:ind w:firstLine="0"/>
        <w:jc w:val="center"/>
      </w:pPr>
    </w:p>
    <w:p w14:paraId="5F3984BC" w14:textId="3CA61184" w:rsidR="006C227A" w:rsidRPr="006B572E" w:rsidRDefault="006C227A">
      <w:pPr>
        <w:ind w:firstLine="0"/>
        <w:jc w:val="center"/>
      </w:pPr>
    </w:p>
    <w:p w14:paraId="47B503EF" w14:textId="77777777" w:rsidR="00DF2CF0" w:rsidRPr="006B572E" w:rsidRDefault="00DF2CF0">
      <w:pPr>
        <w:ind w:firstLine="0"/>
        <w:jc w:val="center"/>
      </w:pPr>
    </w:p>
    <w:p w14:paraId="2EE54AFB" w14:textId="36CF94AC" w:rsidR="00E92E04" w:rsidRDefault="00E92E04">
      <w:pPr>
        <w:ind w:firstLine="0"/>
        <w:jc w:val="center"/>
      </w:pPr>
    </w:p>
    <w:p w14:paraId="54874BE5" w14:textId="77777777" w:rsidR="00070E17" w:rsidRPr="00821AF6" w:rsidRDefault="00070E17">
      <w:pPr>
        <w:ind w:firstLine="0"/>
        <w:jc w:val="center"/>
      </w:pPr>
    </w:p>
    <w:p w14:paraId="5785E54E" w14:textId="77777777" w:rsidR="002C1766" w:rsidRPr="00821AF6" w:rsidRDefault="002C1766">
      <w:pPr>
        <w:ind w:firstLine="0"/>
        <w:jc w:val="center"/>
      </w:pPr>
    </w:p>
    <w:p w14:paraId="2D7A561A" w14:textId="2B282B2C" w:rsidR="00E92E04" w:rsidRDefault="00E92E04">
      <w:pPr>
        <w:ind w:firstLine="0"/>
        <w:jc w:val="center"/>
      </w:pPr>
    </w:p>
    <w:p w14:paraId="3F0CFB18" w14:textId="7009A5D3" w:rsidR="001B1070" w:rsidRDefault="001B1070">
      <w:pPr>
        <w:ind w:firstLine="0"/>
        <w:jc w:val="center"/>
      </w:pPr>
    </w:p>
    <w:p w14:paraId="3D2B9540" w14:textId="77777777" w:rsidR="001B1070" w:rsidRPr="00821AF6" w:rsidRDefault="001B1070">
      <w:pPr>
        <w:ind w:firstLine="0"/>
        <w:jc w:val="center"/>
      </w:pPr>
    </w:p>
    <w:p w14:paraId="7316BE58" w14:textId="77777777" w:rsidR="00327703" w:rsidRPr="00821AF6" w:rsidRDefault="00327703">
      <w:pPr>
        <w:ind w:firstLine="0"/>
        <w:jc w:val="center"/>
      </w:pPr>
    </w:p>
    <w:p w14:paraId="2C479735" w14:textId="26CDC0E8" w:rsidR="00225475" w:rsidRPr="00821AF6" w:rsidRDefault="00210B4F" w:rsidP="00070E17">
      <w:pPr>
        <w:spacing w:before="240"/>
        <w:ind w:firstLine="0"/>
        <w:jc w:val="center"/>
        <w:sectPr w:rsidR="00225475" w:rsidRPr="00821AF6" w:rsidSect="00FB166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r w:rsidRPr="00821AF6">
        <w:t>Gdynia</w:t>
      </w:r>
      <w:r w:rsidR="00225475" w:rsidRPr="00821AF6">
        <w:t xml:space="preserve"> – </w:t>
      </w:r>
      <w:r w:rsidR="00B5326D">
        <w:t>Rzeszów</w:t>
      </w:r>
      <w:r w:rsidR="00EF580F" w:rsidRPr="00821AF6">
        <w:t>,</w:t>
      </w:r>
      <w:r w:rsidR="005D6049" w:rsidRPr="00821AF6">
        <w:t xml:space="preserve"> </w:t>
      </w:r>
      <w:r w:rsidR="00B07A6B">
        <w:t xml:space="preserve">październik </w:t>
      </w:r>
      <w:r w:rsidR="00B5326D">
        <w:t xml:space="preserve">– grudzień </w:t>
      </w:r>
      <w:r w:rsidR="001F3F98" w:rsidRPr="00821AF6">
        <w:t>2</w:t>
      </w:r>
      <w:r w:rsidR="00225475" w:rsidRPr="00821AF6">
        <w:t>0</w:t>
      </w:r>
      <w:r w:rsidR="006F63CA" w:rsidRPr="00821AF6">
        <w:t>21</w:t>
      </w:r>
      <w:r w:rsidR="00225475" w:rsidRPr="00821AF6">
        <w:t xml:space="preserve"> r.</w:t>
      </w:r>
    </w:p>
    <w:p w14:paraId="51809635" w14:textId="77777777" w:rsidR="00225475" w:rsidRPr="00821AF6" w:rsidRDefault="00225475">
      <w:pPr>
        <w:ind w:firstLine="0"/>
        <w:jc w:val="center"/>
        <w:rPr>
          <w:b/>
          <w:sz w:val="28"/>
          <w:szCs w:val="28"/>
        </w:rPr>
      </w:pPr>
      <w:bookmarkStart w:id="2" w:name="_Toc34664205"/>
      <w:bookmarkStart w:id="3" w:name="_Toc65220756"/>
      <w:bookmarkEnd w:id="0"/>
      <w:r w:rsidRPr="00821AF6">
        <w:rPr>
          <w:b/>
          <w:sz w:val="28"/>
          <w:szCs w:val="28"/>
        </w:rPr>
        <w:lastRenderedPageBreak/>
        <w:t>Spis treści</w:t>
      </w:r>
      <w:bookmarkEnd w:id="2"/>
      <w:bookmarkEnd w:id="3"/>
    </w:p>
    <w:p w14:paraId="450C44C1" w14:textId="67F8B203" w:rsidR="00004EEC" w:rsidRDefault="00B60ABE">
      <w:pPr>
        <w:pStyle w:val="Spistreci1"/>
        <w:rPr>
          <w:rFonts w:asciiTheme="minorHAnsi" w:eastAsiaTheme="minorEastAsia" w:hAnsiTheme="minorHAnsi" w:cstheme="minorBidi"/>
          <w:noProof/>
          <w:szCs w:val="22"/>
        </w:rPr>
      </w:pPr>
      <w:r w:rsidRPr="00821AF6">
        <w:rPr>
          <w:color w:val="FF0000"/>
        </w:rPr>
        <w:fldChar w:fldCharType="begin"/>
      </w:r>
      <w:r w:rsidR="00C765E2" w:rsidRPr="00821AF6">
        <w:rPr>
          <w:color w:val="FF0000"/>
        </w:rPr>
        <w:instrText xml:space="preserve"> TOC \o "1-2" \h \z \u </w:instrText>
      </w:r>
      <w:r w:rsidRPr="00821AF6">
        <w:rPr>
          <w:color w:val="FF0000"/>
        </w:rPr>
        <w:fldChar w:fldCharType="separate"/>
      </w:r>
      <w:hyperlink w:anchor="_Toc89417661" w:history="1">
        <w:r w:rsidR="00004EEC" w:rsidRPr="003B5A8D">
          <w:rPr>
            <w:rStyle w:val="Hipercze"/>
            <w:rFonts w:cs="Tahoma"/>
            <w:noProof/>
          </w:rPr>
          <w:t>1.</w:t>
        </w:r>
        <w:r w:rsidR="00004EEC">
          <w:rPr>
            <w:rFonts w:asciiTheme="minorHAnsi" w:eastAsiaTheme="minorEastAsia" w:hAnsiTheme="minorHAnsi" w:cstheme="minorBidi"/>
            <w:noProof/>
            <w:szCs w:val="22"/>
          </w:rPr>
          <w:tab/>
        </w:r>
        <w:r w:rsidR="00004EEC" w:rsidRPr="003B5A8D">
          <w:rPr>
            <w:rStyle w:val="Hipercze"/>
            <w:rFonts w:cs="Tahoma"/>
            <w:noProof/>
          </w:rPr>
          <w:t>Wstęp</w:t>
        </w:r>
        <w:r w:rsidR="00004EEC">
          <w:rPr>
            <w:noProof/>
            <w:webHidden/>
          </w:rPr>
          <w:tab/>
        </w:r>
        <w:r w:rsidR="00004EEC">
          <w:rPr>
            <w:noProof/>
            <w:webHidden/>
          </w:rPr>
          <w:fldChar w:fldCharType="begin"/>
        </w:r>
        <w:r w:rsidR="00004EEC">
          <w:rPr>
            <w:noProof/>
            <w:webHidden/>
          </w:rPr>
          <w:instrText xml:space="preserve"> PAGEREF _Toc89417661 \h </w:instrText>
        </w:r>
        <w:r w:rsidR="00004EEC">
          <w:rPr>
            <w:noProof/>
            <w:webHidden/>
          </w:rPr>
        </w:r>
        <w:r w:rsidR="00004EEC">
          <w:rPr>
            <w:noProof/>
            <w:webHidden/>
          </w:rPr>
          <w:fldChar w:fldCharType="separate"/>
        </w:r>
        <w:r w:rsidR="004605BC">
          <w:rPr>
            <w:noProof/>
            <w:webHidden/>
          </w:rPr>
          <w:t>3</w:t>
        </w:r>
        <w:r w:rsidR="00004EEC">
          <w:rPr>
            <w:noProof/>
            <w:webHidden/>
          </w:rPr>
          <w:fldChar w:fldCharType="end"/>
        </w:r>
      </w:hyperlink>
    </w:p>
    <w:p w14:paraId="02B672EA" w14:textId="340FAE83" w:rsidR="00004EEC" w:rsidRDefault="00D40C53">
      <w:pPr>
        <w:pStyle w:val="Spistreci1"/>
        <w:rPr>
          <w:rFonts w:asciiTheme="minorHAnsi" w:eastAsiaTheme="minorEastAsia" w:hAnsiTheme="minorHAnsi" w:cstheme="minorBidi"/>
          <w:noProof/>
          <w:szCs w:val="22"/>
        </w:rPr>
      </w:pPr>
      <w:hyperlink w:anchor="_Toc89417662" w:history="1">
        <w:r w:rsidR="00004EEC" w:rsidRPr="003B5A8D">
          <w:rPr>
            <w:rStyle w:val="Hipercze"/>
            <w:rFonts w:cs="Tahoma"/>
            <w:noProof/>
          </w:rPr>
          <w:t>2.</w:t>
        </w:r>
        <w:r w:rsidR="00004EEC">
          <w:rPr>
            <w:rFonts w:asciiTheme="minorHAnsi" w:eastAsiaTheme="minorEastAsia" w:hAnsiTheme="minorHAnsi" w:cstheme="minorBidi"/>
            <w:noProof/>
            <w:szCs w:val="22"/>
          </w:rPr>
          <w:tab/>
        </w:r>
        <w:r w:rsidR="00004EEC" w:rsidRPr="003B5A8D">
          <w:rPr>
            <w:rStyle w:val="Hipercze"/>
            <w:rFonts w:cs="Tahoma"/>
            <w:noProof/>
          </w:rPr>
          <w:t>Zakres i podstawy prawne opracowania oraz zastosowane definicje i określenia</w:t>
        </w:r>
        <w:r w:rsidR="00004EEC">
          <w:rPr>
            <w:noProof/>
            <w:webHidden/>
          </w:rPr>
          <w:tab/>
        </w:r>
        <w:r w:rsidR="00004EEC">
          <w:rPr>
            <w:noProof/>
            <w:webHidden/>
          </w:rPr>
          <w:fldChar w:fldCharType="begin"/>
        </w:r>
        <w:r w:rsidR="00004EEC">
          <w:rPr>
            <w:noProof/>
            <w:webHidden/>
          </w:rPr>
          <w:instrText xml:space="preserve"> PAGEREF _Toc89417662 \h </w:instrText>
        </w:r>
        <w:r w:rsidR="00004EEC">
          <w:rPr>
            <w:noProof/>
            <w:webHidden/>
          </w:rPr>
        </w:r>
        <w:r w:rsidR="00004EEC">
          <w:rPr>
            <w:noProof/>
            <w:webHidden/>
          </w:rPr>
          <w:fldChar w:fldCharType="separate"/>
        </w:r>
        <w:r w:rsidR="004605BC">
          <w:rPr>
            <w:noProof/>
            <w:webHidden/>
          </w:rPr>
          <w:t>7</w:t>
        </w:r>
        <w:r w:rsidR="00004EEC">
          <w:rPr>
            <w:noProof/>
            <w:webHidden/>
          </w:rPr>
          <w:fldChar w:fldCharType="end"/>
        </w:r>
      </w:hyperlink>
    </w:p>
    <w:p w14:paraId="2C632378" w14:textId="0B42998C" w:rsidR="00004EEC" w:rsidRDefault="00D40C53">
      <w:pPr>
        <w:pStyle w:val="Spistreci2"/>
        <w:rPr>
          <w:rFonts w:asciiTheme="minorHAnsi" w:eastAsiaTheme="minorEastAsia" w:hAnsiTheme="minorHAnsi" w:cstheme="minorBidi"/>
          <w:noProof/>
          <w:szCs w:val="22"/>
        </w:rPr>
      </w:pPr>
      <w:hyperlink w:anchor="_Toc89417663" w:history="1">
        <w:r w:rsidR="00004EEC" w:rsidRPr="003B5A8D">
          <w:rPr>
            <w:rStyle w:val="Hipercze"/>
            <w:noProof/>
          </w:rPr>
          <w:t>2.1.</w:t>
        </w:r>
        <w:r w:rsidR="00004EEC">
          <w:rPr>
            <w:rFonts w:asciiTheme="minorHAnsi" w:eastAsiaTheme="minorEastAsia" w:hAnsiTheme="minorHAnsi" w:cstheme="minorBidi"/>
            <w:noProof/>
            <w:szCs w:val="22"/>
          </w:rPr>
          <w:tab/>
        </w:r>
        <w:r w:rsidR="00004EEC" w:rsidRPr="003B5A8D">
          <w:rPr>
            <w:rStyle w:val="Hipercze"/>
            <w:noProof/>
          </w:rPr>
          <w:t>Struktura analizy i dokumenty źródłowe</w:t>
        </w:r>
        <w:r w:rsidR="00004EEC">
          <w:rPr>
            <w:noProof/>
            <w:webHidden/>
          </w:rPr>
          <w:tab/>
        </w:r>
        <w:r w:rsidR="00004EEC">
          <w:rPr>
            <w:noProof/>
            <w:webHidden/>
          </w:rPr>
          <w:fldChar w:fldCharType="begin"/>
        </w:r>
        <w:r w:rsidR="00004EEC">
          <w:rPr>
            <w:noProof/>
            <w:webHidden/>
          </w:rPr>
          <w:instrText xml:space="preserve"> PAGEREF _Toc89417663 \h </w:instrText>
        </w:r>
        <w:r w:rsidR="00004EEC">
          <w:rPr>
            <w:noProof/>
            <w:webHidden/>
          </w:rPr>
        </w:r>
        <w:r w:rsidR="00004EEC">
          <w:rPr>
            <w:noProof/>
            <w:webHidden/>
          </w:rPr>
          <w:fldChar w:fldCharType="separate"/>
        </w:r>
        <w:r w:rsidR="004605BC">
          <w:rPr>
            <w:noProof/>
            <w:webHidden/>
          </w:rPr>
          <w:t>7</w:t>
        </w:r>
        <w:r w:rsidR="00004EEC">
          <w:rPr>
            <w:noProof/>
            <w:webHidden/>
          </w:rPr>
          <w:fldChar w:fldCharType="end"/>
        </w:r>
      </w:hyperlink>
    </w:p>
    <w:p w14:paraId="72548FBB" w14:textId="1D77C24A" w:rsidR="00004EEC" w:rsidRDefault="00D40C53">
      <w:pPr>
        <w:pStyle w:val="Spistreci2"/>
        <w:rPr>
          <w:rFonts w:asciiTheme="minorHAnsi" w:eastAsiaTheme="minorEastAsia" w:hAnsiTheme="minorHAnsi" w:cstheme="minorBidi"/>
          <w:noProof/>
          <w:szCs w:val="22"/>
        </w:rPr>
      </w:pPr>
      <w:hyperlink w:anchor="_Toc89417664" w:history="1">
        <w:r w:rsidR="00004EEC" w:rsidRPr="003B5A8D">
          <w:rPr>
            <w:rStyle w:val="Hipercze"/>
            <w:noProof/>
          </w:rPr>
          <w:t>2.2.</w:t>
        </w:r>
        <w:r w:rsidR="00004EEC">
          <w:rPr>
            <w:rFonts w:asciiTheme="minorHAnsi" w:eastAsiaTheme="minorEastAsia" w:hAnsiTheme="minorHAnsi" w:cstheme="minorBidi"/>
            <w:noProof/>
            <w:szCs w:val="22"/>
          </w:rPr>
          <w:tab/>
        </w:r>
        <w:r w:rsidR="00004EEC" w:rsidRPr="003B5A8D">
          <w:rPr>
            <w:rStyle w:val="Hipercze"/>
            <w:noProof/>
          </w:rPr>
          <w:t>Definicje i określenia</w:t>
        </w:r>
        <w:r w:rsidR="00004EEC">
          <w:rPr>
            <w:noProof/>
            <w:webHidden/>
          </w:rPr>
          <w:tab/>
        </w:r>
        <w:r w:rsidR="00004EEC">
          <w:rPr>
            <w:noProof/>
            <w:webHidden/>
          </w:rPr>
          <w:fldChar w:fldCharType="begin"/>
        </w:r>
        <w:r w:rsidR="00004EEC">
          <w:rPr>
            <w:noProof/>
            <w:webHidden/>
          </w:rPr>
          <w:instrText xml:space="preserve"> PAGEREF _Toc89417664 \h </w:instrText>
        </w:r>
        <w:r w:rsidR="00004EEC">
          <w:rPr>
            <w:noProof/>
            <w:webHidden/>
          </w:rPr>
        </w:r>
        <w:r w:rsidR="00004EEC">
          <w:rPr>
            <w:noProof/>
            <w:webHidden/>
          </w:rPr>
          <w:fldChar w:fldCharType="separate"/>
        </w:r>
        <w:r w:rsidR="004605BC">
          <w:rPr>
            <w:noProof/>
            <w:webHidden/>
          </w:rPr>
          <w:t>8</w:t>
        </w:r>
        <w:r w:rsidR="00004EEC">
          <w:rPr>
            <w:noProof/>
            <w:webHidden/>
          </w:rPr>
          <w:fldChar w:fldCharType="end"/>
        </w:r>
      </w:hyperlink>
    </w:p>
    <w:p w14:paraId="311AE14F" w14:textId="49468933" w:rsidR="00004EEC" w:rsidRDefault="00D40C53">
      <w:pPr>
        <w:pStyle w:val="Spistreci1"/>
        <w:rPr>
          <w:rFonts w:asciiTheme="minorHAnsi" w:eastAsiaTheme="minorEastAsia" w:hAnsiTheme="minorHAnsi" w:cstheme="minorBidi"/>
          <w:noProof/>
          <w:szCs w:val="22"/>
        </w:rPr>
      </w:pPr>
      <w:hyperlink w:anchor="_Toc89417665" w:history="1">
        <w:r w:rsidR="00004EEC" w:rsidRPr="003B5A8D">
          <w:rPr>
            <w:rStyle w:val="Hipercze"/>
            <w:noProof/>
          </w:rPr>
          <w:t>3.</w:t>
        </w:r>
        <w:r w:rsidR="00004EEC">
          <w:rPr>
            <w:rFonts w:asciiTheme="minorHAnsi" w:eastAsiaTheme="minorEastAsia" w:hAnsiTheme="minorHAnsi" w:cstheme="minorBidi"/>
            <w:noProof/>
            <w:szCs w:val="22"/>
          </w:rPr>
          <w:tab/>
        </w:r>
        <w:r w:rsidR="00004EEC" w:rsidRPr="003B5A8D">
          <w:rPr>
            <w:rStyle w:val="Hipercze"/>
            <w:noProof/>
          </w:rPr>
          <w:t>Podstawy opracowania analizy kosztów i korzyści</w:t>
        </w:r>
        <w:r w:rsidR="00004EEC">
          <w:rPr>
            <w:noProof/>
            <w:webHidden/>
          </w:rPr>
          <w:tab/>
        </w:r>
        <w:r w:rsidR="00004EEC">
          <w:rPr>
            <w:noProof/>
            <w:webHidden/>
          </w:rPr>
          <w:fldChar w:fldCharType="begin"/>
        </w:r>
        <w:r w:rsidR="00004EEC">
          <w:rPr>
            <w:noProof/>
            <w:webHidden/>
          </w:rPr>
          <w:instrText xml:space="preserve"> PAGEREF _Toc89417665 \h </w:instrText>
        </w:r>
        <w:r w:rsidR="00004EEC">
          <w:rPr>
            <w:noProof/>
            <w:webHidden/>
          </w:rPr>
        </w:r>
        <w:r w:rsidR="00004EEC">
          <w:rPr>
            <w:noProof/>
            <w:webHidden/>
          </w:rPr>
          <w:fldChar w:fldCharType="separate"/>
        </w:r>
        <w:r w:rsidR="004605BC">
          <w:rPr>
            <w:noProof/>
            <w:webHidden/>
          </w:rPr>
          <w:t>12</w:t>
        </w:r>
        <w:r w:rsidR="00004EEC">
          <w:rPr>
            <w:noProof/>
            <w:webHidden/>
          </w:rPr>
          <w:fldChar w:fldCharType="end"/>
        </w:r>
      </w:hyperlink>
    </w:p>
    <w:p w14:paraId="6F426E96" w14:textId="51BB3CCF" w:rsidR="00004EEC" w:rsidRDefault="00D40C53">
      <w:pPr>
        <w:pStyle w:val="Spistreci1"/>
        <w:rPr>
          <w:rFonts w:asciiTheme="minorHAnsi" w:eastAsiaTheme="minorEastAsia" w:hAnsiTheme="minorHAnsi" w:cstheme="minorBidi"/>
          <w:noProof/>
          <w:szCs w:val="22"/>
        </w:rPr>
      </w:pPr>
      <w:hyperlink w:anchor="_Toc89417666" w:history="1">
        <w:r w:rsidR="00004EEC" w:rsidRPr="003B5A8D">
          <w:rPr>
            <w:rStyle w:val="Hipercze"/>
            <w:noProof/>
          </w:rPr>
          <w:t>4.</w:t>
        </w:r>
        <w:r w:rsidR="00004EEC">
          <w:rPr>
            <w:rFonts w:asciiTheme="minorHAnsi" w:eastAsiaTheme="minorEastAsia" w:hAnsiTheme="minorHAnsi" w:cstheme="minorBidi"/>
            <w:noProof/>
            <w:szCs w:val="22"/>
          </w:rPr>
          <w:tab/>
        </w:r>
        <w:r w:rsidR="00004EEC" w:rsidRPr="003B5A8D">
          <w:rPr>
            <w:rStyle w:val="Hipercze"/>
            <w:noProof/>
          </w:rPr>
          <w:t>Charakterystyka Rzeszowa i rzeszowskiej komunikacji miejskiej</w:t>
        </w:r>
        <w:r w:rsidR="00004EEC">
          <w:rPr>
            <w:noProof/>
            <w:webHidden/>
          </w:rPr>
          <w:tab/>
        </w:r>
        <w:r w:rsidR="00004EEC">
          <w:rPr>
            <w:noProof/>
            <w:webHidden/>
          </w:rPr>
          <w:fldChar w:fldCharType="begin"/>
        </w:r>
        <w:r w:rsidR="00004EEC">
          <w:rPr>
            <w:noProof/>
            <w:webHidden/>
          </w:rPr>
          <w:instrText xml:space="preserve"> PAGEREF _Toc89417666 \h </w:instrText>
        </w:r>
        <w:r w:rsidR="00004EEC">
          <w:rPr>
            <w:noProof/>
            <w:webHidden/>
          </w:rPr>
        </w:r>
        <w:r w:rsidR="00004EEC">
          <w:rPr>
            <w:noProof/>
            <w:webHidden/>
          </w:rPr>
          <w:fldChar w:fldCharType="separate"/>
        </w:r>
        <w:r w:rsidR="004605BC">
          <w:rPr>
            <w:noProof/>
            <w:webHidden/>
          </w:rPr>
          <w:t>19</w:t>
        </w:r>
        <w:r w:rsidR="00004EEC">
          <w:rPr>
            <w:noProof/>
            <w:webHidden/>
          </w:rPr>
          <w:fldChar w:fldCharType="end"/>
        </w:r>
      </w:hyperlink>
    </w:p>
    <w:p w14:paraId="629956FE" w14:textId="26E261C4" w:rsidR="00004EEC" w:rsidRDefault="00D40C53">
      <w:pPr>
        <w:pStyle w:val="Spistreci1"/>
        <w:rPr>
          <w:rFonts w:asciiTheme="minorHAnsi" w:eastAsiaTheme="minorEastAsia" w:hAnsiTheme="minorHAnsi" w:cstheme="minorBidi"/>
          <w:noProof/>
          <w:szCs w:val="22"/>
        </w:rPr>
      </w:pPr>
      <w:hyperlink w:anchor="_Toc89417667" w:history="1">
        <w:r w:rsidR="00004EEC" w:rsidRPr="003B5A8D">
          <w:rPr>
            <w:rStyle w:val="Hipercze"/>
            <w:noProof/>
          </w:rPr>
          <w:t>5.</w:t>
        </w:r>
        <w:r w:rsidR="00004EEC">
          <w:rPr>
            <w:rFonts w:asciiTheme="minorHAnsi" w:eastAsiaTheme="minorEastAsia" w:hAnsiTheme="minorHAnsi" w:cstheme="minorBidi"/>
            <w:noProof/>
            <w:szCs w:val="22"/>
          </w:rPr>
          <w:tab/>
        </w:r>
        <w:r w:rsidR="00004EEC" w:rsidRPr="003B5A8D">
          <w:rPr>
            <w:rStyle w:val="Hipercze"/>
            <w:noProof/>
          </w:rPr>
          <w:t>Tabor rzeszowskiej komunikacji miejskiej</w:t>
        </w:r>
        <w:r w:rsidR="00004EEC">
          <w:rPr>
            <w:noProof/>
            <w:webHidden/>
          </w:rPr>
          <w:tab/>
        </w:r>
        <w:r w:rsidR="00004EEC">
          <w:rPr>
            <w:noProof/>
            <w:webHidden/>
          </w:rPr>
          <w:fldChar w:fldCharType="begin"/>
        </w:r>
        <w:r w:rsidR="00004EEC">
          <w:rPr>
            <w:noProof/>
            <w:webHidden/>
          </w:rPr>
          <w:instrText xml:space="preserve"> PAGEREF _Toc89417667 \h </w:instrText>
        </w:r>
        <w:r w:rsidR="00004EEC">
          <w:rPr>
            <w:noProof/>
            <w:webHidden/>
          </w:rPr>
        </w:r>
        <w:r w:rsidR="00004EEC">
          <w:rPr>
            <w:noProof/>
            <w:webHidden/>
          </w:rPr>
          <w:fldChar w:fldCharType="separate"/>
        </w:r>
        <w:r w:rsidR="004605BC">
          <w:rPr>
            <w:noProof/>
            <w:webHidden/>
          </w:rPr>
          <w:t>31</w:t>
        </w:r>
        <w:r w:rsidR="00004EEC">
          <w:rPr>
            <w:noProof/>
            <w:webHidden/>
          </w:rPr>
          <w:fldChar w:fldCharType="end"/>
        </w:r>
      </w:hyperlink>
    </w:p>
    <w:p w14:paraId="2FAB3AB2" w14:textId="4348176C" w:rsidR="00004EEC" w:rsidRDefault="00D40C53">
      <w:pPr>
        <w:pStyle w:val="Spistreci2"/>
        <w:rPr>
          <w:rFonts w:asciiTheme="minorHAnsi" w:eastAsiaTheme="minorEastAsia" w:hAnsiTheme="minorHAnsi" w:cstheme="minorBidi"/>
          <w:noProof/>
          <w:szCs w:val="22"/>
        </w:rPr>
      </w:pPr>
      <w:hyperlink w:anchor="_Toc89417668" w:history="1">
        <w:r w:rsidR="00004EEC" w:rsidRPr="003B5A8D">
          <w:rPr>
            <w:rStyle w:val="Hipercze"/>
            <w:noProof/>
          </w:rPr>
          <w:t>5.1.</w:t>
        </w:r>
        <w:r w:rsidR="00004EEC">
          <w:rPr>
            <w:rFonts w:asciiTheme="minorHAnsi" w:eastAsiaTheme="minorEastAsia" w:hAnsiTheme="minorHAnsi" w:cstheme="minorBidi"/>
            <w:noProof/>
            <w:szCs w:val="22"/>
          </w:rPr>
          <w:tab/>
        </w:r>
        <w:r w:rsidR="00004EEC" w:rsidRPr="003B5A8D">
          <w:rPr>
            <w:rStyle w:val="Hipercze"/>
            <w:noProof/>
          </w:rPr>
          <w:t>Aktualny stan taboru</w:t>
        </w:r>
        <w:r w:rsidR="00004EEC">
          <w:rPr>
            <w:noProof/>
            <w:webHidden/>
          </w:rPr>
          <w:tab/>
        </w:r>
        <w:r w:rsidR="00004EEC">
          <w:rPr>
            <w:noProof/>
            <w:webHidden/>
          </w:rPr>
          <w:fldChar w:fldCharType="begin"/>
        </w:r>
        <w:r w:rsidR="00004EEC">
          <w:rPr>
            <w:noProof/>
            <w:webHidden/>
          </w:rPr>
          <w:instrText xml:space="preserve"> PAGEREF _Toc89417668 \h </w:instrText>
        </w:r>
        <w:r w:rsidR="00004EEC">
          <w:rPr>
            <w:noProof/>
            <w:webHidden/>
          </w:rPr>
        </w:r>
        <w:r w:rsidR="00004EEC">
          <w:rPr>
            <w:noProof/>
            <w:webHidden/>
          </w:rPr>
          <w:fldChar w:fldCharType="separate"/>
        </w:r>
        <w:r w:rsidR="004605BC">
          <w:rPr>
            <w:noProof/>
            <w:webHidden/>
          </w:rPr>
          <w:t>31</w:t>
        </w:r>
        <w:r w:rsidR="00004EEC">
          <w:rPr>
            <w:noProof/>
            <w:webHidden/>
          </w:rPr>
          <w:fldChar w:fldCharType="end"/>
        </w:r>
      </w:hyperlink>
    </w:p>
    <w:p w14:paraId="56F79222" w14:textId="79AC5CE4" w:rsidR="00004EEC" w:rsidRDefault="00D40C53">
      <w:pPr>
        <w:pStyle w:val="Spistreci2"/>
        <w:rPr>
          <w:rFonts w:asciiTheme="minorHAnsi" w:eastAsiaTheme="minorEastAsia" w:hAnsiTheme="minorHAnsi" w:cstheme="minorBidi"/>
          <w:noProof/>
          <w:szCs w:val="22"/>
        </w:rPr>
      </w:pPr>
      <w:hyperlink w:anchor="_Toc89417669" w:history="1">
        <w:r w:rsidR="00004EEC" w:rsidRPr="003B5A8D">
          <w:rPr>
            <w:rStyle w:val="Hipercze"/>
            <w:noProof/>
          </w:rPr>
          <w:t>5.2.</w:t>
        </w:r>
        <w:r w:rsidR="00004EEC">
          <w:rPr>
            <w:rFonts w:asciiTheme="minorHAnsi" w:eastAsiaTheme="minorEastAsia" w:hAnsiTheme="minorHAnsi" w:cstheme="minorBidi"/>
            <w:noProof/>
            <w:szCs w:val="22"/>
          </w:rPr>
          <w:tab/>
        </w:r>
        <w:r w:rsidR="00004EEC" w:rsidRPr="003B5A8D">
          <w:rPr>
            <w:rStyle w:val="Hipercze"/>
            <w:noProof/>
          </w:rPr>
          <w:t>Planowane zamierzenia inwestycyjne</w:t>
        </w:r>
        <w:r w:rsidR="00004EEC">
          <w:rPr>
            <w:noProof/>
            <w:webHidden/>
          </w:rPr>
          <w:tab/>
        </w:r>
        <w:r w:rsidR="00004EEC">
          <w:rPr>
            <w:noProof/>
            <w:webHidden/>
          </w:rPr>
          <w:fldChar w:fldCharType="begin"/>
        </w:r>
        <w:r w:rsidR="00004EEC">
          <w:rPr>
            <w:noProof/>
            <w:webHidden/>
          </w:rPr>
          <w:instrText xml:space="preserve"> PAGEREF _Toc89417669 \h </w:instrText>
        </w:r>
        <w:r w:rsidR="00004EEC">
          <w:rPr>
            <w:noProof/>
            <w:webHidden/>
          </w:rPr>
        </w:r>
        <w:r w:rsidR="00004EEC">
          <w:rPr>
            <w:noProof/>
            <w:webHidden/>
          </w:rPr>
          <w:fldChar w:fldCharType="separate"/>
        </w:r>
        <w:r w:rsidR="004605BC">
          <w:rPr>
            <w:noProof/>
            <w:webHidden/>
          </w:rPr>
          <w:t>33</w:t>
        </w:r>
        <w:r w:rsidR="00004EEC">
          <w:rPr>
            <w:noProof/>
            <w:webHidden/>
          </w:rPr>
          <w:fldChar w:fldCharType="end"/>
        </w:r>
      </w:hyperlink>
    </w:p>
    <w:p w14:paraId="72AE0986" w14:textId="657A1AC1" w:rsidR="00004EEC" w:rsidRDefault="00D40C53">
      <w:pPr>
        <w:pStyle w:val="Spistreci1"/>
        <w:rPr>
          <w:rFonts w:asciiTheme="minorHAnsi" w:eastAsiaTheme="minorEastAsia" w:hAnsiTheme="minorHAnsi" w:cstheme="minorBidi"/>
          <w:noProof/>
          <w:szCs w:val="22"/>
        </w:rPr>
      </w:pPr>
      <w:hyperlink w:anchor="_Toc89417670" w:history="1">
        <w:r w:rsidR="00004EEC" w:rsidRPr="003B5A8D">
          <w:rPr>
            <w:rStyle w:val="Hipercze"/>
            <w:noProof/>
          </w:rPr>
          <w:t>6.</w:t>
        </w:r>
        <w:r w:rsidR="00004EEC">
          <w:rPr>
            <w:rFonts w:asciiTheme="minorHAnsi" w:eastAsiaTheme="minorEastAsia" w:hAnsiTheme="minorHAnsi" w:cstheme="minorBidi"/>
            <w:noProof/>
            <w:szCs w:val="22"/>
          </w:rPr>
          <w:tab/>
        </w:r>
        <w:r w:rsidR="00004EEC" w:rsidRPr="003B5A8D">
          <w:rPr>
            <w:rStyle w:val="Hipercze"/>
            <w:noProof/>
          </w:rPr>
          <w:t>Identyfikacja wariantów</w:t>
        </w:r>
        <w:r w:rsidR="00004EEC">
          <w:rPr>
            <w:noProof/>
            <w:webHidden/>
          </w:rPr>
          <w:tab/>
        </w:r>
        <w:r w:rsidR="00004EEC">
          <w:rPr>
            <w:noProof/>
            <w:webHidden/>
          </w:rPr>
          <w:fldChar w:fldCharType="begin"/>
        </w:r>
        <w:r w:rsidR="00004EEC">
          <w:rPr>
            <w:noProof/>
            <w:webHidden/>
          </w:rPr>
          <w:instrText xml:space="preserve"> PAGEREF _Toc89417670 \h </w:instrText>
        </w:r>
        <w:r w:rsidR="00004EEC">
          <w:rPr>
            <w:noProof/>
            <w:webHidden/>
          </w:rPr>
        </w:r>
        <w:r w:rsidR="00004EEC">
          <w:rPr>
            <w:noProof/>
            <w:webHidden/>
          </w:rPr>
          <w:fldChar w:fldCharType="separate"/>
        </w:r>
        <w:r w:rsidR="004605BC">
          <w:rPr>
            <w:noProof/>
            <w:webHidden/>
          </w:rPr>
          <w:t>36</w:t>
        </w:r>
        <w:r w:rsidR="00004EEC">
          <w:rPr>
            <w:noProof/>
            <w:webHidden/>
          </w:rPr>
          <w:fldChar w:fldCharType="end"/>
        </w:r>
      </w:hyperlink>
    </w:p>
    <w:p w14:paraId="19B05E75" w14:textId="6949C828" w:rsidR="00004EEC" w:rsidRDefault="00D40C53">
      <w:pPr>
        <w:pStyle w:val="Spistreci2"/>
        <w:rPr>
          <w:rFonts w:asciiTheme="minorHAnsi" w:eastAsiaTheme="minorEastAsia" w:hAnsiTheme="minorHAnsi" w:cstheme="minorBidi"/>
          <w:noProof/>
          <w:szCs w:val="22"/>
        </w:rPr>
      </w:pPr>
      <w:hyperlink w:anchor="_Toc89417671" w:history="1">
        <w:r w:rsidR="00004EEC" w:rsidRPr="003B5A8D">
          <w:rPr>
            <w:rStyle w:val="Hipercze"/>
            <w:noProof/>
          </w:rPr>
          <w:t>6.1.</w:t>
        </w:r>
        <w:r w:rsidR="00004EEC">
          <w:rPr>
            <w:rFonts w:asciiTheme="minorHAnsi" w:eastAsiaTheme="minorEastAsia" w:hAnsiTheme="minorHAnsi" w:cstheme="minorBidi"/>
            <w:noProof/>
            <w:szCs w:val="22"/>
          </w:rPr>
          <w:tab/>
        </w:r>
        <w:r w:rsidR="00004EEC" w:rsidRPr="003B5A8D">
          <w:rPr>
            <w:rStyle w:val="Hipercze"/>
            <w:noProof/>
          </w:rPr>
          <w:t>Problematyka rodzaju taboru w opracowaniach strategicznych Rzeszowa</w:t>
        </w:r>
        <w:r w:rsidR="00004EEC">
          <w:rPr>
            <w:noProof/>
            <w:webHidden/>
          </w:rPr>
          <w:tab/>
        </w:r>
        <w:r w:rsidR="00004EEC">
          <w:rPr>
            <w:noProof/>
            <w:webHidden/>
          </w:rPr>
          <w:fldChar w:fldCharType="begin"/>
        </w:r>
        <w:r w:rsidR="00004EEC">
          <w:rPr>
            <w:noProof/>
            <w:webHidden/>
          </w:rPr>
          <w:instrText xml:space="preserve"> PAGEREF _Toc89417671 \h </w:instrText>
        </w:r>
        <w:r w:rsidR="00004EEC">
          <w:rPr>
            <w:noProof/>
            <w:webHidden/>
          </w:rPr>
        </w:r>
        <w:r w:rsidR="00004EEC">
          <w:rPr>
            <w:noProof/>
            <w:webHidden/>
          </w:rPr>
          <w:fldChar w:fldCharType="separate"/>
        </w:r>
        <w:r w:rsidR="004605BC">
          <w:rPr>
            <w:noProof/>
            <w:webHidden/>
          </w:rPr>
          <w:t>36</w:t>
        </w:r>
        <w:r w:rsidR="00004EEC">
          <w:rPr>
            <w:noProof/>
            <w:webHidden/>
          </w:rPr>
          <w:fldChar w:fldCharType="end"/>
        </w:r>
      </w:hyperlink>
    </w:p>
    <w:p w14:paraId="1E245CE3" w14:textId="1D6AB6B5" w:rsidR="00004EEC" w:rsidRDefault="00D40C53">
      <w:pPr>
        <w:pStyle w:val="Spistreci2"/>
        <w:rPr>
          <w:rFonts w:asciiTheme="minorHAnsi" w:eastAsiaTheme="minorEastAsia" w:hAnsiTheme="minorHAnsi" w:cstheme="minorBidi"/>
          <w:noProof/>
          <w:szCs w:val="22"/>
        </w:rPr>
      </w:pPr>
      <w:hyperlink w:anchor="_Toc89417672" w:history="1">
        <w:r w:rsidR="00004EEC" w:rsidRPr="003B5A8D">
          <w:rPr>
            <w:rStyle w:val="Hipercze"/>
            <w:noProof/>
          </w:rPr>
          <w:t>6.2.</w:t>
        </w:r>
        <w:r w:rsidR="00004EEC">
          <w:rPr>
            <w:rFonts w:asciiTheme="minorHAnsi" w:eastAsiaTheme="minorEastAsia" w:hAnsiTheme="minorHAnsi" w:cstheme="minorBidi"/>
            <w:noProof/>
            <w:szCs w:val="22"/>
          </w:rPr>
          <w:tab/>
        </w:r>
        <w:r w:rsidR="00004EEC" w:rsidRPr="003B5A8D">
          <w:rPr>
            <w:rStyle w:val="Hipercze"/>
            <w:noProof/>
          </w:rPr>
          <w:t>Wybór rodzaju napędu</w:t>
        </w:r>
        <w:r w:rsidR="00004EEC">
          <w:rPr>
            <w:noProof/>
            <w:webHidden/>
          </w:rPr>
          <w:tab/>
        </w:r>
        <w:r w:rsidR="00004EEC">
          <w:rPr>
            <w:noProof/>
            <w:webHidden/>
          </w:rPr>
          <w:fldChar w:fldCharType="begin"/>
        </w:r>
        <w:r w:rsidR="00004EEC">
          <w:rPr>
            <w:noProof/>
            <w:webHidden/>
          </w:rPr>
          <w:instrText xml:space="preserve"> PAGEREF _Toc89417672 \h </w:instrText>
        </w:r>
        <w:r w:rsidR="00004EEC">
          <w:rPr>
            <w:noProof/>
            <w:webHidden/>
          </w:rPr>
        </w:r>
        <w:r w:rsidR="00004EEC">
          <w:rPr>
            <w:noProof/>
            <w:webHidden/>
          </w:rPr>
          <w:fldChar w:fldCharType="separate"/>
        </w:r>
        <w:r w:rsidR="004605BC">
          <w:rPr>
            <w:noProof/>
            <w:webHidden/>
          </w:rPr>
          <w:t>46</w:t>
        </w:r>
        <w:r w:rsidR="00004EEC">
          <w:rPr>
            <w:noProof/>
            <w:webHidden/>
          </w:rPr>
          <w:fldChar w:fldCharType="end"/>
        </w:r>
      </w:hyperlink>
    </w:p>
    <w:p w14:paraId="740C34A6" w14:textId="0C795C72" w:rsidR="00004EEC" w:rsidRDefault="00D40C53">
      <w:pPr>
        <w:pStyle w:val="Spistreci2"/>
        <w:rPr>
          <w:rFonts w:asciiTheme="minorHAnsi" w:eastAsiaTheme="minorEastAsia" w:hAnsiTheme="minorHAnsi" w:cstheme="minorBidi"/>
          <w:noProof/>
          <w:szCs w:val="22"/>
        </w:rPr>
      </w:pPr>
      <w:hyperlink w:anchor="_Toc89417673" w:history="1">
        <w:r w:rsidR="00004EEC" w:rsidRPr="003B5A8D">
          <w:rPr>
            <w:rStyle w:val="Hipercze"/>
            <w:noProof/>
          </w:rPr>
          <w:t>6.3.</w:t>
        </w:r>
        <w:r w:rsidR="00004EEC">
          <w:rPr>
            <w:rFonts w:asciiTheme="minorHAnsi" w:eastAsiaTheme="minorEastAsia" w:hAnsiTheme="minorHAnsi" w:cstheme="minorBidi"/>
            <w:noProof/>
            <w:szCs w:val="22"/>
          </w:rPr>
          <w:tab/>
        </w:r>
        <w:r w:rsidR="00004EEC" w:rsidRPr="003B5A8D">
          <w:rPr>
            <w:rStyle w:val="Hipercze"/>
            <w:noProof/>
          </w:rPr>
          <w:t>Rozwiązania sposobów ładowania autobusów zeroemisyjnych</w:t>
        </w:r>
        <w:r w:rsidR="00004EEC">
          <w:rPr>
            <w:noProof/>
            <w:webHidden/>
          </w:rPr>
          <w:tab/>
        </w:r>
        <w:r w:rsidR="00004EEC">
          <w:rPr>
            <w:noProof/>
            <w:webHidden/>
          </w:rPr>
          <w:fldChar w:fldCharType="begin"/>
        </w:r>
        <w:r w:rsidR="00004EEC">
          <w:rPr>
            <w:noProof/>
            <w:webHidden/>
          </w:rPr>
          <w:instrText xml:space="preserve"> PAGEREF _Toc89417673 \h </w:instrText>
        </w:r>
        <w:r w:rsidR="00004EEC">
          <w:rPr>
            <w:noProof/>
            <w:webHidden/>
          </w:rPr>
        </w:r>
        <w:r w:rsidR="00004EEC">
          <w:rPr>
            <w:noProof/>
            <w:webHidden/>
          </w:rPr>
          <w:fldChar w:fldCharType="separate"/>
        </w:r>
        <w:r w:rsidR="004605BC">
          <w:rPr>
            <w:noProof/>
            <w:webHidden/>
          </w:rPr>
          <w:t>51</w:t>
        </w:r>
        <w:r w:rsidR="00004EEC">
          <w:rPr>
            <w:noProof/>
            <w:webHidden/>
          </w:rPr>
          <w:fldChar w:fldCharType="end"/>
        </w:r>
      </w:hyperlink>
    </w:p>
    <w:p w14:paraId="134CA963" w14:textId="6A58AFD1" w:rsidR="00004EEC" w:rsidRDefault="00D40C53">
      <w:pPr>
        <w:pStyle w:val="Spistreci2"/>
        <w:rPr>
          <w:rFonts w:asciiTheme="minorHAnsi" w:eastAsiaTheme="minorEastAsia" w:hAnsiTheme="minorHAnsi" w:cstheme="minorBidi"/>
          <w:noProof/>
          <w:szCs w:val="22"/>
        </w:rPr>
      </w:pPr>
      <w:hyperlink w:anchor="_Toc89417674" w:history="1">
        <w:r w:rsidR="00004EEC" w:rsidRPr="003B5A8D">
          <w:rPr>
            <w:rStyle w:val="Hipercze"/>
            <w:noProof/>
          </w:rPr>
          <w:t>6.4.</w:t>
        </w:r>
        <w:r w:rsidR="00004EEC">
          <w:rPr>
            <w:rFonts w:asciiTheme="minorHAnsi" w:eastAsiaTheme="minorEastAsia" w:hAnsiTheme="minorHAnsi" w:cstheme="minorBidi"/>
            <w:noProof/>
            <w:szCs w:val="22"/>
          </w:rPr>
          <w:tab/>
        </w:r>
        <w:r w:rsidR="00004EEC" w:rsidRPr="003B5A8D">
          <w:rPr>
            <w:rStyle w:val="Hipercze"/>
            <w:noProof/>
          </w:rPr>
          <w:t>Proponowane warianty</w:t>
        </w:r>
        <w:r w:rsidR="00004EEC">
          <w:rPr>
            <w:noProof/>
            <w:webHidden/>
          </w:rPr>
          <w:tab/>
        </w:r>
        <w:r w:rsidR="00004EEC">
          <w:rPr>
            <w:noProof/>
            <w:webHidden/>
          </w:rPr>
          <w:fldChar w:fldCharType="begin"/>
        </w:r>
        <w:r w:rsidR="00004EEC">
          <w:rPr>
            <w:noProof/>
            <w:webHidden/>
          </w:rPr>
          <w:instrText xml:space="preserve"> PAGEREF _Toc89417674 \h </w:instrText>
        </w:r>
        <w:r w:rsidR="00004EEC">
          <w:rPr>
            <w:noProof/>
            <w:webHidden/>
          </w:rPr>
        </w:r>
        <w:r w:rsidR="00004EEC">
          <w:rPr>
            <w:noProof/>
            <w:webHidden/>
          </w:rPr>
          <w:fldChar w:fldCharType="separate"/>
        </w:r>
        <w:r w:rsidR="004605BC">
          <w:rPr>
            <w:noProof/>
            <w:webHidden/>
          </w:rPr>
          <w:t>61</w:t>
        </w:r>
        <w:r w:rsidR="00004EEC">
          <w:rPr>
            <w:noProof/>
            <w:webHidden/>
          </w:rPr>
          <w:fldChar w:fldCharType="end"/>
        </w:r>
      </w:hyperlink>
    </w:p>
    <w:p w14:paraId="7F0AEFC9" w14:textId="132CCE37" w:rsidR="00004EEC" w:rsidRDefault="00D40C53">
      <w:pPr>
        <w:pStyle w:val="Spistreci2"/>
        <w:rPr>
          <w:rFonts w:asciiTheme="minorHAnsi" w:eastAsiaTheme="minorEastAsia" w:hAnsiTheme="minorHAnsi" w:cstheme="minorBidi"/>
          <w:noProof/>
          <w:szCs w:val="22"/>
        </w:rPr>
      </w:pPr>
      <w:hyperlink w:anchor="_Toc89417675" w:history="1">
        <w:r w:rsidR="00004EEC" w:rsidRPr="003B5A8D">
          <w:rPr>
            <w:rStyle w:val="Hipercze"/>
            <w:noProof/>
          </w:rPr>
          <w:t>6.5.</w:t>
        </w:r>
        <w:r w:rsidR="00004EEC">
          <w:rPr>
            <w:rFonts w:asciiTheme="minorHAnsi" w:eastAsiaTheme="minorEastAsia" w:hAnsiTheme="minorHAnsi" w:cstheme="minorBidi"/>
            <w:noProof/>
            <w:szCs w:val="22"/>
          </w:rPr>
          <w:tab/>
        </w:r>
        <w:r w:rsidR="00004EEC" w:rsidRPr="003B5A8D">
          <w:rPr>
            <w:rStyle w:val="Hipercze"/>
            <w:noProof/>
          </w:rPr>
          <w:t>Wybór linii do obsługi taborem zeroemisyjnym oraz optymalnej pojemności baterii</w:t>
        </w:r>
        <w:r w:rsidR="00327703">
          <w:rPr>
            <w:rStyle w:val="Hipercze"/>
            <w:noProof/>
          </w:rPr>
          <w:br/>
        </w:r>
        <w:r w:rsidR="00004EEC" w:rsidRPr="003B5A8D">
          <w:rPr>
            <w:rStyle w:val="Hipercze"/>
            <w:noProof/>
          </w:rPr>
          <w:t>autobusów</w:t>
        </w:r>
        <w:r w:rsidR="00004EEC">
          <w:rPr>
            <w:noProof/>
            <w:webHidden/>
          </w:rPr>
          <w:tab/>
        </w:r>
        <w:r w:rsidR="00004EEC">
          <w:rPr>
            <w:noProof/>
            <w:webHidden/>
          </w:rPr>
          <w:fldChar w:fldCharType="begin"/>
        </w:r>
        <w:r w:rsidR="00004EEC">
          <w:rPr>
            <w:noProof/>
            <w:webHidden/>
          </w:rPr>
          <w:instrText xml:space="preserve"> PAGEREF _Toc89417675 \h </w:instrText>
        </w:r>
        <w:r w:rsidR="00004EEC">
          <w:rPr>
            <w:noProof/>
            <w:webHidden/>
          </w:rPr>
        </w:r>
        <w:r w:rsidR="00004EEC">
          <w:rPr>
            <w:noProof/>
            <w:webHidden/>
          </w:rPr>
          <w:fldChar w:fldCharType="separate"/>
        </w:r>
        <w:r w:rsidR="004605BC">
          <w:rPr>
            <w:noProof/>
            <w:webHidden/>
          </w:rPr>
          <w:t>68</w:t>
        </w:r>
        <w:r w:rsidR="00004EEC">
          <w:rPr>
            <w:noProof/>
            <w:webHidden/>
          </w:rPr>
          <w:fldChar w:fldCharType="end"/>
        </w:r>
      </w:hyperlink>
    </w:p>
    <w:p w14:paraId="619DF465" w14:textId="60901303" w:rsidR="00004EEC" w:rsidRDefault="00D40C53">
      <w:pPr>
        <w:pStyle w:val="Spistreci2"/>
        <w:rPr>
          <w:rFonts w:asciiTheme="minorHAnsi" w:eastAsiaTheme="minorEastAsia" w:hAnsiTheme="minorHAnsi" w:cstheme="minorBidi"/>
          <w:noProof/>
          <w:szCs w:val="22"/>
        </w:rPr>
      </w:pPr>
      <w:hyperlink w:anchor="_Toc89417676" w:history="1">
        <w:r w:rsidR="00004EEC" w:rsidRPr="003B5A8D">
          <w:rPr>
            <w:rStyle w:val="Hipercze"/>
            <w:noProof/>
          </w:rPr>
          <w:t>6.6.</w:t>
        </w:r>
        <w:r w:rsidR="00004EEC">
          <w:rPr>
            <w:rFonts w:asciiTheme="minorHAnsi" w:eastAsiaTheme="minorEastAsia" w:hAnsiTheme="minorHAnsi" w:cstheme="minorBidi"/>
            <w:noProof/>
            <w:szCs w:val="22"/>
          </w:rPr>
          <w:tab/>
        </w:r>
        <w:r w:rsidR="00004EEC" w:rsidRPr="003B5A8D">
          <w:rPr>
            <w:rStyle w:val="Hipercze"/>
            <w:noProof/>
          </w:rPr>
          <w:t>Planowane nakłady inwestycyjne</w:t>
        </w:r>
        <w:r w:rsidR="00004EEC">
          <w:rPr>
            <w:noProof/>
            <w:webHidden/>
          </w:rPr>
          <w:tab/>
        </w:r>
        <w:r w:rsidR="00004EEC">
          <w:rPr>
            <w:noProof/>
            <w:webHidden/>
          </w:rPr>
          <w:fldChar w:fldCharType="begin"/>
        </w:r>
        <w:r w:rsidR="00004EEC">
          <w:rPr>
            <w:noProof/>
            <w:webHidden/>
          </w:rPr>
          <w:instrText xml:space="preserve"> PAGEREF _Toc89417676 \h </w:instrText>
        </w:r>
        <w:r w:rsidR="00004EEC">
          <w:rPr>
            <w:noProof/>
            <w:webHidden/>
          </w:rPr>
        </w:r>
        <w:r w:rsidR="00004EEC">
          <w:rPr>
            <w:noProof/>
            <w:webHidden/>
          </w:rPr>
          <w:fldChar w:fldCharType="separate"/>
        </w:r>
        <w:r w:rsidR="004605BC">
          <w:rPr>
            <w:noProof/>
            <w:webHidden/>
          </w:rPr>
          <w:t>80</w:t>
        </w:r>
        <w:r w:rsidR="00004EEC">
          <w:rPr>
            <w:noProof/>
            <w:webHidden/>
          </w:rPr>
          <w:fldChar w:fldCharType="end"/>
        </w:r>
      </w:hyperlink>
    </w:p>
    <w:p w14:paraId="03B5A2A2" w14:textId="47390330" w:rsidR="00004EEC" w:rsidRDefault="00D40C53">
      <w:pPr>
        <w:pStyle w:val="Spistreci1"/>
        <w:rPr>
          <w:rFonts w:asciiTheme="minorHAnsi" w:eastAsiaTheme="minorEastAsia" w:hAnsiTheme="minorHAnsi" w:cstheme="minorBidi"/>
          <w:noProof/>
          <w:szCs w:val="22"/>
        </w:rPr>
      </w:pPr>
      <w:hyperlink w:anchor="_Toc89417677" w:history="1">
        <w:r w:rsidR="00004EEC" w:rsidRPr="003B5A8D">
          <w:rPr>
            <w:rStyle w:val="Hipercze"/>
            <w:noProof/>
          </w:rPr>
          <w:t>7.</w:t>
        </w:r>
        <w:r w:rsidR="00004EEC">
          <w:rPr>
            <w:rFonts w:asciiTheme="minorHAnsi" w:eastAsiaTheme="minorEastAsia" w:hAnsiTheme="minorHAnsi" w:cstheme="minorBidi"/>
            <w:noProof/>
            <w:szCs w:val="22"/>
          </w:rPr>
          <w:tab/>
        </w:r>
        <w:r w:rsidR="00004EEC" w:rsidRPr="003B5A8D">
          <w:rPr>
            <w:rStyle w:val="Hipercze"/>
            <w:noProof/>
          </w:rPr>
          <w:t>Analiza kosztów i korzyści</w:t>
        </w:r>
        <w:r w:rsidR="00004EEC">
          <w:rPr>
            <w:noProof/>
            <w:webHidden/>
          </w:rPr>
          <w:tab/>
        </w:r>
        <w:r w:rsidR="00004EEC">
          <w:rPr>
            <w:noProof/>
            <w:webHidden/>
          </w:rPr>
          <w:fldChar w:fldCharType="begin"/>
        </w:r>
        <w:r w:rsidR="00004EEC">
          <w:rPr>
            <w:noProof/>
            <w:webHidden/>
          </w:rPr>
          <w:instrText xml:space="preserve"> PAGEREF _Toc89417677 \h </w:instrText>
        </w:r>
        <w:r w:rsidR="00004EEC">
          <w:rPr>
            <w:noProof/>
            <w:webHidden/>
          </w:rPr>
        </w:r>
        <w:r w:rsidR="00004EEC">
          <w:rPr>
            <w:noProof/>
            <w:webHidden/>
          </w:rPr>
          <w:fldChar w:fldCharType="separate"/>
        </w:r>
        <w:r w:rsidR="004605BC">
          <w:rPr>
            <w:noProof/>
            <w:webHidden/>
          </w:rPr>
          <w:t>87</w:t>
        </w:r>
        <w:r w:rsidR="00004EEC">
          <w:rPr>
            <w:noProof/>
            <w:webHidden/>
          </w:rPr>
          <w:fldChar w:fldCharType="end"/>
        </w:r>
      </w:hyperlink>
    </w:p>
    <w:p w14:paraId="6A2CCF74" w14:textId="2D999155" w:rsidR="00004EEC" w:rsidRDefault="00D40C53">
      <w:pPr>
        <w:pStyle w:val="Spistreci2"/>
        <w:rPr>
          <w:rFonts w:asciiTheme="minorHAnsi" w:eastAsiaTheme="minorEastAsia" w:hAnsiTheme="minorHAnsi" w:cstheme="minorBidi"/>
          <w:noProof/>
          <w:szCs w:val="22"/>
        </w:rPr>
      </w:pPr>
      <w:hyperlink w:anchor="_Toc89417678" w:history="1">
        <w:r w:rsidR="00004EEC" w:rsidRPr="003B5A8D">
          <w:rPr>
            <w:rStyle w:val="Hipercze"/>
            <w:noProof/>
          </w:rPr>
          <w:t>7.1.</w:t>
        </w:r>
        <w:r w:rsidR="00004EEC">
          <w:rPr>
            <w:rFonts w:asciiTheme="minorHAnsi" w:eastAsiaTheme="minorEastAsia" w:hAnsiTheme="minorHAnsi" w:cstheme="minorBidi"/>
            <w:noProof/>
            <w:szCs w:val="22"/>
          </w:rPr>
          <w:tab/>
        </w:r>
        <w:r w:rsidR="00004EEC" w:rsidRPr="003B5A8D">
          <w:rPr>
            <w:rStyle w:val="Hipercze"/>
            <w:noProof/>
          </w:rPr>
          <w:t>Przyjęte założenia analizy kosztów i korzyści</w:t>
        </w:r>
        <w:r w:rsidR="00004EEC">
          <w:rPr>
            <w:noProof/>
            <w:webHidden/>
          </w:rPr>
          <w:tab/>
        </w:r>
        <w:r w:rsidR="00004EEC">
          <w:rPr>
            <w:noProof/>
            <w:webHidden/>
          </w:rPr>
          <w:fldChar w:fldCharType="begin"/>
        </w:r>
        <w:r w:rsidR="00004EEC">
          <w:rPr>
            <w:noProof/>
            <w:webHidden/>
          </w:rPr>
          <w:instrText xml:space="preserve"> PAGEREF _Toc89417678 \h </w:instrText>
        </w:r>
        <w:r w:rsidR="00004EEC">
          <w:rPr>
            <w:noProof/>
            <w:webHidden/>
          </w:rPr>
        </w:r>
        <w:r w:rsidR="00004EEC">
          <w:rPr>
            <w:noProof/>
            <w:webHidden/>
          </w:rPr>
          <w:fldChar w:fldCharType="separate"/>
        </w:r>
        <w:r w:rsidR="004605BC">
          <w:rPr>
            <w:noProof/>
            <w:webHidden/>
          </w:rPr>
          <w:t>87</w:t>
        </w:r>
        <w:r w:rsidR="00004EEC">
          <w:rPr>
            <w:noProof/>
            <w:webHidden/>
          </w:rPr>
          <w:fldChar w:fldCharType="end"/>
        </w:r>
      </w:hyperlink>
    </w:p>
    <w:p w14:paraId="541F9498" w14:textId="1C1E3E1B" w:rsidR="00004EEC" w:rsidRDefault="00D40C53">
      <w:pPr>
        <w:pStyle w:val="Spistreci2"/>
        <w:rPr>
          <w:rFonts w:asciiTheme="minorHAnsi" w:eastAsiaTheme="minorEastAsia" w:hAnsiTheme="minorHAnsi" w:cstheme="minorBidi"/>
          <w:noProof/>
          <w:szCs w:val="22"/>
        </w:rPr>
      </w:pPr>
      <w:hyperlink w:anchor="_Toc89417679" w:history="1">
        <w:r w:rsidR="00004EEC" w:rsidRPr="003B5A8D">
          <w:rPr>
            <w:rStyle w:val="Hipercze"/>
            <w:noProof/>
          </w:rPr>
          <w:t>7.2.</w:t>
        </w:r>
        <w:r w:rsidR="00004EEC">
          <w:rPr>
            <w:rFonts w:asciiTheme="minorHAnsi" w:eastAsiaTheme="minorEastAsia" w:hAnsiTheme="minorHAnsi" w:cstheme="minorBidi"/>
            <w:noProof/>
            <w:szCs w:val="22"/>
          </w:rPr>
          <w:tab/>
        </w:r>
        <w:r w:rsidR="00004EEC" w:rsidRPr="003B5A8D">
          <w:rPr>
            <w:rStyle w:val="Hipercze"/>
            <w:noProof/>
          </w:rPr>
          <w:t>Wyniki analizy kosztów i korzyści</w:t>
        </w:r>
        <w:r w:rsidR="00004EEC">
          <w:rPr>
            <w:noProof/>
            <w:webHidden/>
          </w:rPr>
          <w:tab/>
        </w:r>
        <w:r w:rsidR="00004EEC">
          <w:rPr>
            <w:noProof/>
            <w:webHidden/>
          </w:rPr>
          <w:fldChar w:fldCharType="begin"/>
        </w:r>
        <w:r w:rsidR="00004EEC">
          <w:rPr>
            <w:noProof/>
            <w:webHidden/>
          </w:rPr>
          <w:instrText xml:space="preserve"> PAGEREF _Toc89417679 \h </w:instrText>
        </w:r>
        <w:r w:rsidR="00004EEC">
          <w:rPr>
            <w:noProof/>
            <w:webHidden/>
          </w:rPr>
        </w:r>
        <w:r w:rsidR="00004EEC">
          <w:rPr>
            <w:noProof/>
            <w:webHidden/>
          </w:rPr>
          <w:fldChar w:fldCharType="separate"/>
        </w:r>
        <w:r w:rsidR="004605BC">
          <w:rPr>
            <w:noProof/>
            <w:webHidden/>
          </w:rPr>
          <w:t>94</w:t>
        </w:r>
        <w:r w:rsidR="00004EEC">
          <w:rPr>
            <w:noProof/>
            <w:webHidden/>
          </w:rPr>
          <w:fldChar w:fldCharType="end"/>
        </w:r>
      </w:hyperlink>
    </w:p>
    <w:p w14:paraId="5A9463EF" w14:textId="16DAC9E2" w:rsidR="00004EEC" w:rsidRDefault="00D40C53">
      <w:pPr>
        <w:pStyle w:val="Spistreci2"/>
        <w:rPr>
          <w:rFonts w:asciiTheme="minorHAnsi" w:eastAsiaTheme="minorEastAsia" w:hAnsiTheme="minorHAnsi" w:cstheme="minorBidi"/>
          <w:noProof/>
          <w:szCs w:val="22"/>
        </w:rPr>
      </w:pPr>
      <w:hyperlink w:anchor="_Toc89417680" w:history="1">
        <w:r w:rsidR="00004EEC" w:rsidRPr="003B5A8D">
          <w:rPr>
            <w:rStyle w:val="Hipercze"/>
            <w:noProof/>
          </w:rPr>
          <w:t>7.3.</w:t>
        </w:r>
        <w:r w:rsidR="00004EEC">
          <w:rPr>
            <w:rFonts w:asciiTheme="minorHAnsi" w:eastAsiaTheme="minorEastAsia" w:hAnsiTheme="minorHAnsi" w:cstheme="minorBidi"/>
            <w:noProof/>
            <w:szCs w:val="22"/>
          </w:rPr>
          <w:tab/>
        </w:r>
        <w:r w:rsidR="00004EEC" w:rsidRPr="003B5A8D">
          <w:rPr>
            <w:rStyle w:val="Hipercze"/>
            <w:noProof/>
          </w:rPr>
          <w:t>Trwałość finansowa</w:t>
        </w:r>
        <w:r w:rsidR="00004EEC">
          <w:rPr>
            <w:noProof/>
            <w:webHidden/>
          </w:rPr>
          <w:tab/>
        </w:r>
        <w:r w:rsidR="00004EEC">
          <w:rPr>
            <w:noProof/>
            <w:webHidden/>
          </w:rPr>
          <w:fldChar w:fldCharType="begin"/>
        </w:r>
        <w:r w:rsidR="00004EEC">
          <w:rPr>
            <w:noProof/>
            <w:webHidden/>
          </w:rPr>
          <w:instrText xml:space="preserve"> PAGEREF _Toc89417680 \h </w:instrText>
        </w:r>
        <w:r w:rsidR="00004EEC">
          <w:rPr>
            <w:noProof/>
            <w:webHidden/>
          </w:rPr>
        </w:r>
        <w:r w:rsidR="00004EEC">
          <w:rPr>
            <w:noProof/>
            <w:webHidden/>
          </w:rPr>
          <w:fldChar w:fldCharType="separate"/>
        </w:r>
        <w:r w:rsidR="004605BC">
          <w:rPr>
            <w:noProof/>
            <w:webHidden/>
          </w:rPr>
          <w:t>98</w:t>
        </w:r>
        <w:r w:rsidR="00004EEC">
          <w:rPr>
            <w:noProof/>
            <w:webHidden/>
          </w:rPr>
          <w:fldChar w:fldCharType="end"/>
        </w:r>
      </w:hyperlink>
    </w:p>
    <w:p w14:paraId="09CAA411" w14:textId="55362CA0" w:rsidR="00004EEC" w:rsidRDefault="00D40C53">
      <w:pPr>
        <w:pStyle w:val="Spistreci2"/>
        <w:rPr>
          <w:rFonts w:asciiTheme="minorHAnsi" w:eastAsiaTheme="minorEastAsia" w:hAnsiTheme="minorHAnsi" w:cstheme="minorBidi"/>
          <w:noProof/>
          <w:szCs w:val="22"/>
        </w:rPr>
      </w:pPr>
      <w:hyperlink w:anchor="_Toc89417681" w:history="1">
        <w:r w:rsidR="00004EEC" w:rsidRPr="003B5A8D">
          <w:rPr>
            <w:rStyle w:val="Hipercze"/>
            <w:noProof/>
          </w:rPr>
          <w:t>7.4.</w:t>
        </w:r>
        <w:r w:rsidR="00004EEC">
          <w:rPr>
            <w:rFonts w:asciiTheme="minorHAnsi" w:eastAsiaTheme="minorEastAsia" w:hAnsiTheme="minorHAnsi" w:cstheme="minorBidi"/>
            <w:noProof/>
            <w:szCs w:val="22"/>
          </w:rPr>
          <w:tab/>
        </w:r>
        <w:r w:rsidR="00004EEC" w:rsidRPr="003B5A8D">
          <w:rPr>
            <w:rStyle w:val="Hipercze"/>
            <w:noProof/>
          </w:rPr>
          <w:t>Analiza wrażliwości i ryzyka</w:t>
        </w:r>
        <w:r w:rsidR="00004EEC">
          <w:rPr>
            <w:noProof/>
            <w:webHidden/>
          </w:rPr>
          <w:tab/>
        </w:r>
        <w:r w:rsidR="00004EEC">
          <w:rPr>
            <w:noProof/>
            <w:webHidden/>
          </w:rPr>
          <w:fldChar w:fldCharType="begin"/>
        </w:r>
        <w:r w:rsidR="00004EEC">
          <w:rPr>
            <w:noProof/>
            <w:webHidden/>
          </w:rPr>
          <w:instrText xml:space="preserve"> PAGEREF _Toc89417681 \h </w:instrText>
        </w:r>
        <w:r w:rsidR="00004EEC">
          <w:rPr>
            <w:noProof/>
            <w:webHidden/>
          </w:rPr>
        </w:r>
        <w:r w:rsidR="00004EEC">
          <w:rPr>
            <w:noProof/>
            <w:webHidden/>
          </w:rPr>
          <w:fldChar w:fldCharType="separate"/>
        </w:r>
        <w:r w:rsidR="004605BC">
          <w:rPr>
            <w:noProof/>
            <w:webHidden/>
          </w:rPr>
          <w:t>105</w:t>
        </w:r>
        <w:r w:rsidR="00004EEC">
          <w:rPr>
            <w:noProof/>
            <w:webHidden/>
          </w:rPr>
          <w:fldChar w:fldCharType="end"/>
        </w:r>
      </w:hyperlink>
    </w:p>
    <w:p w14:paraId="3E04C44B" w14:textId="290B86DA" w:rsidR="00004EEC" w:rsidRDefault="00D40C53">
      <w:pPr>
        <w:pStyle w:val="Spistreci2"/>
        <w:rPr>
          <w:rFonts w:asciiTheme="minorHAnsi" w:eastAsiaTheme="minorEastAsia" w:hAnsiTheme="minorHAnsi" w:cstheme="minorBidi"/>
          <w:noProof/>
          <w:szCs w:val="22"/>
        </w:rPr>
      </w:pPr>
      <w:hyperlink w:anchor="_Toc89417682" w:history="1">
        <w:r w:rsidR="00004EEC" w:rsidRPr="003B5A8D">
          <w:rPr>
            <w:rStyle w:val="Hipercze"/>
            <w:noProof/>
          </w:rPr>
          <w:t>7.5.</w:t>
        </w:r>
        <w:r w:rsidR="00004EEC">
          <w:rPr>
            <w:rFonts w:asciiTheme="minorHAnsi" w:eastAsiaTheme="minorEastAsia" w:hAnsiTheme="minorHAnsi" w:cstheme="minorBidi"/>
            <w:noProof/>
            <w:szCs w:val="22"/>
          </w:rPr>
          <w:tab/>
        </w:r>
        <w:r w:rsidR="00004EEC" w:rsidRPr="003B5A8D">
          <w:rPr>
            <w:rStyle w:val="Hipercze"/>
            <w:noProof/>
          </w:rPr>
          <w:t>Określenie luki w finansowaniu</w:t>
        </w:r>
        <w:r w:rsidR="00004EEC">
          <w:rPr>
            <w:noProof/>
            <w:webHidden/>
          </w:rPr>
          <w:tab/>
        </w:r>
        <w:r w:rsidR="00004EEC">
          <w:rPr>
            <w:noProof/>
            <w:webHidden/>
          </w:rPr>
          <w:fldChar w:fldCharType="begin"/>
        </w:r>
        <w:r w:rsidR="00004EEC">
          <w:rPr>
            <w:noProof/>
            <w:webHidden/>
          </w:rPr>
          <w:instrText xml:space="preserve"> PAGEREF _Toc89417682 \h </w:instrText>
        </w:r>
        <w:r w:rsidR="00004EEC">
          <w:rPr>
            <w:noProof/>
            <w:webHidden/>
          </w:rPr>
        </w:r>
        <w:r w:rsidR="00004EEC">
          <w:rPr>
            <w:noProof/>
            <w:webHidden/>
          </w:rPr>
          <w:fldChar w:fldCharType="separate"/>
        </w:r>
        <w:r w:rsidR="004605BC">
          <w:rPr>
            <w:noProof/>
            <w:webHidden/>
          </w:rPr>
          <w:t>111</w:t>
        </w:r>
        <w:r w:rsidR="00004EEC">
          <w:rPr>
            <w:noProof/>
            <w:webHidden/>
          </w:rPr>
          <w:fldChar w:fldCharType="end"/>
        </w:r>
      </w:hyperlink>
    </w:p>
    <w:p w14:paraId="57EB39DA" w14:textId="709505DB" w:rsidR="00004EEC" w:rsidRDefault="00D40C53">
      <w:pPr>
        <w:pStyle w:val="Spistreci1"/>
        <w:rPr>
          <w:rFonts w:asciiTheme="minorHAnsi" w:eastAsiaTheme="minorEastAsia" w:hAnsiTheme="minorHAnsi" w:cstheme="minorBidi"/>
          <w:noProof/>
          <w:szCs w:val="22"/>
        </w:rPr>
      </w:pPr>
      <w:hyperlink w:anchor="_Toc89417683" w:history="1">
        <w:r w:rsidR="00004EEC" w:rsidRPr="003B5A8D">
          <w:rPr>
            <w:rStyle w:val="Hipercze"/>
            <w:noProof/>
          </w:rPr>
          <w:t>8.</w:t>
        </w:r>
        <w:r w:rsidR="00004EEC">
          <w:rPr>
            <w:rFonts w:asciiTheme="minorHAnsi" w:eastAsiaTheme="minorEastAsia" w:hAnsiTheme="minorHAnsi" w:cstheme="minorBidi"/>
            <w:noProof/>
            <w:szCs w:val="22"/>
          </w:rPr>
          <w:tab/>
        </w:r>
        <w:r w:rsidR="00004EEC" w:rsidRPr="003B5A8D">
          <w:rPr>
            <w:rStyle w:val="Hipercze"/>
            <w:noProof/>
          </w:rPr>
          <w:t>Podsumowanie</w:t>
        </w:r>
        <w:r w:rsidR="00004EEC">
          <w:rPr>
            <w:noProof/>
            <w:webHidden/>
          </w:rPr>
          <w:tab/>
        </w:r>
        <w:r w:rsidR="00004EEC">
          <w:rPr>
            <w:noProof/>
            <w:webHidden/>
          </w:rPr>
          <w:fldChar w:fldCharType="begin"/>
        </w:r>
        <w:r w:rsidR="00004EEC">
          <w:rPr>
            <w:noProof/>
            <w:webHidden/>
          </w:rPr>
          <w:instrText xml:space="preserve"> PAGEREF _Toc89417683 \h </w:instrText>
        </w:r>
        <w:r w:rsidR="00004EEC">
          <w:rPr>
            <w:noProof/>
            <w:webHidden/>
          </w:rPr>
        </w:r>
        <w:r w:rsidR="00004EEC">
          <w:rPr>
            <w:noProof/>
            <w:webHidden/>
          </w:rPr>
          <w:fldChar w:fldCharType="separate"/>
        </w:r>
        <w:r w:rsidR="004605BC">
          <w:rPr>
            <w:noProof/>
            <w:webHidden/>
          </w:rPr>
          <w:t>113</w:t>
        </w:r>
        <w:r w:rsidR="00004EEC">
          <w:rPr>
            <w:noProof/>
            <w:webHidden/>
          </w:rPr>
          <w:fldChar w:fldCharType="end"/>
        </w:r>
      </w:hyperlink>
    </w:p>
    <w:p w14:paraId="76173A68" w14:textId="69D5039F" w:rsidR="00004EEC" w:rsidRDefault="00D40C53">
      <w:pPr>
        <w:pStyle w:val="Spistreci1"/>
        <w:rPr>
          <w:rFonts w:asciiTheme="minorHAnsi" w:eastAsiaTheme="minorEastAsia" w:hAnsiTheme="minorHAnsi" w:cstheme="minorBidi"/>
          <w:noProof/>
          <w:szCs w:val="22"/>
        </w:rPr>
      </w:pPr>
      <w:hyperlink w:anchor="_Toc89417684" w:history="1">
        <w:r w:rsidR="00004EEC" w:rsidRPr="003B5A8D">
          <w:rPr>
            <w:rStyle w:val="Hipercze"/>
            <w:noProof/>
          </w:rPr>
          <w:t>9.</w:t>
        </w:r>
        <w:r w:rsidR="00004EEC">
          <w:rPr>
            <w:rFonts w:asciiTheme="minorHAnsi" w:eastAsiaTheme="minorEastAsia" w:hAnsiTheme="minorHAnsi" w:cstheme="minorBidi"/>
            <w:noProof/>
            <w:szCs w:val="22"/>
          </w:rPr>
          <w:tab/>
        </w:r>
        <w:r w:rsidR="00004EEC" w:rsidRPr="003B5A8D">
          <w:rPr>
            <w:rStyle w:val="Hipercze"/>
            <w:noProof/>
          </w:rPr>
          <w:t>Informacja o udziale społeczeństwa w postępowaniu (projekt)</w:t>
        </w:r>
        <w:r w:rsidR="00004EEC">
          <w:rPr>
            <w:noProof/>
            <w:webHidden/>
          </w:rPr>
          <w:tab/>
        </w:r>
        <w:r w:rsidR="00004EEC">
          <w:rPr>
            <w:noProof/>
            <w:webHidden/>
          </w:rPr>
          <w:fldChar w:fldCharType="begin"/>
        </w:r>
        <w:r w:rsidR="00004EEC">
          <w:rPr>
            <w:noProof/>
            <w:webHidden/>
          </w:rPr>
          <w:instrText xml:space="preserve"> PAGEREF _Toc89417684 \h </w:instrText>
        </w:r>
        <w:r w:rsidR="00004EEC">
          <w:rPr>
            <w:noProof/>
            <w:webHidden/>
          </w:rPr>
        </w:r>
        <w:r w:rsidR="00004EEC">
          <w:rPr>
            <w:noProof/>
            <w:webHidden/>
          </w:rPr>
          <w:fldChar w:fldCharType="separate"/>
        </w:r>
        <w:r w:rsidR="004605BC">
          <w:rPr>
            <w:noProof/>
            <w:webHidden/>
          </w:rPr>
          <w:t>117</w:t>
        </w:r>
        <w:r w:rsidR="00004EEC">
          <w:rPr>
            <w:noProof/>
            <w:webHidden/>
          </w:rPr>
          <w:fldChar w:fldCharType="end"/>
        </w:r>
      </w:hyperlink>
    </w:p>
    <w:p w14:paraId="74289C4B" w14:textId="0712FAA4" w:rsidR="00004EEC" w:rsidRDefault="00D40C53">
      <w:pPr>
        <w:pStyle w:val="Spistreci1"/>
        <w:rPr>
          <w:rFonts w:asciiTheme="minorHAnsi" w:eastAsiaTheme="minorEastAsia" w:hAnsiTheme="minorHAnsi" w:cstheme="minorBidi"/>
          <w:noProof/>
          <w:szCs w:val="22"/>
        </w:rPr>
      </w:pPr>
      <w:hyperlink w:anchor="_Toc89417685" w:history="1">
        <w:r w:rsidR="00004EEC" w:rsidRPr="003B5A8D">
          <w:rPr>
            <w:rStyle w:val="Hipercze"/>
            <w:noProof/>
          </w:rPr>
          <w:t>Załącznik nr 1 Model finansowy</w:t>
        </w:r>
        <w:r w:rsidR="00004EEC">
          <w:rPr>
            <w:noProof/>
            <w:webHidden/>
          </w:rPr>
          <w:tab/>
        </w:r>
        <w:r w:rsidR="00004EEC">
          <w:rPr>
            <w:noProof/>
            <w:webHidden/>
          </w:rPr>
          <w:fldChar w:fldCharType="begin"/>
        </w:r>
        <w:r w:rsidR="00004EEC">
          <w:rPr>
            <w:noProof/>
            <w:webHidden/>
          </w:rPr>
          <w:instrText xml:space="preserve"> PAGEREF _Toc89417685 \h </w:instrText>
        </w:r>
        <w:r w:rsidR="00004EEC">
          <w:rPr>
            <w:noProof/>
            <w:webHidden/>
          </w:rPr>
        </w:r>
        <w:r w:rsidR="00004EEC">
          <w:rPr>
            <w:noProof/>
            <w:webHidden/>
          </w:rPr>
          <w:fldChar w:fldCharType="separate"/>
        </w:r>
        <w:r w:rsidR="004605BC">
          <w:rPr>
            <w:noProof/>
            <w:webHidden/>
          </w:rPr>
          <w:t>118</w:t>
        </w:r>
        <w:r w:rsidR="00004EEC">
          <w:rPr>
            <w:noProof/>
            <w:webHidden/>
          </w:rPr>
          <w:fldChar w:fldCharType="end"/>
        </w:r>
      </w:hyperlink>
    </w:p>
    <w:p w14:paraId="5500D478" w14:textId="14BBF55C" w:rsidR="00004EEC" w:rsidRDefault="00D40C53">
      <w:pPr>
        <w:pStyle w:val="Spistreci1"/>
        <w:rPr>
          <w:rFonts w:asciiTheme="minorHAnsi" w:eastAsiaTheme="minorEastAsia" w:hAnsiTheme="minorHAnsi" w:cstheme="minorBidi"/>
          <w:noProof/>
          <w:szCs w:val="22"/>
        </w:rPr>
      </w:pPr>
      <w:hyperlink w:anchor="_Toc89417686" w:history="1">
        <w:r w:rsidR="00004EEC" w:rsidRPr="003B5A8D">
          <w:rPr>
            <w:rStyle w:val="Hipercze"/>
            <w:noProof/>
          </w:rPr>
          <w:t>Załącznik nr 2 Raport z konsultacji społecznych</w:t>
        </w:r>
        <w:r w:rsidR="00004EEC">
          <w:rPr>
            <w:noProof/>
            <w:webHidden/>
          </w:rPr>
          <w:tab/>
        </w:r>
        <w:r w:rsidR="00004EEC">
          <w:rPr>
            <w:noProof/>
            <w:webHidden/>
          </w:rPr>
          <w:fldChar w:fldCharType="begin"/>
        </w:r>
        <w:r w:rsidR="00004EEC">
          <w:rPr>
            <w:noProof/>
            <w:webHidden/>
          </w:rPr>
          <w:instrText xml:space="preserve"> PAGEREF _Toc89417686 \h </w:instrText>
        </w:r>
        <w:r w:rsidR="00004EEC">
          <w:rPr>
            <w:noProof/>
            <w:webHidden/>
          </w:rPr>
        </w:r>
        <w:r w:rsidR="00004EEC">
          <w:rPr>
            <w:noProof/>
            <w:webHidden/>
          </w:rPr>
          <w:fldChar w:fldCharType="separate"/>
        </w:r>
        <w:r w:rsidR="004605BC">
          <w:rPr>
            <w:noProof/>
            <w:webHidden/>
          </w:rPr>
          <w:t>119</w:t>
        </w:r>
        <w:r w:rsidR="00004EEC">
          <w:rPr>
            <w:noProof/>
            <w:webHidden/>
          </w:rPr>
          <w:fldChar w:fldCharType="end"/>
        </w:r>
      </w:hyperlink>
    </w:p>
    <w:p w14:paraId="3A54AEE5" w14:textId="77BBEE0E" w:rsidR="007B2656" w:rsidRPr="00821AF6" w:rsidRDefault="00B60ABE" w:rsidP="00C375CE">
      <w:pPr>
        <w:pStyle w:val="Spistreci1"/>
        <w:rPr>
          <w:color w:val="FF0000"/>
        </w:rPr>
        <w:sectPr w:rsidR="007B2656" w:rsidRPr="00821AF6" w:rsidSect="006F37D3">
          <w:headerReference w:type="first" r:id="rId14"/>
          <w:footerReference w:type="first" r:id="rId15"/>
          <w:pgSz w:w="11906" w:h="16838"/>
          <w:pgMar w:top="1417" w:right="1417" w:bottom="1417" w:left="1417" w:header="708" w:footer="708" w:gutter="0"/>
          <w:pgNumType w:start="2"/>
          <w:cols w:space="708"/>
          <w:docGrid w:linePitch="360"/>
        </w:sectPr>
      </w:pPr>
      <w:r w:rsidRPr="00821AF6">
        <w:rPr>
          <w:color w:val="FF0000"/>
        </w:rPr>
        <w:fldChar w:fldCharType="end"/>
      </w:r>
    </w:p>
    <w:p w14:paraId="06DDA067" w14:textId="77777777" w:rsidR="00AD1DD1" w:rsidRPr="00821AF6" w:rsidRDefault="00AD1DD1" w:rsidP="00C23876">
      <w:pPr>
        <w:pStyle w:val="Nagwek1"/>
        <w:spacing w:before="120"/>
        <w:ind w:left="431" w:hanging="431"/>
        <w:rPr>
          <w:rFonts w:cs="Tahoma"/>
          <w:color w:val="000000"/>
        </w:rPr>
      </w:pPr>
      <w:bookmarkStart w:id="4" w:name="_Toc531845496"/>
      <w:bookmarkStart w:id="5" w:name="_Toc89417661"/>
      <w:bookmarkStart w:id="6" w:name="_Toc326594768"/>
      <w:bookmarkStart w:id="7" w:name="_Toc420681772"/>
      <w:r w:rsidRPr="00821AF6">
        <w:rPr>
          <w:rFonts w:cs="Tahoma"/>
          <w:color w:val="000000"/>
        </w:rPr>
        <w:lastRenderedPageBreak/>
        <w:t>Wstęp</w:t>
      </w:r>
      <w:bookmarkEnd w:id="4"/>
      <w:bookmarkEnd w:id="5"/>
    </w:p>
    <w:p w14:paraId="608B50D0" w14:textId="4F7B7915" w:rsidR="003E190D" w:rsidRPr="00821AF6" w:rsidRDefault="00092EF2" w:rsidP="00092EF2">
      <w:pPr>
        <w:rPr>
          <w:rFonts w:cs="Tahoma"/>
          <w:color w:val="000000"/>
        </w:rPr>
      </w:pPr>
      <w:r w:rsidRPr="00821AF6">
        <w:rPr>
          <w:rFonts w:cs="Tahoma"/>
          <w:color w:val="000000"/>
        </w:rPr>
        <w:t xml:space="preserve">Wraz z postępem cywilizacyjnym systematycznie rosną oczekiwania społeczeństwa </w:t>
      </w:r>
      <w:r w:rsidR="000F10E5">
        <w:rPr>
          <w:rFonts w:cs="Tahoma"/>
          <w:color w:val="000000"/>
        </w:rPr>
        <w:t xml:space="preserve">– </w:t>
      </w:r>
      <w:r w:rsidRPr="00821AF6">
        <w:rPr>
          <w:rFonts w:cs="Tahoma"/>
          <w:color w:val="000000"/>
        </w:rPr>
        <w:t>nie tylko w zakresie otoczenia, w którym przebywa się przez większość czasu, sposobów spędzania tego czasu i przebiegu kariery zawodowej, ale i również wobec sposobów przemieszczania się w obrębie miast. Wszystkie środki transportu generują zanieczyszczenia i hałas</w:t>
      </w:r>
      <w:r w:rsidR="00370CFC" w:rsidRPr="00821AF6">
        <w:rPr>
          <w:rFonts w:cs="Tahoma"/>
          <w:color w:val="000000"/>
        </w:rPr>
        <w:t xml:space="preserve">, przy czym najbardziej negatywnie oddziałują w tym zakresie </w:t>
      </w:r>
      <w:r w:rsidRPr="00821AF6">
        <w:rPr>
          <w:rFonts w:cs="Tahoma"/>
          <w:color w:val="000000"/>
        </w:rPr>
        <w:t xml:space="preserve">samochody osobowe, które w przeliczeniu na liczbę pasażerów, </w:t>
      </w:r>
      <w:r w:rsidR="00370CFC" w:rsidRPr="00821AF6">
        <w:rPr>
          <w:rFonts w:cs="Tahoma"/>
          <w:color w:val="000000"/>
        </w:rPr>
        <w:t xml:space="preserve">w największym stopniu </w:t>
      </w:r>
      <w:r w:rsidRPr="00821AF6">
        <w:rPr>
          <w:rFonts w:cs="Tahoma"/>
          <w:color w:val="000000"/>
        </w:rPr>
        <w:t>degenerują przestrzenie miejskie i – wbrew powszechnej opinii – obniżają jakość życia. Negatywny wpływ motoryzacji indywidu</w:t>
      </w:r>
      <w:r w:rsidR="00370CFC" w:rsidRPr="00821AF6">
        <w:rPr>
          <w:rFonts w:cs="Tahoma"/>
          <w:color w:val="000000"/>
        </w:rPr>
        <w:t>a</w:t>
      </w:r>
      <w:r w:rsidRPr="00821AF6">
        <w:rPr>
          <w:rFonts w:cs="Tahoma"/>
          <w:color w:val="000000"/>
        </w:rPr>
        <w:t>lnej na jakość życia w miastach wynika nie tylko z emisji zanieczyszczeń, ale również z powodu kształtowania przez nią niekorzystnych postaw społecznych – sprzyjającym licznym chorobom cywilizacyjnym, takim jak otyłość, nadciśnienie czy nowotwory. Polskie społeczeństwo zaczyna coraz bardziej dostrzegać tę sytuację, widzą ją również samorządy, które dążą do eliminacji lub przynajmniej ograniczenia intensywności ruchu samochodów osobowych w centrach miast, czy to likwidując miejsca parkingowe, czy też nawet radykalnie podnosząc opłaty za parkowanie i</w:t>
      </w:r>
      <w:r w:rsidR="00370CFC" w:rsidRPr="00821AF6">
        <w:rPr>
          <w:rFonts w:cs="Tahoma"/>
          <w:color w:val="000000"/>
        </w:rPr>
        <w:t> </w:t>
      </w:r>
      <w:r w:rsidRPr="00821AF6">
        <w:rPr>
          <w:rFonts w:cs="Tahoma"/>
          <w:color w:val="000000"/>
        </w:rPr>
        <w:t xml:space="preserve">tworząc woonerfy, </w:t>
      </w:r>
      <w:r w:rsidR="003E190D" w:rsidRPr="00821AF6">
        <w:rPr>
          <w:rFonts w:cs="Tahoma"/>
          <w:color w:val="000000"/>
        </w:rPr>
        <w:t>jednocześnie uprzywilejowując w ruchu środki publicznego transportu zbiorowego.</w:t>
      </w:r>
    </w:p>
    <w:p w14:paraId="388252D5" w14:textId="7E75421A" w:rsidR="003E190D" w:rsidRPr="00821AF6" w:rsidRDefault="003E190D" w:rsidP="003E190D">
      <w:pPr>
        <w:rPr>
          <w:rFonts w:cs="Tahoma"/>
          <w:color w:val="000000"/>
        </w:rPr>
      </w:pPr>
      <w:r w:rsidRPr="00821AF6">
        <w:rPr>
          <w:rFonts w:cs="Tahoma"/>
          <w:color w:val="000000"/>
        </w:rPr>
        <w:t>Jedną z najskuteczniejszych metod walki z problemami urbanistycznymi, ekologicznymi i społecznymi w powyższych aspektach, jest promowanie komunikacji miejskiej, zapewniającej najniższe szeroko rozumiane koszty jednostkowe przemieszczania się po mieście i generującej mniejszą uciążliwość dla środowiska naturalnego niż motoryzacja indywidualna. Za sprawą dynamicznego rozwoju technologii, ostatnie lata przyniosły możliwości wprowadzania w komunikacji miejskiej cichych, wygodnych i ekologicznych autobusów z napędem elektrycznym –mających przed sobą wyjątkowo dobre perspektywy na przyszłość, wynikające choćby z coraz większego udziału odnawialnych źródeł energii w polskim miksie energetycznym, czy też nieodległych perspektyw budowy pierwszych bezpiecznych, nowoczesnych reaktorów jądrowych, zdecydowanie bardziej wydajnych od przestarzałych elektrowni węglowych.</w:t>
      </w:r>
    </w:p>
    <w:p w14:paraId="6036C41A" w14:textId="244B4655" w:rsidR="003E190D" w:rsidRPr="00821AF6" w:rsidRDefault="003E190D" w:rsidP="003E190D">
      <w:pPr>
        <w:rPr>
          <w:rFonts w:cs="Tahoma"/>
          <w:color w:val="000000"/>
        </w:rPr>
      </w:pPr>
      <w:r w:rsidRPr="00821AF6">
        <w:rPr>
          <w:rFonts w:cs="Tahoma"/>
          <w:color w:val="000000"/>
        </w:rPr>
        <w:t xml:space="preserve">Elektromobilność, do niedawna jeszcze dość rzadko używane pojęcie, stanowi esencjonalną odpowiedź na współczesne problemy transportowe ośrodków miejskich – potencjalne panaceum na wielkomiejski hałas, spaliny emitowane z często już wyeksploatowanych samochodów osobowych, wszechobecne zjawiska kongestii ruchu i obszerne skupiska zaparkowanych pojazdów, skutecznie zakłócających niejednokrotnie obrazy zrewitalizowanych przestrzeni miejskich. Dalszy postęp techniczny, coraz większa pojemność baterii, niezawodność i wydajność silników elektrycznych, istotnie lepsza od silników spalinowych, a ponadto rosnąca powszechność tych rozwiązań, pozwalają mieć nadzieję, że to właśnie w elektromobilności </w:t>
      </w:r>
      <w:r w:rsidRPr="00821AF6">
        <w:rPr>
          <w:rFonts w:cs="Tahoma"/>
          <w:color w:val="000000"/>
        </w:rPr>
        <w:lastRenderedPageBreak/>
        <w:t>należy poszukiwać odpowiedzi na pytanie, jak efektywnie zarządzać miejską siecią transportową.</w:t>
      </w:r>
    </w:p>
    <w:p w14:paraId="44D2ACF6" w14:textId="4AA179D6" w:rsidR="00AD1DD1" w:rsidRPr="00821AF6" w:rsidRDefault="00AD1DD1" w:rsidP="00DB66E8">
      <w:pPr>
        <w:rPr>
          <w:rFonts w:cs="Tahoma"/>
          <w:color w:val="000000"/>
        </w:rPr>
      </w:pPr>
      <w:r w:rsidRPr="00821AF6">
        <w:rPr>
          <w:rFonts w:cs="Tahoma"/>
          <w:color w:val="000000"/>
        </w:rPr>
        <w:t>Podstawą prawną rozwoju elektromobilności w krajach Unii Europejskiej jest dyrektywa Parlamentu Europejskiego i Rady 2014/94/UE z dnia 22 października 2014 r. w sprawie rozwoju infrastruktury paliw alternatywnych (Dz. Urz. UE z dn. 28</w:t>
      </w:r>
      <w:r w:rsidR="00DB66E8" w:rsidRPr="00821AF6">
        <w:rPr>
          <w:rFonts w:cs="Tahoma"/>
          <w:color w:val="000000"/>
        </w:rPr>
        <w:t>.10.</w:t>
      </w:r>
      <w:r w:rsidRPr="00821AF6">
        <w:rPr>
          <w:rFonts w:cs="Tahoma"/>
          <w:color w:val="000000"/>
        </w:rPr>
        <w:t>2014 r.</w:t>
      </w:r>
      <w:r w:rsidR="00DB66E8" w:rsidRPr="00821AF6">
        <w:rPr>
          <w:rFonts w:cs="Tahoma"/>
          <w:color w:val="000000"/>
        </w:rPr>
        <w:t>,</w:t>
      </w:r>
      <w:r w:rsidRPr="00821AF6">
        <w:rPr>
          <w:rFonts w:cs="Tahoma"/>
          <w:color w:val="000000"/>
        </w:rPr>
        <w:t xml:space="preserve"> L 307/1). Na grunt krajowy transponuje tę dyrektywę ustawa z dnia 11 stycznia 2018 r. o elektromobilności i paliwa</w:t>
      </w:r>
      <w:r w:rsidR="00DB66E8" w:rsidRPr="00821AF6">
        <w:rPr>
          <w:rFonts w:cs="Tahoma"/>
          <w:color w:val="000000"/>
        </w:rPr>
        <w:t>ch alternatywnych (</w:t>
      </w:r>
      <w:r w:rsidR="00B9634D">
        <w:rPr>
          <w:rFonts w:cs="Tahoma"/>
          <w:color w:val="000000"/>
        </w:rPr>
        <w:t xml:space="preserve">t.j. </w:t>
      </w:r>
      <w:r w:rsidR="00DB66E8" w:rsidRPr="00821AF6">
        <w:rPr>
          <w:rFonts w:cs="Tahoma"/>
          <w:color w:val="000000"/>
        </w:rPr>
        <w:t>Dz. U. z 202</w:t>
      </w:r>
      <w:r w:rsidR="002F7D56" w:rsidRPr="00821AF6">
        <w:rPr>
          <w:rFonts w:cs="Tahoma"/>
          <w:color w:val="000000"/>
        </w:rPr>
        <w:t>1</w:t>
      </w:r>
      <w:r w:rsidRPr="00821AF6">
        <w:rPr>
          <w:rFonts w:cs="Tahoma"/>
          <w:color w:val="000000"/>
        </w:rPr>
        <w:t xml:space="preserve"> r. poz. </w:t>
      </w:r>
      <w:r w:rsidR="00DB66E8" w:rsidRPr="00821AF6">
        <w:rPr>
          <w:rFonts w:cs="Tahoma"/>
          <w:color w:val="000000"/>
        </w:rPr>
        <w:t>110</w:t>
      </w:r>
      <w:r w:rsidR="00B9634D">
        <w:rPr>
          <w:rFonts w:cs="Tahoma"/>
          <w:color w:val="000000"/>
        </w:rPr>
        <w:t xml:space="preserve"> ze zm.</w:t>
      </w:r>
      <w:r w:rsidRPr="00821AF6">
        <w:rPr>
          <w:rFonts w:cs="Tahoma"/>
          <w:color w:val="000000"/>
        </w:rPr>
        <w:t>) – stanowiąca ewaluację zmian proponowanych w „Krajowych ramach polityki rozwoju infrastruktury paliw alternatywnych”, przyjętych przez Radę Ministrów w dniu 29 marca 2017 r.</w:t>
      </w:r>
    </w:p>
    <w:p w14:paraId="614225F1" w14:textId="77777777" w:rsidR="00AD1DD1" w:rsidRPr="00821AF6" w:rsidRDefault="00AD1DD1" w:rsidP="00DB66E8">
      <w:pPr>
        <w:rPr>
          <w:rFonts w:cs="Tahoma"/>
          <w:color w:val="000000"/>
        </w:rPr>
      </w:pPr>
      <w:r w:rsidRPr="00821AF6">
        <w:rPr>
          <w:rFonts w:cs="Tahoma"/>
          <w:color w:val="000000"/>
        </w:rPr>
        <w:t>Paliwa alternatywne w transporcie należy rozumieć jako paliwa lub źródła energii, które przynajmniej częściowo są substytutem dla źródeł energii pochodzących z przetworzenia surowej ropy naftowej. Paliwa alternatywne potencjalnie mogą przyczynić się do redukcji negatywnego wpływu transportu na klimat, zmniejszając globalną emisję gazów cieplarnianych. Znacznie szersze niż obecnie zastosowanie paliw alternatywnych w Polsce wpłynęłoby na poprawę ekologiczności sektora transportu. Do paliw alternatywnych zalicza się: energię elektryczną, wodór, biopaliwa, paliwa syntetyczne i parafinowe, sprężony gaz ziemny (CNG), skroplony gaz ziemny (LNG) oraz gaz płynny (LPG).</w:t>
      </w:r>
    </w:p>
    <w:p w14:paraId="41B680D1" w14:textId="0D685BDA" w:rsidR="00AD1DD1" w:rsidRPr="00821AF6" w:rsidRDefault="00AD1DD1" w:rsidP="00DB66E8">
      <w:pPr>
        <w:rPr>
          <w:rFonts w:cs="Tahoma"/>
          <w:color w:val="000000"/>
        </w:rPr>
      </w:pPr>
      <w:r w:rsidRPr="00821AF6">
        <w:rPr>
          <w:rFonts w:cs="Tahoma"/>
          <w:color w:val="000000"/>
        </w:rPr>
        <w:t>Zwiększenie zastosowania paliw alternatywnych wymaga utworzenia dedykowanej im infrastruktury – przeznaczonej do tankowania lub ładowania pojazdów samochodowych nimi napędzanych. Brak takiej infrastruktury zniechęca konsumentów do wyboru paliw alternatywnych jako źródła zasilania silników ich pojazdów. Jedynym wyjątkiem jest gaz płynny (LPG), który w Polsce jest powszechnie dostępny na stacjach benzynowych i stacjach dedykowanych tankowaniu LPG. Niska cena i zarazem wysoka dostępność gazu płynnego, wpłynęły na dość dużą jego popularność u użytkowników samochodów osobowych i dostawczych. W zakresie pozostałych paliw alternatywnych przedsiębiorcy-dostawcy nie są zainteresowani rozwojem działalności gospodarczej ich dotyczącej – z uwagi na brak popytu.</w:t>
      </w:r>
    </w:p>
    <w:p w14:paraId="5F61292F" w14:textId="51A77015" w:rsidR="00B4040C" w:rsidRPr="00821AF6" w:rsidRDefault="00B4040C" w:rsidP="009B64A8">
      <w:pPr>
        <w:rPr>
          <w:rFonts w:cs="Tahoma"/>
          <w:bCs/>
          <w:color w:val="000000"/>
        </w:rPr>
      </w:pPr>
      <w:r w:rsidRPr="00821AF6">
        <w:rPr>
          <w:rFonts w:cs="Tahoma"/>
          <w:color w:val="000000"/>
        </w:rPr>
        <w:t xml:space="preserve">Ustawa </w:t>
      </w:r>
      <w:r w:rsidR="00285A02" w:rsidRPr="00821AF6">
        <w:rPr>
          <w:rFonts w:cs="Tahoma"/>
          <w:color w:val="000000"/>
        </w:rPr>
        <w:t xml:space="preserve">z dnia 11 stycznia 2018 r. </w:t>
      </w:r>
      <w:r w:rsidRPr="00821AF6">
        <w:rPr>
          <w:rFonts w:cs="Tahoma"/>
          <w:color w:val="000000"/>
        </w:rPr>
        <w:t xml:space="preserve">o elektromobilności i paliwach alternatywnych określa </w:t>
      </w:r>
      <w:r w:rsidRPr="00821AF6">
        <w:rPr>
          <w:rFonts w:cs="Tahoma"/>
          <w:bCs/>
          <w:color w:val="000000"/>
        </w:rPr>
        <w:t>warunki rozwoju i zasady rozmieszczania infrastruktury paliw alternatywnych w transporcie, zasady świadczenia usług w zakresie ładowania pojazdów elektrycznych oraz tankowania pojazdów napędzanych gazem ziemnym</w:t>
      </w:r>
      <w:r w:rsidR="009B64A8" w:rsidRPr="00821AF6">
        <w:rPr>
          <w:rFonts w:cs="Tahoma"/>
          <w:bCs/>
          <w:color w:val="000000"/>
        </w:rPr>
        <w:t xml:space="preserve"> i wodorem oraz wprowadza obowiązki informacyjne. </w:t>
      </w:r>
      <w:r w:rsidR="00285A02" w:rsidRPr="00821AF6">
        <w:rPr>
          <w:rFonts w:cs="Tahoma"/>
          <w:bCs/>
          <w:color w:val="000000"/>
        </w:rPr>
        <w:t>U</w:t>
      </w:r>
      <w:r w:rsidR="009B64A8" w:rsidRPr="00821AF6">
        <w:rPr>
          <w:rFonts w:cs="Tahoma"/>
          <w:bCs/>
          <w:color w:val="000000"/>
        </w:rPr>
        <w:t>stawa</w:t>
      </w:r>
      <w:r w:rsidRPr="00821AF6">
        <w:rPr>
          <w:rFonts w:cs="Tahoma"/>
          <w:bCs/>
          <w:color w:val="000000"/>
        </w:rPr>
        <w:t xml:space="preserve"> </w:t>
      </w:r>
      <w:r w:rsidR="00285A02" w:rsidRPr="00821AF6">
        <w:rPr>
          <w:rFonts w:cs="Tahoma"/>
          <w:bCs/>
          <w:color w:val="000000"/>
        </w:rPr>
        <w:t xml:space="preserve">ta </w:t>
      </w:r>
      <w:r w:rsidRPr="00821AF6">
        <w:rPr>
          <w:rFonts w:cs="Tahoma"/>
          <w:bCs/>
          <w:color w:val="000000"/>
        </w:rPr>
        <w:t xml:space="preserve">nakłada </w:t>
      </w:r>
      <w:r w:rsidR="009B64A8" w:rsidRPr="00821AF6">
        <w:rPr>
          <w:rFonts w:cs="Tahoma"/>
          <w:bCs/>
          <w:color w:val="000000"/>
        </w:rPr>
        <w:t>na organy administracji publicznej obowiązki</w:t>
      </w:r>
      <w:r w:rsidRPr="00821AF6">
        <w:rPr>
          <w:rFonts w:cs="Tahoma"/>
          <w:bCs/>
          <w:color w:val="000000"/>
        </w:rPr>
        <w:t xml:space="preserve"> korzystania z pojazdów zeroemisyjnych</w:t>
      </w:r>
      <w:r w:rsidR="009B64A8" w:rsidRPr="00821AF6">
        <w:rPr>
          <w:rFonts w:cs="Tahoma"/>
          <w:bCs/>
          <w:color w:val="000000"/>
        </w:rPr>
        <w:t xml:space="preserve"> przez własne służby, a także </w:t>
      </w:r>
      <w:r w:rsidRPr="00821AF6">
        <w:rPr>
          <w:rFonts w:cs="Tahoma"/>
          <w:bCs/>
          <w:color w:val="000000"/>
        </w:rPr>
        <w:t xml:space="preserve">przez przedsiębiorstwa realizujące usługi publiczne </w:t>
      </w:r>
      <w:r w:rsidR="009B64A8" w:rsidRPr="00821AF6">
        <w:rPr>
          <w:rFonts w:cs="Tahoma"/>
          <w:bCs/>
          <w:color w:val="000000"/>
        </w:rPr>
        <w:t xml:space="preserve">na ich zlecenie. Przepisy ustawy umożliwiają utworzenie przez gminy stref czystego transportu </w:t>
      </w:r>
      <w:r w:rsidRPr="00821AF6">
        <w:rPr>
          <w:rFonts w:cs="Tahoma"/>
          <w:bCs/>
          <w:color w:val="000000"/>
        </w:rPr>
        <w:t xml:space="preserve">oraz </w:t>
      </w:r>
      <w:r w:rsidR="009B64A8" w:rsidRPr="00821AF6">
        <w:rPr>
          <w:rFonts w:cs="Tahoma"/>
          <w:bCs/>
          <w:color w:val="000000"/>
        </w:rPr>
        <w:t>określają</w:t>
      </w:r>
      <w:r w:rsidRPr="00821AF6">
        <w:rPr>
          <w:rFonts w:cs="Tahoma"/>
          <w:bCs/>
          <w:color w:val="000000"/>
        </w:rPr>
        <w:t xml:space="preserve"> zasady </w:t>
      </w:r>
      <w:r w:rsidR="009B64A8" w:rsidRPr="00821AF6">
        <w:rPr>
          <w:rFonts w:cs="Tahoma"/>
          <w:bCs/>
          <w:color w:val="000000"/>
        </w:rPr>
        <w:t xml:space="preserve">ich </w:t>
      </w:r>
      <w:r w:rsidRPr="00821AF6">
        <w:rPr>
          <w:rFonts w:cs="Tahoma"/>
          <w:bCs/>
          <w:color w:val="000000"/>
        </w:rPr>
        <w:t>funkcjonowania.</w:t>
      </w:r>
    </w:p>
    <w:p w14:paraId="2D75C7AB" w14:textId="13E549F0" w:rsidR="00B4040C" w:rsidRPr="00821AF6" w:rsidRDefault="00B4040C" w:rsidP="009B64A8">
      <w:r w:rsidRPr="00821AF6">
        <w:lastRenderedPageBreak/>
        <w:t>Przywołana ustawa w art. 36 stanowi, że jednostka samorządu terytorialnego, której liczba mieszkańców przekracza 50 000 osób, świadczy usługę lub zleca świadczenie usługi komunikacji miejskiej, w rozumieniu ustawy o ptz podmiotowi, którego udział autobusów zeroemisyjnych we flocie użytkowanych pojazdów na obszarze tej jednostki wynosi co najmniej 30%. Przepis ten, na mocy art. 86 pkt 4, wchodzi w życie z dniem 1 stycznia 2028 r.</w:t>
      </w:r>
    </w:p>
    <w:p w14:paraId="1A79AB90" w14:textId="77777777" w:rsidR="00B4040C" w:rsidRPr="00821AF6" w:rsidRDefault="00B4040C" w:rsidP="009B64A8">
      <w:r w:rsidRPr="00821AF6">
        <w:t>Z kolei art. 68 ust. 4 nakłada na przekraczającą ten sam próg demograficzny jednostkę samorządu terytorialnego obowiązek zapewnienia w różnych latach określonych udziałów autobusów zeroemisyjnych we flocie pojazdów użytkowanych w komunikacji miejskiej.</w:t>
      </w:r>
    </w:p>
    <w:p w14:paraId="48B76EE1" w14:textId="77777777" w:rsidR="00B4040C" w:rsidRPr="00821AF6" w:rsidRDefault="00B4040C" w:rsidP="009B64A8">
      <w:r w:rsidRPr="00821AF6">
        <w:t>Udziały te wynoszą odpowiednio:</w:t>
      </w:r>
    </w:p>
    <w:p w14:paraId="40259716" w14:textId="77777777" w:rsidR="00B4040C" w:rsidRPr="00821AF6" w:rsidRDefault="00B4040C" w:rsidP="009B64A8">
      <w:pPr>
        <w:numPr>
          <w:ilvl w:val="0"/>
          <w:numId w:val="8"/>
        </w:numPr>
        <w:ind w:left="357" w:hanging="357"/>
      </w:pPr>
      <w:r w:rsidRPr="00821AF6">
        <w:t>od dnia 1 stycznia 2021 r. – 5%;</w:t>
      </w:r>
    </w:p>
    <w:p w14:paraId="7D220FAA" w14:textId="77777777" w:rsidR="00B4040C" w:rsidRPr="00821AF6" w:rsidRDefault="00B4040C" w:rsidP="009B64A8">
      <w:pPr>
        <w:numPr>
          <w:ilvl w:val="0"/>
          <w:numId w:val="8"/>
        </w:numPr>
        <w:ind w:left="357" w:hanging="357"/>
      </w:pPr>
      <w:r w:rsidRPr="00821AF6">
        <w:t>od dnia 1 stycznia 2023 r. – 10%;</w:t>
      </w:r>
    </w:p>
    <w:p w14:paraId="1EBFE372" w14:textId="77777777" w:rsidR="00B4040C" w:rsidRPr="00821AF6" w:rsidRDefault="00B4040C" w:rsidP="009B64A8">
      <w:pPr>
        <w:numPr>
          <w:ilvl w:val="0"/>
          <w:numId w:val="8"/>
        </w:numPr>
        <w:ind w:left="357" w:hanging="357"/>
      </w:pPr>
      <w:r w:rsidRPr="00821AF6">
        <w:t>od dnia 1 stycznia 2025 r. – 20%.</w:t>
      </w:r>
    </w:p>
    <w:p w14:paraId="42855B77" w14:textId="77777777" w:rsidR="00B4040C" w:rsidRPr="00821AF6" w:rsidRDefault="00B4040C" w:rsidP="009B64A8">
      <w:r w:rsidRPr="00821AF6">
        <w:t>Z art. 68 wynika, że wymogi powyższe dotyczą całej floty obsługującej przewozy w komunikacji miejskiej (więcej niż jednego operatora i nie tylko obszaru danej gminy).</w:t>
      </w:r>
    </w:p>
    <w:p w14:paraId="1112AFE9" w14:textId="75C51DC4" w:rsidR="00B4040C" w:rsidRPr="00821AF6" w:rsidRDefault="00B4040C" w:rsidP="009B64A8">
      <w:pPr>
        <w:rPr>
          <w:rFonts w:cs="Tahoma"/>
          <w:color w:val="000000"/>
        </w:rPr>
      </w:pPr>
      <w:r w:rsidRPr="00821AF6">
        <w:rPr>
          <w:rFonts w:cs="Tahoma"/>
          <w:color w:val="000000"/>
        </w:rPr>
        <w:t>Na mocy art. 37 ust. 1 ustawy o elektromobilności i paliwach alternatywnych, każda jednostka samorządu terytorialnego – z wyłączeniem gmin i powiatów, których liczba mieszkańców nie przekracza 50 000 (wyłączenie to sprecyzowano w art. 36 ust. 1) – która świadczy usługę lub zleca świadczenie usługi komunikacji miejskiej w rozumieniu ustawy z dnia 16 grudnia 2010 r. o publicznym transporcie zbiorowym, zobowiązana została do sporządzania co 36 miesięcy analizy kosztów i korzyści związanych z wykorzystaniem, przy świadczeniu usług komunikacji miejskiej, autobusów zeroemisyjnych oraz innych środków transportu, w których do</w:t>
      </w:r>
      <w:r w:rsidR="00285A02" w:rsidRPr="00821AF6">
        <w:rPr>
          <w:rFonts w:cs="Tahoma"/>
          <w:color w:val="000000"/>
        </w:rPr>
        <w:t> </w:t>
      </w:r>
      <w:r w:rsidRPr="00821AF6">
        <w:rPr>
          <w:rFonts w:cs="Tahoma"/>
          <w:color w:val="000000"/>
        </w:rPr>
        <w:t>napędu wykorzystywane są wyłącznie silniki, których cykl pracy nie powoduje emisji gazów cieplarnianych lub innych substancji objętych systemem zarządzania emisjami gazów cieplarnianych, o którym mowa w ustawie z dnia 17 lipca 2009 r. o systemie zarządzania emisjami gazów cieplarnianych i innych substancji.</w:t>
      </w:r>
    </w:p>
    <w:p w14:paraId="0DC9BA64" w14:textId="3901ADA0" w:rsidR="00F11561" w:rsidRPr="00821AF6" w:rsidRDefault="00437724" w:rsidP="00363AA3">
      <w:pPr>
        <w:rPr>
          <w:rFonts w:cs="Tahoma"/>
          <w:color w:val="000000"/>
        </w:rPr>
      </w:pPr>
      <w:bookmarkStart w:id="8" w:name="_Toc326594770"/>
      <w:bookmarkEnd w:id="6"/>
      <w:bookmarkEnd w:id="7"/>
      <w:r>
        <w:rPr>
          <w:rFonts w:cs="Tahoma"/>
          <w:color w:val="000000"/>
        </w:rPr>
        <w:t xml:space="preserve">Gmina </w:t>
      </w:r>
      <w:r w:rsidR="00A55214">
        <w:rPr>
          <w:rFonts w:cs="Tahoma"/>
          <w:color w:val="000000"/>
        </w:rPr>
        <w:t>M</w:t>
      </w:r>
      <w:r w:rsidR="00AE0C28">
        <w:rPr>
          <w:rFonts w:cs="Tahoma"/>
          <w:color w:val="000000"/>
        </w:rPr>
        <w:t>iasto</w:t>
      </w:r>
      <w:r w:rsidR="00FB0237" w:rsidRPr="00821AF6">
        <w:rPr>
          <w:rFonts w:cs="Tahoma"/>
          <w:color w:val="000000"/>
        </w:rPr>
        <w:t xml:space="preserve"> </w:t>
      </w:r>
      <w:r w:rsidR="00B5326D">
        <w:rPr>
          <w:rFonts w:cs="Tahoma"/>
          <w:color w:val="000000"/>
        </w:rPr>
        <w:t>Rzeszów</w:t>
      </w:r>
      <w:r w:rsidR="00FB0237" w:rsidRPr="00821AF6">
        <w:rPr>
          <w:rFonts w:cs="Tahoma"/>
          <w:color w:val="000000"/>
        </w:rPr>
        <w:t xml:space="preserve"> jest jednostką samorządu terytorialnego, której liczba mieszkańców – według d</w:t>
      </w:r>
      <w:r w:rsidR="00F11561" w:rsidRPr="00821AF6">
        <w:rPr>
          <w:rFonts w:cs="Tahoma"/>
          <w:color w:val="000000"/>
        </w:rPr>
        <w:t xml:space="preserve">anych GUS – w latach 2015-2020 </w:t>
      </w:r>
      <w:r w:rsidR="00FB0237" w:rsidRPr="00821AF6">
        <w:rPr>
          <w:rFonts w:cs="Tahoma"/>
          <w:color w:val="000000"/>
        </w:rPr>
        <w:t xml:space="preserve">wynosiła </w:t>
      </w:r>
      <w:r w:rsidR="00FB0237" w:rsidRPr="008F4002">
        <w:rPr>
          <w:rFonts w:cs="Tahoma"/>
          <w:color w:val="000000"/>
        </w:rPr>
        <w:t xml:space="preserve">ponad </w:t>
      </w:r>
      <w:r w:rsidR="00B5326D">
        <w:rPr>
          <w:rFonts w:cs="Tahoma"/>
          <w:color w:val="000000"/>
        </w:rPr>
        <w:t>190</w:t>
      </w:r>
      <w:r w:rsidR="00F6009E" w:rsidRPr="008F4002">
        <w:rPr>
          <w:rFonts w:cs="Tahoma"/>
          <w:color w:val="000000"/>
        </w:rPr>
        <w:t xml:space="preserve"> </w:t>
      </w:r>
      <w:r w:rsidR="00FB0237" w:rsidRPr="008F4002">
        <w:rPr>
          <w:rFonts w:cs="Tahoma"/>
          <w:color w:val="000000"/>
        </w:rPr>
        <w:t xml:space="preserve">tys. </w:t>
      </w:r>
      <w:bookmarkStart w:id="9" w:name="_Hlk529719949"/>
      <w:bookmarkStart w:id="10" w:name="_Hlk532321628"/>
      <w:r w:rsidR="00AD1DD1" w:rsidRPr="008F4002">
        <w:rPr>
          <w:rFonts w:cs="Tahoma"/>
          <w:color w:val="000000"/>
        </w:rPr>
        <w:t>i tym</w:t>
      </w:r>
      <w:r w:rsidR="00AD1DD1" w:rsidRPr="00821AF6">
        <w:rPr>
          <w:rFonts w:cs="Tahoma"/>
          <w:color w:val="000000"/>
        </w:rPr>
        <w:t xml:space="preserve"> samym przekraczała przywołany limit demograficzny wynikający z art. 36 ust. 1 ustawy o elektromobilności i paliwach alternatywnych.</w:t>
      </w:r>
      <w:bookmarkEnd w:id="9"/>
      <w:r w:rsidR="00FB0237" w:rsidRPr="00821AF6">
        <w:rPr>
          <w:rFonts w:cs="Tahoma"/>
          <w:color w:val="000000"/>
        </w:rPr>
        <w:t xml:space="preserve"> </w:t>
      </w:r>
      <w:bookmarkEnd w:id="10"/>
      <w:r>
        <w:rPr>
          <w:rFonts w:cs="Tahoma"/>
          <w:color w:val="000000"/>
        </w:rPr>
        <w:t xml:space="preserve">Gmina </w:t>
      </w:r>
      <w:r w:rsidR="00A55214">
        <w:rPr>
          <w:rFonts w:cs="Tahoma"/>
          <w:color w:val="000000"/>
        </w:rPr>
        <w:t>Miast</w:t>
      </w:r>
      <w:r w:rsidR="00AE0C28">
        <w:rPr>
          <w:rFonts w:cs="Tahoma"/>
          <w:color w:val="000000"/>
        </w:rPr>
        <w:t>o</w:t>
      </w:r>
      <w:r w:rsidR="00FB0237" w:rsidRPr="00821AF6">
        <w:rPr>
          <w:rFonts w:cs="Tahoma"/>
          <w:color w:val="000000"/>
        </w:rPr>
        <w:t xml:space="preserve"> </w:t>
      </w:r>
      <w:r w:rsidR="00B5326D">
        <w:rPr>
          <w:rFonts w:cs="Tahoma"/>
          <w:color w:val="000000"/>
        </w:rPr>
        <w:t>Rzeszów</w:t>
      </w:r>
      <w:r w:rsidR="00FB0237" w:rsidRPr="00821AF6">
        <w:rPr>
          <w:rFonts w:cs="Tahoma"/>
          <w:color w:val="000000"/>
        </w:rPr>
        <w:t xml:space="preserve"> </w:t>
      </w:r>
      <w:bookmarkStart w:id="11" w:name="_Hlk532321645"/>
      <w:r w:rsidR="00FB0237" w:rsidRPr="00821AF6">
        <w:rPr>
          <w:rFonts w:cs="Tahoma"/>
          <w:color w:val="000000"/>
        </w:rPr>
        <w:t>jest więc prawnie zobowiązan</w:t>
      </w:r>
      <w:r>
        <w:rPr>
          <w:rFonts w:cs="Tahoma"/>
          <w:color w:val="000000"/>
        </w:rPr>
        <w:t>a</w:t>
      </w:r>
      <w:r w:rsidR="00FB0237" w:rsidRPr="00821AF6">
        <w:rPr>
          <w:rFonts w:cs="Tahoma"/>
          <w:color w:val="000000"/>
        </w:rPr>
        <w:t xml:space="preserve"> do </w:t>
      </w:r>
      <w:r w:rsidR="00AD1DD1" w:rsidRPr="00821AF6">
        <w:rPr>
          <w:rFonts w:cs="Tahoma"/>
          <w:color w:val="000000"/>
        </w:rPr>
        <w:t>cyklicznego sporządzania analiz kosztów i korzyści związanych z wykorzystaniem autobusów zeroemisyjnych przy świadczeniu usług komunikacji miejskiej.</w:t>
      </w:r>
    </w:p>
    <w:p w14:paraId="33CE54FF" w14:textId="0F12D7B3" w:rsidR="00AD1DD1" w:rsidRPr="00821AF6" w:rsidRDefault="00AD1DD1" w:rsidP="00363AA3">
      <w:pPr>
        <w:rPr>
          <w:rFonts w:cs="Tahoma"/>
          <w:color w:val="000000"/>
        </w:rPr>
      </w:pPr>
      <w:r w:rsidRPr="00821AF6">
        <w:rPr>
          <w:rFonts w:cs="Tahoma"/>
          <w:color w:val="000000"/>
        </w:rPr>
        <w:t xml:space="preserve">Pierwszą analizę </w:t>
      </w:r>
      <w:r w:rsidR="00363AA3" w:rsidRPr="00821AF6">
        <w:rPr>
          <w:rFonts w:cs="Tahoma"/>
          <w:color w:val="000000"/>
        </w:rPr>
        <w:t>kosztów i korzyści</w:t>
      </w:r>
      <w:r w:rsidRPr="00821AF6">
        <w:rPr>
          <w:rFonts w:cs="Tahoma"/>
          <w:color w:val="000000"/>
        </w:rPr>
        <w:t xml:space="preserve"> </w:t>
      </w:r>
      <w:r w:rsidR="00363AA3" w:rsidRPr="00176AD7">
        <w:rPr>
          <w:rFonts w:cs="Tahoma"/>
          <w:color w:val="000000"/>
        </w:rPr>
        <w:t xml:space="preserve">wykonano w </w:t>
      </w:r>
      <w:r w:rsidR="00B5326D">
        <w:rPr>
          <w:rFonts w:cs="Tahoma"/>
          <w:color w:val="000000"/>
        </w:rPr>
        <w:t>2018</w:t>
      </w:r>
      <w:r w:rsidRPr="00176AD7">
        <w:rPr>
          <w:rFonts w:cs="Tahoma"/>
          <w:color w:val="000000"/>
        </w:rPr>
        <w:t xml:space="preserve"> r. </w:t>
      </w:r>
      <w:r w:rsidR="00363AA3" w:rsidRPr="00176AD7">
        <w:rPr>
          <w:rFonts w:cs="Tahoma"/>
          <w:color w:val="000000"/>
        </w:rPr>
        <w:t>Wynik</w:t>
      </w:r>
      <w:r w:rsidR="00363AA3" w:rsidRPr="00821AF6">
        <w:rPr>
          <w:rFonts w:cs="Tahoma"/>
          <w:color w:val="000000"/>
        </w:rPr>
        <w:t xml:space="preserve"> </w:t>
      </w:r>
      <w:r w:rsidR="00285A02" w:rsidRPr="00821AF6">
        <w:rPr>
          <w:rFonts w:cs="Tahoma"/>
          <w:color w:val="000000"/>
        </w:rPr>
        <w:t xml:space="preserve">tej </w:t>
      </w:r>
      <w:r w:rsidR="00363AA3" w:rsidRPr="00821AF6">
        <w:rPr>
          <w:rFonts w:cs="Tahoma"/>
          <w:color w:val="000000"/>
        </w:rPr>
        <w:t xml:space="preserve">analizy nie wykazał przewagi korzyści nad kosztami z </w:t>
      </w:r>
      <w:r w:rsidR="00285A02" w:rsidRPr="00821AF6">
        <w:rPr>
          <w:rFonts w:cs="Tahoma"/>
          <w:color w:val="000000"/>
        </w:rPr>
        <w:t xml:space="preserve">tytułu </w:t>
      </w:r>
      <w:r w:rsidR="00363AA3" w:rsidRPr="00821AF6">
        <w:rPr>
          <w:rFonts w:cs="Tahoma"/>
          <w:color w:val="000000"/>
        </w:rPr>
        <w:t>wprowadzenia do eksploatacji autobusów zeroemisyjnych</w:t>
      </w:r>
      <w:r w:rsidR="00AE0C28">
        <w:rPr>
          <w:rFonts w:cs="Tahoma"/>
          <w:color w:val="000000"/>
        </w:rPr>
        <w:t>, Gmina Miasto</w:t>
      </w:r>
      <w:r w:rsidR="00A55214">
        <w:rPr>
          <w:rFonts w:cs="Tahoma"/>
          <w:color w:val="000000"/>
        </w:rPr>
        <w:t xml:space="preserve"> </w:t>
      </w:r>
      <w:r w:rsidR="00B5326D">
        <w:rPr>
          <w:rFonts w:cs="Tahoma"/>
          <w:color w:val="000000"/>
        </w:rPr>
        <w:t>Rzeszów</w:t>
      </w:r>
      <w:r w:rsidR="00363AA3" w:rsidRPr="00821AF6">
        <w:rPr>
          <w:rFonts w:cs="Tahoma"/>
          <w:color w:val="000000"/>
        </w:rPr>
        <w:t xml:space="preserve"> zwolnion</w:t>
      </w:r>
      <w:r w:rsidR="00437724">
        <w:rPr>
          <w:rFonts w:cs="Tahoma"/>
          <w:color w:val="000000"/>
        </w:rPr>
        <w:t>a</w:t>
      </w:r>
      <w:r w:rsidR="00363AA3" w:rsidRPr="00821AF6">
        <w:rPr>
          <w:rFonts w:cs="Tahoma"/>
          <w:color w:val="000000"/>
        </w:rPr>
        <w:t xml:space="preserve"> więc został</w:t>
      </w:r>
      <w:r w:rsidR="00437724">
        <w:rPr>
          <w:rFonts w:cs="Tahoma"/>
          <w:color w:val="000000"/>
        </w:rPr>
        <w:t>a</w:t>
      </w:r>
      <w:r w:rsidR="00363AA3" w:rsidRPr="00821AF6">
        <w:rPr>
          <w:rFonts w:cs="Tahoma"/>
          <w:color w:val="000000"/>
        </w:rPr>
        <w:t xml:space="preserve"> z obowiązku osiągnięcia wymaganego udziału autobusów zeroemisyjnych w okresie do </w:t>
      </w:r>
      <w:r w:rsidR="00E21548">
        <w:rPr>
          <w:rFonts w:cs="Tahoma"/>
          <w:color w:val="000000"/>
        </w:rPr>
        <w:t xml:space="preserve">3 lat </w:t>
      </w:r>
      <w:r w:rsidR="00363AA3" w:rsidRPr="00821AF6">
        <w:rPr>
          <w:rFonts w:cs="Tahoma"/>
          <w:color w:val="000000"/>
        </w:rPr>
        <w:t>od daty jej sporządzenia,</w:t>
      </w:r>
      <w:r w:rsidR="00E21548">
        <w:rPr>
          <w:rFonts w:cs="Tahoma"/>
          <w:color w:val="000000"/>
        </w:rPr>
        <w:t xml:space="preserve"> czyli do 2022 r.</w:t>
      </w:r>
      <w:r w:rsidR="00363AA3" w:rsidRPr="00821AF6">
        <w:rPr>
          <w:rFonts w:cs="Tahoma"/>
          <w:color w:val="000000"/>
        </w:rPr>
        <w:t xml:space="preserve"> </w:t>
      </w:r>
      <w:r w:rsidR="00437724">
        <w:rPr>
          <w:rFonts w:cs="Tahoma"/>
          <w:color w:val="000000"/>
        </w:rPr>
        <w:lastRenderedPageBreak/>
        <w:t xml:space="preserve">Gmina </w:t>
      </w:r>
      <w:r w:rsidR="00A55214">
        <w:rPr>
          <w:rFonts w:cs="Tahoma"/>
          <w:color w:val="000000"/>
        </w:rPr>
        <w:t xml:space="preserve">Miasta </w:t>
      </w:r>
      <w:r w:rsidR="00B5326D">
        <w:rPr>
          <w:rFonts w:cs="Tahoma"/>
          <w:color w:val="000000"/>
        </w:rPr>
        <w:t>Rzeszów</w:t>
      </w:r>
      <w:r w:rsidR="00363AA3" w:rsidRPr="00821AF6">
        <w:rPr>
          <w:rFonts w:cs="Tahoma"/>
          <w:color w:val="000000"/>
        </w:rPr>
        <w:t xml:space="preserve"> nie musiał</w:t>
      </w:r>
      <w:r w:rsidR="00437724">
        <w:rPr>
          <w:rFonts w:cs="Tahoma"/>
          <w:color w:val="000000"/>
        </w:rPr>
        <w:t>a</w:t>
      </w:r>
      <w:r w:rsidR="00363AA3" w:rsidRPr="00821AF6">
        <w:rPr>
          <w:rFonts w:cs="Tahoma"/>
          <w:color w:val="000000"/>
        </w:rPr>
        <w:t xml:space="preserve"> więc zapewnić od 1 stycznia 2021 r. </w:t>
      </w:r>
      <w:r w:rsidR="00285A02" w:rsidRPr="00821AF6">
        <w:rPr>
          <w:rFonts w:cs="Tahoma"/>
          <w:color w:val="000000"/>
        </w:rPr>
        <w:t xml:space="preserve">minimum </w:t>
      </w:r>
      <w:r w:rsidR="00363AA3" w:rsidRPr="00821AF6">
        <w:rPr>
          <w:rFonts w:cs="Tahoma"/>
          <w:color w:val="000000"/>
        </w:rPr>
        <w:t>5% udziału autobusów zeroemisyjnych w użytkowanej w komunikacji miejskiej flocie pojazdów.</w:t>
      </w:r>
      <w:r w:rsidR="00437724">
        <w:rPr>
          <w:rFonts w:cs="Tahoma"/>
          <w:color w:val="000000"/>
        </w:rPr>
        <w:t xml:space="preserve"> </w:t>
      </w:r>
      <w:r w:rsidR="00363AA3" w:rsidRPr="00821AF6">
        <w:rPr>
          <w:rFonts w:cs="Tahoma"/>
          <w:color w:val="000000"/>
        </w:rPr>
        <w:t>Kolejna analiza powinna zostać wykonana przed upływem 36 miesięcy od opracowani</w:t>
      </w:r>
      <w:r w:rsidR="00285A02" w:rsidRPr="00821AF6">
        <w:rPr>
          <w:rFonts w:cs="Tahoma"/>
          <w:color w:val="000000"/>
        </w:rPr>
        <w:t>a</w:t>
      </w:r>
      <w:r w:rsidR="00363AA3" w:rsidRPr="00821AF6">
        <w:rPr>
          <w:rFonts w:cs="Tahoma"/>
          <w:color w:val="000000"/>
        </w:rPr>
        <w:t xml:space="preserve"> pierwszego takiego dokumentu</w:t>
      </w:r>
      <w:r w:rsidR="00E21548">
        <w:rPr>
          <w:rFonts w:cs="Tahoma"/>
          <w:color w:val="000000"/>
        </w:rPr>
        <w:t xml:space="preserve">. </w:t>
      </w:r>
      <w:r w:rsidRPr="00821AF6">
        <w:rPr>
          <w:rFonts w:cs="Tahoma"/>
          <w:color w:val="000000"/>
        </w:rPr>
        <w:t>Przedmiotow</w:t>
      </w:r>
      <w:r w:rsidR="00285A02" w:rsidRPr="00821AF6">
        <w:rPr>
          <w:rFonts w:cs="Tahoma"/>
          <w:color w:val="000000"/>
        </w:rPr>
        <w:t>ą</w:t>
      </w:r>
      <w:r w:rsidRPr="00821AF6">
        <w:rPr>
          <w:rFonts w:cs="Tahoma"/>
          <w:color w:val="000000"/>
        </w:rPr>
        <w:t xml:space="preserve"> analiz</w:t>
      </w:r>
      <w:r w:rsidR="00285A02" w:rsidRPr="00821AF6">
        <w:rPr>
          <w:rFonts w:cs="Tahoma"/>
          <w:color w:val="000000"/>
        </w:rPr>
        <w:t>ę</w:t>
      </w:r>
      <w:r w:rsidRPr="00821AF6">
        <w:rPr>
          <w:rFonts w:cs="Tahoma"/>
          <w:color w:val="000000"/>
        </w:rPr>
        <w:t xml:space="preserve"> stanowi treść niniejszego opracowania.</w:t>
      </w:r>
    </w:p>
    <w:p w14:paraId="1FB6B9AC" w14:textId="77777777" w:rsidR="00AD1DD1" w:rsidRPr="00821AF6" w:rsidRDefault="00AD1DD1" w:rsidP="00363AA3">
      <w:pPr>
        <w:spacing w:line="240" w:lineRule="auto"/>
        <w:ind w:firstLine="0"/>
        <w:jc w:val="left"/>
        <w:rPr>
          <w:rFonts w:cs="Tahoma"/>
          <w:b/>
          <w:bCs/>
          <w:color w:val="000000"/>
          <w:kern w:val="32"/>
          <w:sz w:val="28"/>
          <w:szCs w:val="32"/>
        </w:rPr>
      </w:pPr>
      <w:bookmarkStart w:id="12" w:name="_Toc531845497"/>
      <w:r w:rsidRPr="00821AF6">
        <w:rPr>
          <w:rFonts w:cs="Tahoma"/>
          <w:color w:val="000000"/>
        </w:rPr>
        <w:br w:type="page"/>
      </w:r>
    </w:p>
    <w:p w14:paraId="5D783C37" w14:textId="103A17FB" w:rsidR="00AD1DD1" w:rsidRPr="00821AF6" w:rsidRDefault="00AD1DD1" w:rsidP="00363AA3">
      <w:pPr>
        <w:pStyle w:val="Nagwek1"/>
        <w:ind w:left="431" w:hanging="431"/>
        <w:rPr>
          <w:rFonts w:cs="Tahoma"/>
          <w:color w:val="000000"/>
        </w:rPr>
      </w:pPr>
      <w:bookmarkStart w:id="13" w:name="_Toc89417662"/>
      <w:r w:rsidRPr="00821AF6">
        <w:rPr>
          <w:rFonts w:cs="Tahoma"/>
          <w:color w:val="000000"/>
        </w:rPr>
        <w:lastRenderedPageBreak/>
        <w:t>Zakres i podstawy prawne opracowania</w:t>
      </w:r>
      <w:r w:rsidRPr="00821AF6">
        <w:rPr>
          <w:rFonts w:cs="Tahoma"/>
          <w:color w:val="000000"/>
        </w:rPr>
        <w:br/>
        <w:t>oraz zastosowane definicje i określenia</w:t>
      </w:r>
      <w:bookmarkEnd w:id="12"/>
      <w:bookmarkEnd w:id="13"/>
    </w:p>
    <w:p w14:paraId="68AAF713" w14:textId="77777777" w:rsidR="00AD1DD1" w:rsidRPr="00821AF6" w:rsidRDefault="00AD1DD1" w:rsidP="00363AA3">
      <w:pPr>
        <w:pStyle w:val="Nagwek2"/>
        <w:tabs>
          <w:tab w:val="left" w:pos="539"/>
        </w:tabs>
        <w:spacing w:before="120"/>
        <w:ind w:left="567"/>
        <w:jc w:val="center"/>
        <w:rPr>
          <w:color w:val="000000"/>
        </w:rPr>
      </w:pPr>
      <w:bookmarkStart w:id="14" w:name="_Toc531845498"/>
      <w:bookmarkStart w:id="15" w:name="_Toc89417663"/>
      <w:r w:rsidRPr="00821AF6">
        <w:rPr>
          <w:color w:val="000000"/>
        </w:rPr>
        <w:t>Struktura analizy i dokumenty źródłowe</w:t>
      </w:r>
      <w:bookmarkEnd w:id="14"/>
      <w:bookmarkEnd w:id="15"/>
    </w:p>
    <w:p w14:paraId="01D57FBA" w14:textId="77777777" w:rsidR="00AD1DD1" w:rsidRPr="00821AF6" w:rsidRDefault="00AD1DD1" w:rsidP="005D6496">
      <w:pPr>
        <w:rPr>
          <w:rFonts w:cs="Tahoma"/>
          <w:color w:val="000000"/>
        </w:rPr>
      </w:pPr>
      <w:r w:rsidRPr="00821AF6">
        <w:rPr>
          <w:rFonts w:cs="Tahoma"/>
          <w:color w:val="000000"/>
        </w:rPr>
        <w:t>W ramach dokumentu przedstawiono:</w:t>
      </w:r>
    </w:p>
    <w:bookmarkEnd w:id="11"/>
    <w:p w14:paraId="1DD6C010" w14:textId="0881F8FA" w:rsidR="00CA01C4" w:rsidRPr="00821AF6" w:rsidRDefault="00DA4051" w:rsidP="005D6496">
      <w:pPr>
        <w:pStyle w:val="Akapitzlist"/>
        <w:numPr>
          <w:ilvl w:val="0"/>
          <w:numId w:val="4"/>
        </w:numPr>
        <w:spacing w:after="0" w:line="360" w:lineRule="auto"/>
        <w:ind w:left="357" w:hanging="357"/>
        <w:jc w:val="both"/>
        <w:rPr>
          <w:rFonts w:ascii="Tahoma" w:hAnsi="Tahoma" w:cs="Tahoma"/>
          <w:color w:val="000000"/>
        </w:rPr>
      </w:pPr>
      <w:r w:rsidRPr="00821AF6">
        <w:rPr>
          <w:rFonts w:ascii="Tahoma" w:hAnsi="Tahoma" w:cs="Tahoma"/>
          <w:color w:val="000000"/>
        </w:rPr>
        <w:t>aktualn</w:t>
      </w:r>
      <w:r w:rsidR="005E1907" w:rsidRPr="00821AF6">
        <w:rPr>
          <w:rFonts w:ascii="Tahoma" w:hAnsi="Tahoma" w:cs="Tahoma"/>
          <w:color w:val="000000"/>
        </w:rPr>
        <w:t xml:space="preserve">ą sytuację eksploatacyjną </w:t>
      </w:r>
      <w:r w:rsidR="00C73F5E">
        <w:rPr>
          <w:rFonts w:ascii="Tahoma" w:hAnsi="Tahoma" w:cs="Tahoma"/>
          <w:color w:val="000000"/>
        </w:rPr>
        <w:t>rzeszowskie</w:t>
      </w:r>
      <w:r w:rsidR="00AE0C28">
        <w:rPr>
          <w:rFonts w:ascii="Tahoma" w:hAnsi="Tahoma" w:cs="Tahoma"/>
          <w:color w:val="000000"/>
        </w:rPr>
        <w:t>j</w:t>
      </w:r>
      <w:r w:rsidR="00265608">
        <w:rPr>
          <w:rFonts w:ascii="Tahoma" w:hAnsi="Tahoma" w:cs="Tahoma"/>
          <w:color w:val="000000"/>
        </w:rPr>
        <w:t xml:space="preserve"> </w:t>
      </w:r>
      <w:r w:rsidRPr="00821AF6">
        <w:rPr>
          <w:rFonts w:ascii="Tahoma" w:hAnsi="Tahoma" w:cs="Tahoma"/>
          <w:color w:val="000000"/>
        </w:rPr>
        <w:t>komunikacji miejskiej, w tym stan jej taboru</w:t>
      </w:r>
      <w:r w:rsidR="00CA01C4" w:rsidRPr="00821AF6">
        <w:rPr>
          <w:rFonts w:ascii="Tahoma" w:hAnsi="Tahoma" w:cs="Tahoma"/>
          <w:color w:val="000000"/>
        </w:rPr>
        <w:t>;</w:t>
      </w:r>
    </w:p>
    <w:p w14:paraId="5292E14E" w14:textId="1F2DEBBA" w:rsidR="00DA4051" w:rsidRPr="00821AF6" w:rsidRDefault="00DA4051" w:rsidP="005D6496">
      <w:pPr>
        <w:pStyle w:val="Akapitzlist"/>
        <w:numPr>
          <w:ilvl w:val="0"/>
          <w:numId w:val="4"/>
        </w:numPr>
        <w:spacing w:after="0" w:line="360" w:lineRule="auto"/>
        <w:ind w:left="357" w:hanging="357"/>
        <w:jc w:val="both"/>
        <w:rPr>
          <w:rFonts w:ascii="Tahoma" w:hAnsi="Tahoma" w:cs="Tahoma"/>
          <w:color w:val="000000"/>
        </w:rPr>
      </w:pPr>
      <w:bookmarkStart w:id="16" w:name="_Hlk532321717"/>
      <w:r w:rsidRPr="00821AF6">
        <w:rPr>
          <w:rFonts w:ascii="Tahoma" w:hAnsi="Tahoma" w:cs="Tahoma"/>
          <w:color w:val="000000"/>
        </w:rPr>
        <w:t xml:space="preserve">planowane </w:t>
      </w:r>
      <w:r w:rsidR="005E1907" w:rsidRPr="00821AF6">
        <w:rPr>
          <w:rFonts w:ascii="Tahoma" w:hAnsi="Tahoma" w:cs="Tahoma"/>
          <w:color w:val="000000"/>
        </w:rPr>
        <w:t xml:space="preserve">do realizacji </w:t>
      </w:r>
      <w:r w:rsidR="00A10E62" w:rsidRPr="00821AF6">
        <w:rPr>
          <w:rFonts w:ascii="Tahoma" w:hAnsi="Tahoma" w:cs="Tahoma"/>
          <w:color w:val="000000"/>
        </w:rPr>
        <w:t>warianty wymiany taboru</w:t>
      </w:r>
      <w:r w:rsidR="00363AA3" w:rsidRPr="00821AF6">
        <w:rPr>
          <w:rFonts w:ascii="Tahoma" w:hAnsi="Tahoma" w:cs="Tahoma"/>
          <w:color w:val="000000"/>
        </w:rPr>
        <w:t xml:space="preserve">: </w:t>
      </w:r>
      <w:bookmarkEnd w:id="16"/>
      <w:r w:rsidR="00363AA3" w:rsidRPr="00821AF6">
        <w:rPr>
          <w:rFonts w:ascii="Tahoma" w:hAnsi="Tahoma" w:cs="Tahoma"/>
          <w:color w:val="000000"/>
        </w:rPr>
        <w:t xml:space="preserve">konwencjonalny oraz </w:t>
      </w:r>
      <w:r w:rsidR="00B9634D">
        <w:rPr>
          <w:rFonts w:ascii="Tahoma" w:hAnsi="Tahoma" w:cs="Tahoma"/>
          <w:color w:val="000000"/>
        </w:rPr>
        <w:t xml:space="preserve">dwa </w:t>
      </w:r>
      <w:r w:rsidR="006B572E">
        <w:rPr>
          <w:rFonts w:ascii="Tahoma" w:hAnsi="Tahoma" w:cs="Tahoma"/>
          <w:color w:val="000000"/>
        </w:rPr>
        <w:t>wariant</w:t>
      </w:r>
      <w:r w:rsidR="00B9634D">
        <w:rPr>
          <w:rFonts w:ascii="Tahoma" w:hAnsi="Tahoma" w:cs="Tahoma"/>
          <w:color w:val="000000"/>
        </w:rPr>
        <w:t>y</w:t>
      </w:r>
      <w:r w:rsidR="006B572E">
        <w:rPr>
          <w:rFonts w:ascii="Tahoma" w:hAnsi="Tahoma" w:cs="Tahoma"/>
          <w:color w:val="000000"/>
        </w:rPr>
        <w:t xml:space="preserve"> zeroemisyjn</w:t>
      </w:r>
      <w:r w:rsidR="00B9634D">
        <w:rPr>
          <w:rFonts w:ascii="Tahoma" w:hAnsi="Tahoma" w:cs="Tahoma"/>
          <w:color w:val="000000"/>
        </w:rPr>
        <w:t xml:space="preserve">e wymiany taboru </w:t>
      </w:r>
      <w:r w:rsidR="005D6496" w:rsidRPr="00821AF6">
        <w:rPr>
          <w:rFonts w:ascii="Tahoma" w:hAnsi="Tahoma" w:cs="Tahoma"/>
          <w:color w:val="000000"/>
        </w:rPr>
        <w:t>na autobusy elektryczne, których silniki zasilane są z baterii</w:t>
      </w:r>
      <w:r w:rsidRPr="00821AF6">
        <w:rPr>
          <w:rFonts w:ascii="Tahoma" w:hAnsi="Tahoma" w:cs="Tahoma"/>
          <w:color w:val="000000"/>
        </w:rPr>
        <w:t>;</w:t>
      </w:r>
    </w:p>
    <w:p w14:paraId="67DA4FB7" w14:textId="105ECBD6" w:rsidR="00DA4051" w:rsidRPr="00821AF6" w:rsidRDefault="00DA4051" w:rsidP="005D6496">
      <w:pPr>
        <w:pStyle w:val="Akapitzlist"/>
        <w:numPr>
          <w:ilvl w:val="0"/>
          <w:numId w:val="4"/>
        </w:numPr>
        <w:spacing w:after="0" w:line="360" w:lineRule="auto"/>
        <w:ind w:left="357" w:hanging="357"/>
        <w:jc w:val="both"/>
        <w:rPr>
          <w:rFonts w:ascii="Tahoma" w:hAnsi="Tahoma" w:cs="Tahoma"/>
          <w:color w:val="000000"/>
        </w:rPr>
      </w:pPr>
      <w:r w:rsidRPr="00821AF6">
        <w:rPr>
          <w:rFonts w:ascii="Tahoma" w:hAnsi="Tahoma" w:cs="Tahoma"/>
          <w:color w:val="000000"/>
        </w:rPr>
        <w:t>podstawy i założenia wykonania analizy kosztów i korzyści;</w:t>
      </w:r>
    </w:p>
    <w:p w14:paraId="3D310C47" w14:textId="6DB54370" w:rsidR="0089629B" w:rsidRPr="00821AF6" w:rsidRDefault="00DA4051" w:rsidP="005D6496">
      <w:pPr>
        <w:pStyle w:val="Akapitzlist"/>
        <w:numPr>
          <w:ilvl w:val="0"/>
          <w:numId w:val="4"/>
        </w:numPr>
        <w:spacing w:after="0" w:line="360" w:lineRule="auto"/>
        <w:ind w:left="357" w:hanging="357"/>
        <w:jc w:val="both"/>
        <w:rPr>
          <w:rFonts w:ascii="Tahoma" w:hAnsi="Tahoma" w:cs="Tahoma"/>
          <w:color w:val="000000"/>
        </w:rPr>
      </w:pPr>
      <w:r w:rsidRPr="00821AF6">
        <w:rPr>
          <w:rFonts w:ascii="Tahoma" w:hAnsi="Tahoma" w:cs="Tahoma"/>
          <w:color w:val="000000"/>
        </w:rPr>
        <w:t xml:space="preserve">analizę kosztów i korzyści </w:t>
      </w:r>
      <w:r w:rsidR="006E0730" w:rsidRPr="00821AF6">
        <w:rPr>
          <w:rFonts w:ascii="Tahoma" w:hAnsi="Tahoma" w:cs="Tahoma"/>
          <w:color w:val="000000"/>
        </w:rPr>
        <w:t xml:space="preserve">– </w:t>
      </w:r>
      <w:r w:rsidRPr="00821AF6">
        <w:rPr>
          <w:rFonts w:ascii="Tahoma" w:hAnsi="Tahoma" w:cs="Tahoma"/>
          <w:color w:val="000000"/>
        </w:rPr>
        <w:t>opracowaną zgodnie z wymogami art. 37 ustawy o elektromobilności</w:t>
      </w:r>
      <w:r w:rsidR="00D9103A" w:rsidRPr="00821AF6">
        <w:rPr>
          <w:rFonts w:ascii="Tahoma" w:hAnsi="Tahoma" w:cs="Tahoma"/>
          <w:color w:val="000000"/>
        </w:rPr>
        <w:t xml:space="preserve"> i paliwach alternatywnych.</w:t>
      </w:r>
    </w:p>
    <w:p w14:paraId="1DB0CFBE" w14:textId="77777777" w:rsidR="00681392" w:rsidRPr="00821AF6" w:rsidRDefault="00681392" w:rsidP="00BE2ADA">
      <w:pPr>
        <w:rPr>
          <w:rFonts w:cs="Tahoma"/>
          <w:color w:val="000000"/>
        </w:rPr>
      </w:pPr>
      <w:r w:rsidRPr="00821AF6">
        <w:rPr>
          <w:rFonts w:cs="Tahoma"/>
          <w:color w:val="000000"/>
        </w:rPr>
        <w:t>W przygotowaniu opracowania uwzględniono</w:t>
      </w:r>
      <w:r w:rsidR="00496EB0" w:rsidRPr="00821AF6">
        <w:rPr>
          <w:rFonts w:cs="Tahoma"/>
          <w:color w:val="000000"/>
        </w:rPr>
        <w:t xml:space="preserve"> w szczególności</w:t>
      </w:r>
      <w:r w:rsidRPr="00821AF6">
        <w:rPr>
          <w:rFonts w:cs="Tahoma"/>
          <w:color w:val="000000"/>
        </w:rPr>
        <w:t>:</w:t>
      </w:r>
    </w:p>
    <w:p w14:paraId="231E7E99" w14:textId="77777777" w:rsidR="00BE567B" w:rsidRPr="00821AF6" w:rsidRDefault="005E1907" w:rsidP="00BE2ADA">
      <w:pPr>
        <w:pStyle w:val="Akapitzlist"/>
        <w:numPr>
          <w:ilvl w:val="0"/>
          <w:numId w:val="4"/>
        </w:numPr>
        <w:spacing w:after="0" w:line="360" w:lineRule="auto"/>
        <w:ind w:left="357" w:hanging="357"/>
        <w:jc w:val="both"/>
        <w:rPr>
          <w:rFonts w:ascii="Tahoma" w:hAnsi="Tahoma" w:cs="Tahoma"/>
          <w:color w:val="000000"/>
        </w:rPr>
      </w:pPr>
      <w:r w:rsidRPr="00821AF6">
        <w:rPr>
          <w:rFonts w:ascii="Tahoma" w:hAnsi="Tahoma" w:cs="Tahoma"/>
          <w:color w:val="000000"/>
        </w:rPr>
        <w:t xml:space="preserve">obowiązujące </w:t>
      </w:r>
      <w:r w:rsidR="00BE567B" w:rsidRPr="00821AF6">
        <w:rPr>
          <w:rFonts w:ascii="Tahoma" w:hAnsi="Tahoma" w:cs="Tahoma"/>
          <w:color w:val="000000"/>
        </w:rPr>
        <w:t>przepisy prawa:</w:t>
      </w:r>
    </w:p>
    <w:p w14:paraId="63EB6D80" w14:textId="6657364F" w:rsidR="000252BC" w:rsidRPr="00821AF6" w:rsidRDefault="00BE567B" w:rsidP="00BE2ADA">
      <w:pPr>
        <w:numPr>
          <w:ilvl w:val="1"/>
          <w:numId w:val="9"/>
        </w:numPr>
        <w:autoSpaceDE w:val="0"/>
        <w:autoSpaceDN w:val="0"/>
        <w:adjustRightInd w:val="0"/>
        <w:ind w:left="714" w:hanging="357"/>
        <w:contextualSpacing/>
        <w:rPr>
          <w:rFonts w:eastAsia="Calibri" w:cs="Tahoma"/>
          <w:szCs w:val="22"/>
          <w:lang w:eastAsia="en-US"/>
        </w:rPr>
      </w:pPr>
      <w:r w:rsidRPr="00821AF6">
        <w:rPr>
          <w:rFonts w:eastAsia="Calibri" w:cs="Tahoma"/>
          <w:szCs w:val="22"/>
          <w:lang w:eastAsia="en-US"/>
        </w:rPr>
        <w:t>u</w:t>
      </w:r>
      <w:r w:rsidR="00026F13" w:rsidRPr="00821AF6">
        <w:rPr>
          <w:rFonts w:eastAsia="Calibri" w:cs="Tahoma"/>
          <w:szCs w:val="22"/>
          <w:lang w:eastAsia="en-US"/>
        </w:rPr>
        <w:t>stawę z dnia 11 stycznia 2018 r. o elektromobilności i paliwach alternatywnych</w:t>
      </w:r>
      <w:r w:rsidR="00026F13" w:rsidRPr="00821AF6">
        <w:rPr>
          <w:rFonts w:cs="Tahoma"/>
          <w:color w:val="000000"/>
          <w:szCs w:val="22"/>
        </w:rPr>
        <w:t xml:space="preserve"> </w:t>
      </w:r>
      <w:bookmarkStart w:id="17" w:name="_Hlk84795954"/>
      <w:r w:rsidR="00026F13" w:rsidRPr="00821AF6">
        <w:rPr>
          <w:rFonts w:cs="Tahoma"/>
          <w:color w:val="000000"/>
          <w:szCs w:val="22"/>
        </w:rPr>
        <w:t>(</w:t>
      </w:r>
      <w:r w:rsidR="00B9634D">
        <w:rPr>
          <w:rFonts w:cs="Tahoma"/>
          <w:color w:val="000000"/>
          <w:szCs w:val="22"/>
        </w:rPr>
        <w:t xml:space="preserve">t.j. </w:t>
      </w:r>
      <w:r w:rsidR="00026F13" w:rsidRPr="00821AF6">
        <w:rPr>
          <w:rFonts w:cs="Tahoma"/>
          <w:color w:val="000000"/>
          <w:szCs w:val="22"/>
        </w:rPr>
        <w:t>Dz.</w:t>
      </w:r>
      <w:r w:rsidR="005E1907" w:rsidRPr="00821AF6">
        <w:rPr>
          <w:rFonts w:cs="Tahoma"/>
          <w:color w:val="000000"/>
          <w:szCs w:val="22"/>
        </w:rPr>
        <w:t> </w:t>
      </w:r>
      <w:r w:rsidR="00026F13" w:rsidRPr="00821AF6">
        <w:rPr>
          <w:rFonts w:cs="Tahoma"/>
          <w:color w:val="000000"/>
          <w:szCs w:val="22"/>
        </w:rPr>
        <w:t>U</w:t>
      </w:r>
      <w:r w:rsidR="006565A9" w:rsidRPr="00821AF6">
        <w:rPr>
          <w:rFonts w:cs="Tahoma"/>
          <w:color w:val="000000"/>
          <w:szCs w:val="22"/>
        </w:rPr>
        <w:t xml:space="preserve">. </w:t>
      </w:r>
      <w:r w:rsidR="00BE2ADA" w:rsidRPr="00821AF6">
        <w:rPr>
          <w:rFonts w:cs="Tahoma"/>
          <w:color w:val="000000"/>
          <w:szCs w:val="22"/>
        </w:rPr>
        <w:t>z 2021</w:t>
      </w:r>
      <w:r w:rsidR="00026F13" w:rsidRPr="00821AF6">
        <w:rPr>
          <w:rFonts w:cs="Tahoma"/>
          <w:color w:val="000000"/>
          <w:szCs w:val="22"/>
        </w:rPr>
        <w:t xml:space="preserve"> r. poz. </w:t>
      </w:r>
      <w:r w:rsidR="00BE2ADA" w:rsidRPr="00821AF6">
        <w:rPr>
          <w:rFonts w:cs="Tahoma"/>
          <w:color w:val="000000"/>
          <w:szCs w:val="22"/>
        </w:rPr>
        <w:t>110</w:t>
      </w:r>
      <w:r w:rsidR="00A55214">
        <w:rPr>
          <w:rFonts w:cs="Tahoma"/>
          <w:color w:val="000000"/>
          <w:szCs w:val="22"/>
        </w:rPr>
        <w:t xml:space="preserve"> ze zm.</w:t>
      </w:r>
      <w:r w:rsidR="006565A9" w:rsidRPr="00821AF6">
        <w:rPr>
          <w:rFonts w:cs="Tahoma"/>
          <w:color w:val="000000"/>
          <w:szCs w:val="22"/>
        </w:rPr>
        <w:t>)</w:t>
      </w:r>
      <w:r w:rsidR="005E1907" w:rsidRPr="00821AF6">
        <w:rPr>
          <w:rFonts w:eastAsia="Calibri" w:cs="Tahoma"/>
          <w:szCs w:val="22"/>
          <w:lang w:eastAsia="en-US"/>
        </w:rPr>
        <w:t>;</w:t>
      </w:r>
    </w:p>
    <w:bookmarkEnd w:id="17"/>
    <w:p w14:paraId="59D4B0FF" w14:textId="06BE027E" w:rsidR="000252BC" w:rsidRPr="00821AF6" w:rsidRDefault="00BE567B" w:rsidP="00BE2ADA">
      <w:pPr>
        <w:numPr>
          <w:ilvl w:val="1"/>
          <w:numId w:val="9"/>
        </w:numPr>
        <w:autoSpaceDE w:val="0"/>
        <w:autoSpaceDN w:val="0"/>
        <w:adjustRightInd w:val="0"/>
        <w:ind w:left="714" w:hanging="357"/>
        <w:contextualSpacing/>
        <w:rPr>
          <w:rFonts w:eastAsia="Calibri" w:cs="Tahoma"/>
          <w:szCs w:val="22"/>
          <w:lang w:eastAsia="en-US"/>
        </w:rPr>
      </w:pPr>
      <w:r w:rsidRPr="00821AF6">
        <w:rPr>
          <w:rFonts w:eastAsia="Calibri" w:cs="Tahoma"/>
          <w:szCs w:val="22"/>
          <w:lang w:eastAsia="en-US"/>
        </w:rPr>
        <w:t>ustawę</w:t>
      </w:r>
      <w:r w:rsidR="00C76205" w:rsidRPr="00821AF6">
        <w:rPr>
          <w:rFonts w:eastAsia="Calibri" w:cs="Tahoma"/>
          <w:szCs w:val="22"/>
          <w:lang w:eastAsia="en-US"/>
        </w:rPr>
        <w:t xml:space="preserve"> z dnia 17 lipca 2009 r. o systemie zarządzania emisjami gazów cieplarnianych i</w:t>
      </w:r>
      <w:r w:rsidR="005E1907" w:rsidRPr="00821AF6">
        <w:rPr>
          <w:rFonts w:eastAsia="Calibri" w:cs="Tahoma"/>
          <w:szCs w:val="22"/>
          <w:lang w:eastAsia="en-US"/>
        </w:rPr>
        <w:t> </w:t>
      </w:r>
      <w:r w:rsidR="0009280A" w:rsidRPr="00821AF6">
        <w:rPr>
          <w:rFonts w:eastAsia="Calibri" w:cs="Tahoma"/>
          <w:szCs w:val="22"/>
          <w:lang w:eastAsia="en-US"/>
        </w:rPr>
        <w:t>innych substancj</w:t>
      </w:r>
      <w:r w:rsidR="00BE2ADA" w:rsidRPr="00821AF6">
        <w:rPr>
          <w:rFonts w:eastAsia="Calibri" w:cs="Tahoma"/>
          <w:szCs w:val="22"/>
          <w:lang w:eastAsia="en-US"/>
        </w:rPr>
        <w:t>i (Dz. U. z 2020</w:t>
      </w:r>
      <w:r w:rsidR="00C76205" w:rsidRPr="00821AF6">
        <w:rPr>
          <w:rFonts w:eastAsia="Calibri" w:cs="Tahoma"/>
          <w:szCs w:val="22"/>
          <w:lang w:eastAsia="en-US"/>
        </w:rPr>
        <w:t xml:space="preserve"> r. poz. </w:t>
      </w:r>
      <w:r w:rsidR="00BE2ADA" w:rsidRPr="00821AF6">
        <w:rPr>
          <w:rFonts w:eastAsia="Calibri" w:cs="Tahoma"/>
          <w:szCs w:val="22"/>
          <w:lang w:eastAsia="en-US"/>
        </w:rPr>
        <w:t>1077 ze zm.</w:t>
      </w:r>
      <w:r w:rsidRPr="00821AF6">
        <w:rPr>
          <w:rFonts w:eastAsia="Calibri" w:cs="Tahoma"/>
          <w:szCs w:val="22"/>
          <w:lang w:eastAsia="en-US"/>
        </w:rPr>
        <w:t>)</w:t>
      </w:r>
      <w:r w:rsidR="005E1907" w:rsidRPr="00821AF6">
        <w:rPr>
          <w:rFonts w:eastAsia="Calibri" w:cs="Tahoma"/>
          <w:szCs w:val="22"/>
          <w:lang w:eastAsia="en-US"/>
        </w:rPr>
        <w:t>;</w:t>
      </w:r>
    </w:p>
    <w:p w14:paraId="4F971D3F" w14:textId="1EF8817B" w:rsidR="000252BC" w:rsidRPr="00821AF6" w:rsidRDefault="00BE567B" w:rsidP="00BE2ADA">
      <w:pPr>
        <w:numPr>
          <w:ilvl w:val="1"/>
          <w:numId w:val="9"/>
        </w:numPr>
        <w:autoSpaceDE w:val="0"/>
        <w:autoSpaceDN w:val="0"/>
        <w:adjustRightInd w:val="0"/>
        <w:ind w:left="714" w:hanging="357"/>
        <w:contextualSpacing/>
        <w:rPr>
          <w:rFonts w:eastAsia="Calibri" w:cs="Tahoma"/>
          <w:szCs w:val="22"/>
          <w:lang w:eastAsia="en-US"/>
        </w:rPr>
      </w:pPr>
      <w:r w:rsidRPr="00821AF6">
        <w:rPr>
          <w:rFonts w:eastAsia="Calibri" w:cs="Tahoma"/>
          <w:szCs w:val="22"/>
          <w:lang w:eastAsia="en-US"/>
        </w:rPr>
        <w:t>u</w:t>
      </w:r>
      <w:r w:rsidR="00681392" w:rsidRPr="00821AF6">
        <w:rPr>
          <w:rFonts w:eastAsia="Calibri" w:cs="Tahoma"/>
          <w:szCs w:val="22"/>
          <w:lang w:eastAsia="en-US"/>
        </w:rPr>
        <w:t>stawę z dnia 16 grudnia 2010 r. o publicznym tran</w:t>
      </w:r>
      <w:r w:rsidR="009E77D2" w:rsidRPr="00821AF6">
        <w:rPr>
          <w:rFonts w:eastAsia="Calibri" w:cs="Tahoma"/>
          <w:szCs w:val="22"/>
          <w:lang w:eastAsia="en-US"/>
        </w:rPr>
        <w:t>sporcie zbiorowym (</w:t>
      </w:r>
      <w:r w:rsidR="0009280A" w:rsidRPr="00821AF6">
        <w:rPr>
          <w:rFonts w:eastAsia="Calibri" w:cs="Tahoma"/>
          <w:szCs w:val="22"/>
          <w:lang w:eastAsia="en-US"/>
        </w:rPr>
        <w:t>t</w:t>
      </w:r>
      <w:r w:rsidR="00B37F58">
        <w:rPr>
          <w:rFonts w:eastAsia="Calibri" w:cs="Tahoma"/>
          <w:szCs w:val="22"/>
          <w:lang w:eastAsia="en-US"/>
        </w:rPr>
        <w:t xml:space="preserve">.j. </w:t>
      </w:r>
      <w:r w:rsidR="00437724" w:rsidRPr="00437724">
        <w:rPr>
          <w:rFonts w:eastAsia="Calibri" w:cs="Tahoma"/>
          <w:szCs w:val="22"/>
          <w:lang w:eastAsia="en-US"/>
        </w:rPr>
        <w:t>Dz. U. 2021</w:t>
      </w:r>
      <w:r w:rsidR="00B37F58">
        <w:rPr>
          <w:rFonts w:eastAsia="Calibri" w:cs="Tahoma"/>
          <w:szCs w:val="22"/>
          <w:lang w:eastAsia="en-US"/>
        </w:rPr>
        <w:t> </w:t>
      </w:r>
      <w:r w:rsidR="00437724" w:rsidRPr="00437724">
        <w:rPr>
          <w:rFonts w:eastAsia="Calibri" w:cs="Tahoma"/>
          <w:szCs w:val="22"/>
          <w:lang w:eastAsia="en-US"/>
        </w:rPr>
        <w:t>r. poz. 1371</w:t>
      </w:r>
      <w:r w:rsidR="00987CD2" w:rsidRPr="00821AF6">
        <w:rPr>
          <w:rFonts w:eastAsia="Calibri" w:cs="Tahoma"/>
          <w:szCs w:val="22"/>
          <w:lang w:eastAsia="en-US"/>
        </w:rPr>
        <w:t>)</w:t>
      </w:r>
      <w:r w:rsidR="005E1907" w:rsidRPr="00821AF6">
        <w:rPr>
          <w:rFonts w:eastAsia="Calibri" w:cs="Tahoma"/>
          <w:szCs w:val="22"/>
          <w:lang w:eastAsia="en-US"/>
        </w:rPr>
        <w:t>;</w:t>
      </w:r>
    </w:p>
    <w:p w14:paraId="7349E854" w14:textId="6C3D60FC" w:rsidR="000252BC" w:rsidRPr="00821AF6" w:rsidRDefault="00987CD2" w:rsidP="00087E48">
      <w:pPr>
        <w:numPr>
          <w:ilvl w:val="1"/>
          <w:numId w:val="9"/>
        </w:numPr>
        <w:autoSpaceDE w:val="0"/>
        <w:autoSpaceDN w:val="0"/>
        <w:adjustRightInd w:val="0"/>
        <w:ind w:left="714" w:hanging="357"/>
        <w:contextualSpacing/>
        <w:rPr>
          <w:rFonts w:eastAsia="Calibri" w:cs="Tahoma"/>
          <w:szCs w:val="22"/>
          <w:lang w:eastAsia="en-US"/>
        </w:rPr>
      </w:pPr>
      <w:r w:rsidRPr="00821AF6">
        <w:rPr>
          <w:rFonts w:eastAsia="Calibri" w:cs="Tahoma"/>
          <w:szCs w:val="22"/>
          <w:lang w:eastAsia="en-US"/>
        </w:rPr>
        <w:t>rozporządzenie wykonawcze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w:t>
      </w:r>
      <w:r w:rsidR="005E1907" w:rsidRPr="00821AF6">
        <w:rPr>
          <w:rFonts w:eastAsia="Calibri" w:cs="Tahoma"/>
          <w:szCs w:val="22"/>
          <w:lang w:eastAsia="en-US"/>
        </w:rPr>
        <w:t> </w:t>
      </w:r>
      <w:r w:rsidRPr="00821AF6">
        <w:rPr>
          <w:rFonts w:eastAsia="Calibri" w:cs="Tahoma"/>
          <w:szCs w:val="22"/>
          <w:lang w:eastAsia="en-US"/>
        </w:rPr>
        <w:t>rzecz wzrostu i zatrudnienia”, de</w:t>
      </w:r>
      <w:r w:rsidR="00D67FF7">
        <w:rPr>
          <w:rFonts w:eastAsia="Calibri" w:cs="Tahoma"/>
          <w:szCs w:val="22"/>
          <w:lang w:eastAsia="en-US"/>
        </w:rPr>
        <w:t>kla</w:t>
      </w:r>
      <w:r w:rsidRPr="00821AF6">
        <w:rPr>
          <w:rFonts w:eastAsia="Calibri" w:cs="Tahoma"/>
          <w:szCs w:val="22"/>
          <w:lang w:eastAsia="en-US"/>
        </w:rPr>
        <w:t>racji zarządczej, strategii audytu, opinii audytowej i rocznego sprawozdania z kontroli oraz metodyki przeprowadzania analizy kosztów i korzyści, a także zgodnie z rozporządzeniem Parlamentu Europejskiego i Rady (UE) nr</w:t>
      </w:r>
      <w:r w:rsidR="005E1907" w:rsidRPr="00821AF6">
        <w:rPr>
          <w:rFonts w:eastAsia="Calibri" w:cs="Tahoma"/>
          <w:szCs w:val="22"/>
          <w:lang w:eastAsia="en-US"/>
        </w:rPr>
        <w:t> </w:t>
      </w:r>
      <w:r w:rsidRPr="00821AF6">
        <w:rPr>
          <w:rFonts w:eastAsia="Calibri" w:cs="Tahoma"/>
          <w:szCs w:val="22"/>
          <w:lang w:eastAsia="en-US"/>
        </w:rPr>
        <w:t xml:space="preserve">1299/2013 w odniesieniu do wzoru sprawozdań z wdrażania w ramach celu „Europejska współpraca terytorialna” (Dz. Urz. UE </w:t>
      </w:r>
      <w:r w:rsidR="002D27B1" w:rsidRPr="00821AF6">
        <w:rPr>
          <w:rFonts w:eastAsia="Calibri" w:cs="Tahoma"/>
          <w:szCs w:val="22"/>
          <w:lang w:eastAsia="en-US"/>
        </w:rPr>
        <w:t>z dn. 13.02.2015 r. poz. L 38/1</w:t>
      </w:r>
      <w:r w:rsidR="00BE2ADA" w:rsidRPr="00821AF6">
        <w:rPr>
          <w:rFonts w:eastAsia="Calibri" w:cs="Tahoma"/>
          <w:szCs w:val="22"/>
          <w:lang w:eastAsia="en-US"/>
        </w:rPr>
        <w:t>, zmienione rozporządzeniem wykonawczym Komisji (UE) 2018/277 z dnia 23.02.2018 r., L</w:t>
      </w:r>
      <w:r w:rsidR="006E0730" w:rsidRPr="00821AF6">
        <w:rPr>
          <w:rFonts w:eastAsia="Calibri" w:cs="Tahoma"/>
          <w:szCs w:val="22"/>
          <w:lang w:eastAsia="en-US"/>
        </w:rPr>
        <w:t> </w:t>
      </w:r>
      <w:r w:rsidR="00BE2ADA" w:rsidRPr="00821AF6">
        <w:rPr>
          <w:rFonts w:eastAsia="Calibri" w:cs="Tahoma"/>
          <w:szCs w:val="22"/>
          <w:lang w:eastAsia="en-US"/>
        </w:rPr>
        <w:t>54, rozporządzeniem wykonawczym Komisji (UE) 2019/256 z dnia 13.02.2019 r., L</w:t>
      </w:r>
      <w:r w:rsidR="002F7D56" w:rsidRPr="00821AF6">
        <w:rPr>
          <w:rFonts w:eastAsia="Calibri" w:cs="Tahoma"/>
          <w:szCs w:val="22"/>
          <w:lang w:eastAsia="en-US"/>
        </w:rPr>
        <w:t> </w:t>
      </w:r>
      <w:r w:rsidR="00BE2ADA" w:rsidRPr="00821AF6">
        <w:rPr>
          <w:rFonts w:eastAsia="Calibri" w:cs="Tahoma"/>
          <w:szCs w:val="22"/>
          <w:lang w:eastAsia="en-US"/>
        </w:rPr>
        <w:t>43 oraz rozporządzeniem wykonawczym (UE) 2021/436 z dnia 3.03.2021 r., L 85</w:t>
      </w:r>
      <w:r w:rsidR="002D27B1" w:rsidRPr="00821AF6">
        <w:rPr>
          <w:rFonts w:eastAsia="Calibri" w:cs="Tahoma"/>
          <w:szCs w:val="22"/>
          <w:lang w:eastAsia="en-US"/>
        </w:rPr>
        <w:t>)</w:t>
      </w:r>
      <w:r w:rsidRPr="00821AF6">
        <w:rPr>
          <w:rFonts w:eastAsia="Calibri" w:cs="Tahoma"/>
          <w:szCs w:val="22"/>
          <w:lang w:eastAsia="en-US"/>
        </w:rPr>
        <w:t>;</w:t>
      </w:r>
    </w:p>
    <w:p w14:paraId="3E9691BD" w14:textId="3887AFB0" w:rsidR="00B4040C" w:rsidRPr="00821AF6" w:rsidRDefault="00BE567B" w:rsidP="006E0730">
      <w:pPr>
        <w:keepNext/>
        <w:numPr>
          <w:ilvl w:val="0"/>
          <w:numId w:val="6"/>
        </w:numPr>
        <w:autoSpaceDE w:val="0"/>
        <w:autoSpaceDN w:val="0"/>
        <w:adjustRightInd w:val="0"/>
        <w:ind w:left="357" w:hanging="357"/>
        <w:contextualSpacing/>
        <w:rPr>
          <w:rFonts w:eastAsia="Calibri" w:cs="Tahoma"/>
          <w:szCs w:val="22"/>
          <w:lang w:eastAsia="en-US"/>
        </w:rPr>
      </w:pPr>
      <w:r w:rsidRPr="00821AF6">
        <w:rPr>
          <w:rFonts w:eastAsia="Calibri" w:cs="Tahoma"/>
          <w:szCs w:val="22"/>
          <w:lang w:eastAsia="en-US"/>
        </w:rPr>
        <w:lastRenderedPageBreak/>
        <w:t xml:space="preserve">opracowania dotyczące </w:t>
      </w:r>
      <w:r w:rsidR="006E0730" w:rsidRPr="00821AF6">
        <w:rPr>
          <w:rFonts w:eastAsia="Calibri" w:cs="Tahoma"/>
          <w:szCs w:val="22"/>
          <w:lang w:eastAsia="en-US"/>
        </w:rPr>
        <w:t xml:space="preserve">sposobu wykonania </w:t>
      </w:r>
      <w:r w:rsidRPr="00821AF6">
        <w:rPr>
          <w:rFonts w:eastAsia="Calibri" w:cs="Tahoma"/>
          <w:szCs w:val="22"/>
          <w:lang w:eastAsia="en-US"/>
        </w:rPr>
        <w:t>analiz kosztów i korzyści</w:t>
      </w:r>
      <w:r w:rsidR="00B4040C" w:rsidRPr="00821AF6">
        <w:rPr>
          <w:rFonts w:eastAsia="Calibri" w:cs="Tahoma"/>
          <w:szCs w:val="22"/>
          <w:lang w:eastAsia="en-US"/>
        </w:rPr>
        <w:t>, którymi są:</w:t>
      </w:r>
    </w:p>
    <w:p w14:paraId="6B85DBEB" w14:textId="4B7BC557" w:rsidR="000252BC" w:rsidRPr="00821AF6" w:rsidRDefault="00DB0E39" w:rsidP="00A44CB3">
      <w:pPr>
        <w:numPr>
          <w:ilvl w:val="1"/>
          <w:numId w:val="9"/>
        </w:numPr>
        <w:autoSpaceDE w:val="0"/>
        <w:autoSpaceDN w:val="0"/>
        <w:adjustRightInd w:val="0"/>
        <w:ind w:left="709"/>
        <w:contextualSpacing/>
        <w:rPr>
          <w:rFonts w:eastAsia="Calibri" w:cs="Tahoma"/>
          <w:szCs w:val="22"/>
          <w:lang w:eastAsia="en-US"/>
        </w:rPr>
      </w:pPr>
      <w:r w:rsidRPr="00821AF6">
        <w:rPr>
          <w:rFonts w:eastAsia="Calibri" w:cs="Tahoma"/>
          <w:szCs w:val="22"/>
          <w:lang w:eastAsia="en-US"/>
        </w:rPr>
        <w:t>„Niebieska Księga. Sektor Transportu Publicznego w miastach, aglomeracjach, regionach</w:t>
      </w:r>
      <w:r w:rsidR="004957F4" w:rsidRPr="00821AF6">
        <w:rPr>
          <w:rFonts w:eastAsia="Calibri" w:cs="Tahoma"/>
          <w:szCs w:val="22"/>
          <w:lang w:eastAsia="en-US"/>
        </w:rPr>
        <w:t>”</w:t>
      </w:r>
      <w:r w:rsidRPr="00821AF6">
        <w:rPr>
          <w:rFonts w:eastAsia="Calibri" w:cs="Tahoma"/>
          <w:szCs w:val="22"/>
          <w:lang w:eastAsia="en-US"/>
        </w:rPr>
        <w:t xml:space="preserve"> Nowa edycja, Jaspers, sierpień 2015 r. (www.pois.gov.pl/strony/o-programie/dokumenty/niebieskie-ksiegi-dla-projektow-w-sektorze-transportu-publicznego-infrastruktury-drogowej-oraz-kolejowej/, dostęp</w:t>
      </w:r>
      <w:r w:rsidR="004A3659" w:rsidRPr="00821AF6">
        <w:rPr>
          <w:rFonts w:eastAsia="Calibri" w:cs="Tahoma"/>
          <w:szCs w:val="22"/>
          <w:lang w:eastAsia="en-US"/>
        </w:rPr>
        <w:t>:</w:t>
      </w:r>
      <w:r w:rsidR="0009280A" w:rsidRPr="00821AF6">
        <w:rPr>
          <w:rFonts w:eastAsia="Calibri" w:cs="Tahoma"/>
          <w:szCs w:val="22"/>
          <w:lang w:eastAsia="en-US"/>
        </w:rPr>
        <w:t xml:space="preserve"> </w:t>
      </w:r>
      <w:r w:rsidR="00A44CB3" w:rsidRPr="00821AF6">
        <w:rPr>
          <w:rFonts w:eastAsia="Calibri" w:cs="Tahoma"/>
          <w:szCs w:val="22"/>
          <w:lang w:eastAsia="en-US"/>
        </w:rPr>
        <w:t>2</w:t>
      </w:r>
      <w:r w:rsidR="00E92E04" w:rsidRPr="00821AF6">
        <w:rPr>
          <w:rFonts w:eastAsia="Calibri" w:cs="Tahoma"/>
          <w:szCs w:val="22"/>
          <w:lang w:eastAsia="en-US"/>
        </w:rPr>
        <w:t>0.</w:t>
      </w:r>
      <w:r w:rsidR="00A44CB3" w:rsidRPr="00821AF6">
        <w:rPr>
          <w:rFonts w:eastAsia="Calibri" w:cs="Tahoma"/>
          <w:szCs w:val="22"/>
          <w:lang w:eastAsia="en-US"/>
        </w:rPr>
        <w:t>0</w:t>
      </w:r>
      <w:r w:rsidR="008E72CF">
        <w:rPr>
          <w:rFonts w:eastAsia="Calibri" w:cs="Tahoma"/>
          <w:szCs w:val="22"/>
          <w:lang w:eastAsia="en-US"/>
        </w:rPr>
        <w:t>9</w:t>
      </w:r>
      <w:r w:rsidR="00A44CB3" w:rsidRPr="00821AF6">
        <w:rPr>
          <w:rFonts w:eastAsia="Calibri" w:cs="Tahoma"/>
          <w:szCs w:val="22"/>
          <w:lang w:eastAsia="en-US"/>
        </w:rPr>
        <w:t>.2021</w:t>
      </w:r>
      <w:r w:rsidRPr="00821AF6">
        <w:rPr>
          <w:rFonts w:eastAsia="Calibri" w:cs="Tahoma"/>
          <w:szCs w:val="22"/>
          <w:lang w:eastAsia="en-US"/>
        </w:rPr>
        <w:t xml:space="preserve"> r.)</w:t>
      </w:r>
      <w:r w:rsidR="004A3659" w:rsidRPr="00821AF6">
        <w:rPr>
          <w:rFonts w:eastAsia="Calibri" w:cs="Tahoma"/>
          <w:szCs w:val="22"/>
          <w:lang w:eastAsia="en-US"/>
        </w:rPr>
        <w:t>;</w:t>
      </w:r>
    </w:p>
    <w:p w14:paraId="0952B5F1" w14:textId="68DF01B7" w:rsidR="000252BC" w:rsidRPr="00821AF6" w:rsidRDefault="00BE567B" w:rsidP="00A44CB3">
      <w:pPr>
        <w:numPr>
          <w:ilvl w:val="1"/>
          <w:numId w:val="9"/>
        </w:numPr>
        <w:autoSpaceDE w:val="0"/>
        <w:autoSpaceDN w:val="0"/>
        <w:adjustRightInd w:val="0"/>
        <w:ind w:left="709"/>
        <w:contextualSpacing/>
        <w:rPr>
          <w:rFonts w:eastAsia="Calibri" w:cs="Tahoma"/>
          <w:szCs w:val="22"/>
          <w:lang w:eastAsia="en-US"/>
        </w:rPr>
      </w:pPr>
      <w:r w:rsidRPr="00821AF6">
        <w:rPr>
          <w:rFonts w:eastAsia="Calibri" w:cs="Tahoma"/>
          <w:szCs w:val="22"/>
          <w:lang w:eastAsia="en-US"/>
        </w:rPr>
        <w:t>„Analiza kosztów i korzyści projektów transportowych współfinansowanych ze środków Unii Europejskiej. Vademecum Beneficjenta”</w:t>
      </w:r>
      <w:r w:rsidR="006E1C76" w:rsidRPr="00821AF6">
        <w:rPr>
          <w:rFonts w:eastAsia="Calibri" w:cs="Tahoma"/>
          <w:szCs w:val="22"/>
          <w:lang w:eastAsia="en-US"/>
        </w:rPr>
        <w:t>, oprac</w:t>
      </w:r>
      <w:r w:rsidR="005E1907" w:rsidRPr="00821AF6">
        <w:rPr>
          <w:rFonts w:eastAsia="Calibri" w:cs="Tahoma"/>
          <w:szCs w:val="22"/>
          <w:lang w:eastAsia="en-US"/>
        </w:rPr>
        <w:t xml:space="preserve">owanie </w:t>
      </w:r>
      <w:r w:rsidR="006E1C76" w:rsidRPr="00821AF6">
        <w:rPr>
          <w:rFonts w:eastAsia="Calibri" w:cs="Tahoma"/>
          <w:szCs w:val="22"/>
          <w:lang w:eastAsia="en-US"/>
        </w:rPr>
        <w:t>CUPT Warszawa, 2016 r. (www.cupt.gov.pl/wdrazanie-projektow/analiza-kosztow-i-korzysci/metodyka-analizy-kosztow-i-korzysci/vademecum-beneficjenta, dostęp</w:t>
      </w:r>
      <w:r w:rsidR="004A3659" w:rsidRPr="00821AF6">
        <w:rPr>
          <w:rFonts w:eastAsia="Calibri" w:cs="Tahoma"/>
          <w:szCs w:val="22"/>
          <w:lang w:eastAsia="en-US"/>
        </w:rPr>
        <w:t>:</w:t>
      </w:r>
      <w:r w:rsidR="0009280A" w:rsidRPr="00821AF6">
        <w:rPr>
          <w:rFonts w:eastAsia="Calibri" w:cs="Tahoma"/>
          <w:szCs w:val="22"/>
          <w:lang w:eastAsia="en-US"/>
        </w:rPr>
        <w:t xml:space="preserve"> </w:t>
      </w:r>
      <w:r w:rsidR="00A44CB3" w:rsidRPr="00821AF6">
        <w:rPr>
          <w:rFonts w:eastAsia="Calibri" w:cs="Tahoma"/>
          <w:szCs w:val="22"/>
          <w:lang w:eastAsia="en-US"/>
        </w:rPr>
        <w:t>20.0</w:t>
      </w:r>
      <w:r w:rsidR="008E72CF">
        <w:rPr>
          <w:rFonts w:eastAsia="Calibri" w:cs="Tahoma"/>
          <w:szCs w:val="22"/>
          <w:lang w:eastAsia="en-US"/>
        </w:rPr>
        <w:t>9</w:t>
      </w:r>
      <w:r w:rsidR="00A44CB3" w:rsidRPr="00821AF6">
        <w:rPr>
          <w:rFonts w:eastAsia="Calibri" w:cs="Tahoma"/>
          <w:szCs w:val="22"/>
          <w:lang w:eastAsia="en-US"/>
        </w:rPr>
        <w:t>.2021</w:t>
      </w:r>
      <w:r w:rsidR="006E1C76" w:rsidRPr="00821AF6">
        <w:rPr>
          <w:rFonts w:eastAsia="Calibri" w:cs="Tahoma"/>
          <w:szCs w:val="22"/>
          <w:lang w:eastAsia="en-US"/>
        </w:rPr>
        <w:t xml:space="preserve"> r.)</w:t>
      </w:r>
      <w:r w:rsidR="004A3659" w:rsidRPr="00821AF6">
        <w:rPr>
          <w:rFonts w:eastAsia="Calibri" w:cs="Tahoma"/>
          <w:szCs w:val="22"/>
          <w:lang w:eastAsia="en-US"/>
        </w:rPr>
        <w:t>;</w:t>
      </w:r>
    </w:p>
    <w:p w14:paraId="451AA3DC" w14:textId="3179BE58" w:rsidR="000252BC" w:rsidRPr="00821AF6" w:rsidRDefault="00B26D48" w:rsidP="00A44CB3">
      <w:pPr>
        <w:numPr>
          <w:ilvl w:val="1"/>
          <w:numId w:val="9"/>
        </w:numPr>
        <w:autoSpaceDE w:val="0"/>
        <w:autoSpaceDN w:val="0"/>
        <w:adjustRightInd w:val="0"/>
        <w:ind w:left="709"/>
        <w:contextualSpacing/>
        <w:rPr>
          <w:rFonts w:eastAsia="Calibri" w:cs="Tahoma"/>
          <w:szCs w:val="22"/>
          <w:lang w:eastAsia="en-US"/>
        </w:rPr>
      </w:pPr>
      <w:r w:rsidRPr="00821AF6">
        <w:rPr>
          <w:rFonts w:eastAsia="Calibri" w:cs="Tahoma"/>
          <w:szCs w:val="22"/>
          <w:lang w:eastAsia="en-US"/>
        </w:rPr>
        <w:t>„Przewodnik po analizie kosztów i korzyści projektów inwestycyjnych. Narzędzie analizy ekonomicznej polityki spójności 2014-2020”, oprac</w:t>
      </w:r>
      <w:r w:rsidR="004A3659" w:rsidRPr="00821AF6">
        <w:rPr>
          <w:rFonts w:eastAsia="Calibri" w:cs="Tahoma"/>
          <w:szCs w:val="22"/>
          <w:lang w:eastAsia="en-US"/>
        </w:rPr>
        <w:t>owanie</w:t>
      </w:r>
      <w:r w:rsidRPr="00821AF6">
        <w:rPr>
          <w:rFonts w:eastAsia="Calibri" w:cs="Tahoma"/>
          <w:szCs w:val="22"/>
          <w:lang w:eastAsia="en-US"/>
        </w:rPr>
        <w:t xml:space="preserve"> Komisja</w:t>
      </w:r>
      <w:r w:rsidR="006E1C76" w:rsidRPr="00821AF6">
        <w:rPr>
          <w:rFonts w:eastAsia="Calibri" w:cs="Tahoma"/>
          <w:szCs w:val="22"/>
          <w:lang w:eastAsia="en-US"/>
        </w:rPr>
        <w:t xml:space="preserve"> Europejska, grudzień</w:t>
      </w:r>
      <w:r w:rsidR="004A3659" w:rsidRPr="00821AF6">
        <w:rPr>
          <w:rFonts w:eastAsia="Calibri" w:cs="Tahoma"/>
          <w:szCs w:val="22"/>
          <w:lang w:eastAsia="en-US"/>
        </w:rPr>
        <w:t> </w:t>
      </w:r>
      <w:r w:rsidR="006E1C76" w:rsidRPr="00821AF6">
        <w:rPr>
          <w:rFonts w:eastAsia="Calibri" w:cs="Tahoma"/>
          <w:szCs w:val="22"/>
          <w:lang w:eastAsia="en-US"/>
        </w:rPr>
        <w:t>2014 r. (www.</w:t>
      </w:r>
      <w:r w:rsidR="00A44CB3" w:rsidRPr="00821AF6">
        <w:rPr>
          <w:rFonts w:eastAsia="Calibri" w:cs="Tahoma"/>
          <w:szCs w:val="22"/>
          <w:lang w:eastAsia="en-US"/>
        </w:rPr>
        <w:t>funduszeeuropejskie</w:t>
      </w:r>
      <w:r w:rsidR="006E1C76" w:rsidRPr="00821AF6">
        <w:rPr>
          <w:rFonts w:eastAsia="Calibri" w:cs="Tahoma"/>
          <w:szCs w:val="22"/>
          <w:lang w:eastAsia="en-US"/>
        </w:rPr>
        <w:t>.gov.pl/</w:t>
      </w:r>
      <w:r w:rsidR="00A44CB3" w:rsidRPr="00821AF6">
        <w:rPr>
          <w:rFonts w:eastAsia="Calibri" w:cs="Tahoma"/>
          <w:szCs w:val="22"/>
          <w:lang w:eastAsia="en-US"/>
        </w:rPr>
        <w:t>media</w:t>
      </w:r>
      <w:r w:rsidR="006E1C76" w:rsidRPr="00821AF6">
        <w:rPr>
          <w:rFonts w:eastAsia="Calibri" w:cs="Tahoma"/>
          <w:szCs w:val="22"/>
          <w:lang w:eastAsia="en-US"/>
        </w:rPr>
        <w:t>/</w:t>
      </w:r>
      <w:r w:rsidR="00A44CB3" w:rsidRPr="00821AF6">
        <w:rPr>
          <w:rFonts w:eastAsia="Calibri" w:cs="Tahoma"/>
          <w:szCs w:val="22"/>
          <w:lang w:eastAsia="en-US"/>
        </w:rPr>
        <w:t>5594</w:t>
      </w:r>
      <w:r w:rsidR="006E1C76" w:rsidRPr="00821AF6">
        <w:rPr>
          <w:rFonts w:eastAsia="Calibri" w:cs="Tahoma"/>
          <w:szCs w:val="22"/>
          <w:lang w:eastAsia="en-US"/>
        </w:rPr>
        <w:t>/Przewodnik_</w:t>
      </w:r>
      <w:r w:rsidR="00A44CB3" w:rsidRPr="00821AF6">
        <w:rPr>
          <w:rFonts w:eastAsia="Calibri" w:cs="Tahoma"/>
          <w:szCs w:val="22"/>
          <w:lang w:eastAsia="en-US"/>
        </w:rPr>
        <w:t>AKK</w:t>
      </w:r>
      <w:r w:rsidR="006E1C76" w:rsidRPr="00821AF6">
        <w:rPr>
          <w:rFonts w:eastAsia="Calibri" w:cs="Tahoma"/>
          <w:szCs w:val="22"/>
          <w:lang w:eastAsia="en-US"/>
        </w:rPr>
        <w:t>_</w:t>
      </w:r>
      <w:r w:rsidR="00A44CB3" w:rsidRPr="00821AF6">
        <w:rPr>
          <w:rFonts w:eastAsia="Calibri" w:cs="Tahoma"/>
          <w:szCs w:val="22"/>
          <w:lang w:eastAsia="en-US"/>
        </w:rPr>
        <w:t>14_20</w:t>
      </w:r>
      <w:r w:rsidR="006E1C76" w:rsidRPr="00821AF6">
        <w:rPr>
          <w:rFonts w:eastAsia="Calibri" w:cs="Tahoma"/>
          <w:szCs w:val="22"/>
          <w:lang w:eastAsia="en-US"/>
        </w:rPr>
        <w:t>.pdf, dostęp</w:t>
      </w:r>
      <w:r w:rsidR="004A3659" w:rsidRPr="00821AF6">
        <w:rPr>
          <w:rFonts w:eastAsia="Calibri" w:cs="Tahoma"/>
          <w:szCs w:val="22"/>
          <w:lang w:eastAsia="en-US"/>
        </w:rPr>
        <w:t>:</w:t>
      </w:r>
      <w:r w:rsidR="006E1C76" w:rsidRPr="00821AF6">
        <w:rPr>
          <w:rFonts w:eastAsia="Calibri" w:cs="Tahoma"/>
          <w:szCs w:val="22"/>
          <w:lang w:eastAsia="en-US"/>
        </w:rPr>
        <w:t xml:space="preserve"> </w:t>
      </w:r>
      <w:r w:rsidR="00A44CB3" w:rsidRPr="00821AF6">
        <w:rPr>
          <w:rFonts w:eastAsia="Calibri" w:cs="Tahoma"/>
          <w:szCs w:val="22"/>
          <w:lang w:eastAsia="en-US"/>
        </w:rPr>
        <w:t>20.0</w:t>
      </w:r>
      <w:r w:rsidR="008E72CF">
        <w:rPr>
          <w:rFonts w:eastAsia="Calibri" w:cs="Tahoma"/>
          <w:szCs w:val="22"/>
          <w:lang w:eastAsia="en-US"/>
        </w:rPr>
        <w:t>9</w:t>
      </w:r>
      <w:r w:rsidR="00A44CB3" w:rsidRPr="00821AF6">
        <w:rPr>
          <w:rFonts w:eastAsia="Calibri" w:cs="Tahoma"/>
          <w:szCs w:val="22"/>
          <w:lang w:eastAsia="en-US"/>
        </w:rPr>
        <w:t>.2021</w:t>
      </w:r>
      <w:r w:rsidR="006E1C76" w:rsidRPr="00821AF6">
        <w:rPr>
          <w:rFonts w:eastAsia="Calibri" w:cs="Tahoma"/>
          <w:szCs w:val="22"/>
          <w:lang w:eastAsia="en-US"/>
        </w:rPr>
        <w:t xml:space="preserve"> r.)</w:t>
      </w:r>
      <w:r w:rsidR="004A3659" w:rsidRPr="00821AF6">
        <w:rPr>
          <w:rFonts w:eastAsia="Calibri" w:cs="Tahoma"/>
          <w:szCs w:val="22"/>
          <w:lang w:eastAsia="en-US"/>
        </w:rPr>
        <w:t>;</w:t>
      </w:r>
    </w:p>
    <w:p w14:paraId="2A0D0970" w14:textId="4B15BDEB" w:rsidR="000252BC" w:rsidRPr="00821AF6" w:rsidRDefault="00B26D48" w:rsidP="00A44CB3">
      <w:pPr>
        <w:numPr>
          <w:ilvl w:val="1"/>
          <w:numId w:val="9"/>
        </w:numPr>
        <w:autoSpaceDE w:val="0"/>
        <w:autoSpaceDN w:val="0"/>
        <w:adjustRightInd w:val="0"/>
        <w:ind w:left="709"/>
        <w:contextualSpacing/>
        <w:rPr>
          <w:rFonts w:eastAsia="Calibri" w:cs="Tahoma"/>
          <w:szCs w:val="22"/>
          <w:lang w:eastAsia="en-US"/>
        </w:rPr>
      </w:pPr>
      <w:r w:rsidRPr="00821AF6">
        <w:rPr>
          <w:rFonts w:eastAsia="Calibri" w:cs="Tahoma"/>
          <w:szCs w:val="22"/>
          <w:lang w:eastAsia="en-US"/>
        </w:rPr>
        <w:t>„Najlepsze praktyki w analizach kosztów i korzyści projektów transportowych współfinansowanych</w:t>
      </w:r>
      <w:r w:rsidR="004A3659" w:rsidRPr="00821AF6">
        <w:rPr>
          <w:rFonts w:eastAsia="Calibri" w:cs="Tahoma"/>
          <w:szCs w:val="22"/>
          <w:lang w:eastAsia="en-US"/>
        </w:rPr>
        <w:t> </w:t>
      </w:r>
      <w:r w:rsidRPr="00821AF6">
        <w:rPr>
          <w:rFonts w:eastAsia="Calibri" w:cs="Tahoma"/>
          <w:szCs w:val="22"/>
          <w:lang w:eastAsia="en-US"/>
        </w:rPr>
        <w:t>ze</w:t>
      </w:r>
      <w:r w:rsidR="004A3659" w:rsidRPr="00821AF6">
        <w:rPr>
          <w:rFonts w:eastAsia="Calibri" w:cs="Tahoma"/>
          <w:szCs w:val="22"/>
          <w:lang w:eastAsia="en-US"/>
        </w:rPr>
        <w:t> </w:t>
      </w:r>
      <w:r w:rsidRPr="00821AF6">
        <w:rPr>
          <w:rFonts w:eastAsia="Calibri" w:cs="Tahoma"/>
          <w:szCs w:val="22"/>
          <w:lang w:eastAsia="en-US"/>
        </w:rPr>
        <w:t>środków</w:t>
      </w:r>
      <w:r w:rsidR="004A3659" w:rsidRPr="00821AF6">
        <w:rPr>
          <w:rFonts w:eastAsia="Calibri" w:cs="Tahoma"/>
          <w:szCs w:val="22"/>
          <w:lang w:eastAsia="en-US"/>
        </w:rPr>
        <w:t> </w:t>
      </w:r>
      <w:r w:rsidRPr="00821AF6">
        <w:rPr>
          <w:rFonts w:eastAsia="Calibri" w:cs="Tahoma"/>
          <w:szCs w:val="22"/>
          <w:lang w:eastAsia="en-US"/>
        </w:rPr>
        <w:t>unijnych”,</w:t>
      </w:r>
      <w:r w:rsidR="004A3659" w:rsidRPr="00821AF6">
        <w:rPr>
          <w:rFonts w:eastAsia="Calibri" w:cs="Tahoma"/>
          <w:szCs w:val="22"/>
          <w:lang w:eastAsia="en-US"/>
        </w:rPr>
        <w:t> </w:t>
      </w:r>
      <w:r w:rsidRPr="00821AF6">
        <w:rPr>
          <w:rFonts w:eastAsia="Calibri" w:cs="Tahoma"/>
          <w:szCs w:val="22"/>
          <w:lang w:eastAsia="en-US"/>
        </w:rPr>
        <w:t>oprac</w:t>
      </w:r>
      <w:r w:rsidR="004A3659" w:rsidRPr="00821AF6">
        <w:rPr>
          <w:rFonts w:eastAsia="Calibri" w:cs="Tahoma"/>
          <w:szCs w:val="22"/>
          <w:lang w:eastAsia="en-US"/>
        </w:rPr>
        <w:t>owanie </w:t>
      </w:r>
      <w:r w:rsidRPr="00821AF6">
        <w:rPr>
          <w:rFonts w:eastAsia="Calibri" w:cs="Tahoma"/>
          <w:szCs w:val="22"/>
          <w:lang w:eastAsia="en-US"/>
        </w:rPr>
        <w:t>CUPT</w:t>
      </w:r>
      <w:r w:rsidR="006E1C76" w:rsidRPr="00821AF6">
        <w:rPr>
          <w:rFonts w:eastAsia="Calibri" w:cs="Tahoma"/>
          <w:szCs w:val="22"/>
          <w:lang w:eastAsia="en-US"/>
        </w:rPr>
        <w:t>,</w:t>
      </w:r>
      <w:r w:rsidR="004A3659" w:rsidRPr="00821AF6">
        <w:rPr>
          <w:rFonts w:eastAsia="Calibri" w:cs="Tahoma"/>
          <w:szCs w:val="22"/>
          <w:lang w:eastAsia="en-US"/>
        </w:rPr>
        <w:t> </w:t>
      </w:r>
      <w:r w:rsidR="006E1C76" w:rsidRPr="00821AF6">
        <w:rPr>
          <w:rFonts w:eastAsia="Calibri" w:cs="Tahoma"/>
          <w:szCs w:val="22"/>
          <w:lang w:eastAsia="en-US"/>
        </w:rPr>
        <w:t>grudzień</w:t>
      </w:r>
      <w:r w:rsidR="004A3659" w:rsidRPr="00821AF6">
        <w:rPr>
          <w:rFonts w:eastAsia="Calibri" w:cs="Tahoma"/>
          <w:szCs w:val="22"/>
          <w:lang w:eastAsia="en-US"/>
        </w:rPr>
        <w:t> </w:t>
      </w:r>
      <w:r w:rsidR="006E1C76" w:rsidRPr="00821AF6">
        <w:rPr>
          <w:rFonts w:eastAsia="Calibri" w:cs="Tahoma"/>
          <w:szCs w:val="22"/>
          <w:lang w:eastAsia="en-US"/>
        </w:rPr>
        <w:t>2014 </w:t>
      </w:r>
      <w:r w:rsidRPr="00821AF6">
        <w:rPr>
          <w:rFonts w:eastAsia="Calibri" w:cs="Tahoma"/>
          <w:szCs w:val="22"/>
          <w:lang w:eastAsia="en-US"/>
        </w:rPr>
        <w:t>r.</w:t>
      </w:r>
      <w:r w:rsidR="006E1C76" w:rsidRPr="00821AF6">
        <w:rPr>
          <w:rFonts w:eastAsia="Calibri" w:cs="Tahoma"/>
          <w:szCs w:val="22"/>
          <w:lang w:eastAsia="en-US"/>
        </w:rPr>
        <w:t xml:space="preserve"> (www.cupt.gov.pl/</w:t>
      </w:r>
      <w:r w:rsidR="00A44CB3" w:rsidRPr="00821AF6">
        <w:rPr>
          <w:rFonts w:eastAsia="Calibri" w:cs="Tahoma"/>
          <w:szCs w:val="22"/>
          <w:lang w:eastAsia="en-US"/>
        </w:rPr>
        <w:t>wdrazanie-projektow/analiza-kosztow-i-korzysci/metodyka-analizy-kosztow-i-korzysci/podreczniki-akk</w:t>
      </w:r>
      <w:r w:rsidR="006E1C76" w:rsidRPr="00821AF6">
        <w:rPr>
          <w:rFonts w:eastAsia="Calibri" w:cs="Tahoma"/>
          <w:szCs w:val="22"/>
          <w:lang w:eastAsia="en-US"/>
        </w:rPr>
        <w:t>/za</w:t>
      </w:r>
      <w:r w:rsidR="00D67FF7">
        <w:rPr>
          <w:rFonts w:eastAsia="Calibri" w:cs="Tahoma"/>
          <w:szCs w:val="22"/>
          <w:lang w:eastAsia="en-US"/>
        </w:rPr>
        <w:t>kla</w:t>
      </w:r>
      <w:r w:rsidR="006E1C76" w:rsidRPr="00821AF6">
        <w:rPr>
          <w:rFonts w:eastAsia="Calibri" w:cs="Tahoma"/>
          <w:szCs w:val="22"/>
          <w:lang w:eastAsia="en-US"/>
        </w:rPr>
        <w:t>dki</w:t>
      </w:r>
      <w:r w:rsidR="00377F72" w:rsidRPr="00821AF6">
        <w:rPr>
          <w:rFonts w:eastAsia="Calibri" w:cs="Tahoma"/>
          <w:szCs w:val="22"/>
          <w:lang w:eastAsia="en-US"/>
        </w:rPr>
        <w:t>, dostęp</w:t>
      </w:r>
      <w:r w:rsidR="004A3659" w:rsidRPr="00821AF6">
        <w:rPr>
          <w:rFonts w:eastAsia="Calibri" w:cs="Tahoma"/>
          <w:szCs w:val="22"/>
          <w:lang w:eastAsia="en-US"/>
        </w:rPr>
        <w:t>:</w:t>
      </w:r>
      <w:r w:rsidR="0009280A" w:rsidRPr="00821AF6">
        <w:rPr>
          <w:rFonts w:eastAsia="Calibri" w:cs="Tahoma"/>
          <w:szCs w:val="22"/>
          <w:lang w:eastAsia="en-US"/>
        </w:rPr>
        <w:t xml:space="preserve"> </w:t>
      </w:r>
      <w:r w:rsidR="00A44CB3" w:rsidRPr="00821AF6">
        <w:rPr>
          <w:rFonts w:eastAsia="Calibri" w:cs="Tahoma"/>
          <w:szCs w:val="22"/>
          <w:lang w:eastAsia="en-US"/>
        </w:rPr>
        <w:t>20.0</w:t>
      </w:r>
      <w:r w:rsidR="008E72CF">
        <w:rPr>
          <w:rFonts w:eastAsia="Calibri" w:cs="Tahoma"/>
          <w:szCs w:val="22"/>
          <w:lang w:eastAsia="en-US"/>
        </w:rPr>
        <w:t>9</w:t>
      </w:r>
      <w:r w:rsidR="00A44CB3" w:rsidRPr="00821AF6">
        <w:rPr>
          <w:rFonts w:eastAsia="Calibri" w:cs="Tahoma"/>
          <w:szCs w:val="22"/>
          <w:lang w:eastAsia="en-US"/>
        </w:rPr>
        <w:t>.2021</w:t>
      </w:r>
      <w:r w:rsidR="00377F72" w:rsidRPr="00821AF6">
        <w:rPr>
          <w:rFonts w:eastAsia="Calibri" w:cs="Tahoma"/>
          <w:szCs w:val="22"/>
          <w:lang w:eastAsia="en-US"/>
        </w:rPr>
        <w:t xml:space="preserve"> r.);</w:t>
      </w:r>
    </w:p>
    <w:p w14:paraId="6EB062A4" w14:textId="0D94AE14" w:rsidR="00EB2879" w:rsidRPr="00821AF6" w:rsidRDefault="00377F72" w:rsidP="0016104F">
      <w:pPr>
        <w:numPr>
          <w:ilvl w:val="1"/>
          <w:numId w:val="9"/>
        </w:numPr>
        <w:autoSpaceDE w:val="0"/>
        <w:autoSpaceDN w:val="0"/>
        <w:adjustRightInd w:val="0"/>
        <w:ind w:left="709"/>
        <w:contextualSpacing/>
        <w:rPr>
          <w:rFonts w:eastAsia="Calibri" w:cs="Tahoma"/>
          <w:szCs w:val="22"/>
          <w:lang w:eastAsia="en-US"/>
        </w:rPr>
      </w:pPr>
      <w:r w:rsidRPr="00821AF6">
        <w:rPr>
          <w:rFonts w:eastAsia="Calibri" w:cs="Tahoma"/>
          <w:szCs w:val="22"/>
          <w:lang w:eastAsia="en-US"/>
        </w:rPr>
        <w:t>„Wytyczne w zakresie zagadnień związanych z przygotowaniem projektów inwestycyjnych, w tym projektów generujących dochód i projektów hybrydowych na lata 2014-2020” (https://www.funduszeeuropejskie.gov.pl/strony/o-funduszach/dokumenty/wytyczne-ministra-infrastruktury-i-rozwoju-w-zakresie-zagadnien-zwiazanych-z-przygotowaniem-projektow-inwestycyjnych-w-tym-projektow-generujacych-dochod-i-projektow-hybrydowych-na-lata-2014-2020-1/, dostęp</w:t>
      </w:r>
      <w:r w:rsidR="004A3659" w:rsidRPr="00821AF6">
        <w:rPr>
          <w:rFonts w:eastAsia="Calibri" w:cs="Tahoma"/>
          <w:szCs w:val="22"/>
          <w:lang w:eastAsia="en-US"/>
        </w:rPr>
        <w:t>:</w:t>
      </w:r>
      <w:r w:rsidR="0009280A" w:rsidRPr="00821AF6">
        <w:rPr>
          <w:rFonts w:eastAsia="Calibri" w:cs="Tahoma"/>
          <w:szCs w:val="22"/>
          <w:lang w:eastAsia="en-US"/>
        </w:rPr>
        <w:t xml:space="preserve"> </w:t>
      </w:r>
      <w:r w:rsidR="00A27FE8">
        <w:rPr>
          <w:rFonts w:eastAsia="Calibri" w:cs="Tahoma"/>
          <w:szCs w:val="22"/>
          <w:lang w:eastAsia="en-US"/>
        </w:rPr>
        <w:t>20.11</w:t>
      </w:r>
      <w:r w:rsidR="0016104F" w:rsidRPr="00821AF6">
        <w:rPr>
          <w:rFonts w:eastAsia="Calibri" w:cs="Tahoma"/>
          <w:szCs w:val="22"/>
          <w:lang w:eastAsia="en-US"/>
        </w:rPr>
        <w:t>.2021</w:t>
      </w:r>
      <w:r w:rsidRPr="00821AF6">
        <w:rPr>
          <w:rFonts w:eastAsia="Calibri" w:cs="Tahoma"/>
          <w:szCs w:val="22"/>
          <w:lang w:eastAsia="en-US"/>
        </w:rPr>
        <w:t xml:space="preserve"> r.)</w:t>
      </w:r>
      <w:r w:rsidR="00EB2879" w:rsidRPr="00821AF6">
        <w:rPr>
          <w:rFonts w:eastAsia="Calibri" w:cs="Tahoma"/>
          <w:szCs w:val="22"/>
          <w:lang w:eastAsia="en-US"/>
        </w:rPr>
        <w:t>;</w:t>
      </w:r>
    </w:p>
    <w:p w14:paraId="512FD159" w14:textId="01FEAD2C" w:rsidR="000252BC" w:rsidRPr="00821AF6" w:rsidRDefault="00EB2879" w:rsidP="00A44CB3">
      <w:pPr>
        <w:numPr>
          <w:ilvl w:val="1"/>
          <w:numId w:val="9"/>
        </w:numPr>
        <w:autoSpaceDE w:val="0"/>
        <w:autoSpaceDN w:val="0"/>
        <w:adjustRightInd w:val="0"/>
        <w:ind w:left="709"/>
        <w:contextualSpacing/>
        <w:rPr>
          <w:rFonts w:eastAsia="Calibri" w:cs="Tahoma"/>
          <w:szCs w:val="22"/>
          <w:lang w:eastAsia="en-US"/>
        </w:rPr>
      </w:pPr>
      <w:r w:rsidRPr="00821AF6">
        <w:t>„</w:t>
      </w:r>
      <w:r w:rsidRPr="00821AF6">
        <w:rPr>
          <w:rFonts w:eastAsia="Calibri" w:cs="Tahoma"/>
          <w:szCs w:val="22"/>
          <w:lang w:eastAsia="en-US"/>
        </w:rPr>
        <w:t>Zasady</w:t>
      </w:r>
      <w:r w:rsidRPr="00821AF6">
        <w:t xml:space="preserve"> opracowania wymagan</w:t>
      </w:r>
      <w:r w:rsidR="002F7D56" w:rsidRPr="00821AF6">
        <w:t>ej</w:t>
      </w:r>
      <w:r w:rsidRPr="00821AF6">
        <w:t xml:space="preserve"> ustawą o elektromobilności i paliwach alternatywnych analiz</w:t>
      </w:r>
      <w:r w:rsidR="002F7D56" w:rsidRPr="00821AF6">
        <w:t>y</w:t>
      </w:r>
      <w:r w:rsidRPr="00821AF6">
        <w:t xml:space="preserve"> korzyści i kosztów związanych z wykorzystaniem autobusów zeroemisyjnych przy świadczeniu usług komunikacji miejskiej. Praktyczny przewodnik dla samorządów”</w:t>
      </w:r>
      <w:r w:rsidR="002F7D56" w:rsidRPr="00821AF6">
        <w:t>,</w:t>
      </w:r>
      <w:r w:rsidRPr="00821AF6">
        <w:t xml:space="preserve"> IGKM Warszawa</w:t>
      </w:r>
      <w:r w:rsidR="002F7D56" w:rsidRPr="00821AF6">
        <w:t>,</w:t>
      </w:r>
      <w:r w:rsidRPr="00821AF6">
        <w:t xml:space="preserve"> 2018 r.</w:t>
      </w:r>
    </w:p>
    <w:p w14:paraId="38DF3421" w14:textId="4720CF95" w:rsidR="008C257D" w:rsidRPr="00821AF6" w:rsidRDefault="008C257D" w:rsidP="008C257D">
      <w:pPr>
        <w:autoSpaceDE w:val="0"/>
        <w:autoSpaceDN w:val="0"/>
        <w:adjustRightInd w:val="0"/>
        <w:contextualSpacing/>
        <w:rPr>
          <w:rFonts w:eastAsia="Calibri" w:cs="Tahoma"/>
          <w:szCs w:val="22"/>
          <w:lang w:eastAsia="en-US"/>
        </w:rPr>
      </w:pPr>
      <w:r w:rsidRPr="00821AF6">
        <w:t>Weryfikacja wszystkich przywołanych w dokumencie odnośników intern</w:t>
      </w:r>
      <w:r w:rsidR="00B5326D">
        <w:t>etowych miała miejsce w dniu 1 grudnia</w:t>
      </w:r>
      <w:r w:rsidRPr="00821AF6">
        <w:t xml:space="preserve"> 2021 r.</w:t>
      </w:r>
    </w:p>
    <w:p w14:paraId="51AE913C" w14:textId="77777777" w:rsidR="0089629B" w:rsidRPr="00821AF6" w:rsidRDefault="0089629B" w:rsidP="007971C6">
      <w:pPr>
        <w:pStyle w:val="Nagwek2"/>
        <w:tabs>
          <w:tab w:val="left" w:pos="539"/>
        </w:tabs>
        <w:spacing w:before="120"/>
        <w:ind w:left="567"/>
        <w:jc w:val="center"/>
        <w:rPr>
          <w:color w:val="000000"/>
        </w:rPr>
      </w:pPr>
      <w:bookmarkStart w:id="18" w:name="_Toc420681777"/>
      <w:bookmarkStart w:id="19" w:name="_Toc89417664"/>
      <w:bookmarkEnd w:id="8"/>
      <w:r w:rsidRPr="00821AF6">
        <w:rPr>
          <w:color w:val="000000"/>
        </w:rPr>
        <w:t>Definicje i określenia</w:t>
      </w:r>
      <w:bookmarkEnd w:id="18"/>
      <w:bookmarkEnd w:id="19"/>
    </w:p>
    <w:p w14:paraId="31067D38" w14:textId="77777777" w:rsidR="0089629B" w:rsidRPr="00821AF6" w:rsidRDefault="007078B7" w:rsidP="007971C6">
      <w:pPr>
        <w:rPr>
          <w:szCs w:val="22"/>
        </w:rPr>
      </w:pPr>
      <w:r w:rsidRPr="00821AF6">
        <w:rPr>
          <w:szCs w:val="22"/>
        </w:rPr>
        <w:t xml:space="preserve">Używane w opracowaniu wyrażenia, uszeregowane poniżej w kolejności alfabetycznej, zostały zdefiniowane w ustawach: o elektromobilności i paliwach alternatywnych oraz </w:t>
      </w:r>
      <w:r w:rsidR="005837D9" w:rsidRPr="00821AF6">
        <w:rPr>
          <w:szCs w:val="22"/>
        </w:rPr>
        <w:t xml:space="preserve">o </w:t>
      </w:r>
      <w:r w:rsidRPr="00821AF6">
        <w:rPr>
          <w:szCs w:val="22"/>
        </w:rPr>
        <w:t>publicznym transporcie zbiorowym</w:t>
      </w:r>
      <w:r w:rsidR="005837D9" w:rsidRPr="00821AF6">
        <w:rPr>
          <w:szCs w:val="22"/>
        </w:rPr>
        <w:t xml:space="preserve"> lub w innych aktach prawnych </w:t>
      </w:r>
      <w:r w:rsidRPr="00821AF6">
        <w:rPr>
          <w:szCs w:val="22"/>
        </w:rPr>
        <w:t>i oznaczają odpowiednio:</w:t>
      </w:r>
      <w:r w:rsidR="0089629B" w:rsidRPr="00821AF6">
        <w:rPr>
          <w:szCs w:val="22"/>
        </w:rPr>
        <w:t xml:space="preserve"> </w:t>
      </w:r>
    </w:p>
    <w:p w14:paraId="60FE9FB0" w14:textId="77777777" w:rsidR="00CA01C4" w:rsidRPr="00821AF6" w:rsidRDefault="00C76205" w:rsidP="008C7F29">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a</w:t>
      </w:r>
      <w:r w:rsidR="00026F13" w:rsidRPr="00821AF6">
        <w:rPr>
          <w:rFonts w:ascii="Tahoma" w:hAnsi="Tahoma" w:cs="Tahoma"/>
          <w:b/>
        </w:rPr>
        <w:t>utobus zeroemisyjny</w:t>
      </w:r>
      <w:r w:rsidR="00CA01C4" w:rsidRPr="00821AF6">
        <w:rPr>
          <w:rFonts w:ascii="Tahoma" w:hAnsi="Tahoma" w:cs="Tahoma"/>
          <w:b/>
        </w:rPr>
        <w:t xml:space="preserve"> </w:t>
      </w:r>
      <w:r w:rsidR="00CA01C4" w:rsidRPr="00821AF6">
        <w:rPr>
          <w:rFonts w:ascii="Tahoma" w:hAnsi="Tahoma" w:cs="Tahoma"/>
        </w:rPr>
        <w:t xml:space="preserve">– </w:t>
      </w:r>
      <w:r w:rsidR="00026F13" w:rsidRPr="00821AF6">
        <w:rPr>
          <w:rFonts w:ascii="Tahoma" w:hAnsi="Tahoma" w:cs="Tahoma"/>
        </w:rPr>
        <w:t xml:space="preserve">autobus w rozumieniu art. 2 pkt 41 </w:t>
      </w:r>
      <w:r w:rsidR="008F5C8B" w:rsidRPr="00821AF6">
        <w:rPr>
          <w:rFonts w:ascii="Tahoma" w:hAnsi="Tahoma" w:cs="Tahoma"/>
        </w:rPr>
        <w:t>Prawa</w:t>
      </w:r>
      <w:r w:rsidR="00026F13" w:rsidRPr="00821AF6">
        <w:rPr>
          <w:rFonts w:ascii="Tahoma" w:hAnsi="Tahoma" w:cs="Tahoma"/>
        </w:rPr>
        <w:t xml:space="preserve"> o ruchu drogowym, wykorzystujący do napędu energię</w:t>
      </w:r>
      <w:r w:rsidRPr="00821AF6">
        <w:rPr>
          <w:rFonts w:ascii="Tahoma" w:hAnsi="Tahoma" w:cs="Tahoma"/>
        </w:rPr>
        <w:t xml:space="preserve"> </w:t>
      </w:r>
      <w:r w:rsidR="00026F13" w:rsidRPr="00821AF6">
        <w:rPr>
          <w:rFonts w:ascii="Tahoma" w:hAnsi="Tahoma" w:cs="Tahoma"/>
        </w:rPr>
        <w:t xml:space="preserve">elektryczną wytworzoną z wodoru w zainstalowanych </w:t>
      </w:r>
      <w:r w:rsidR="00026F13" w:rsidRPr="00821AF6">
        <w:rPr>
          <w:rFonts w:ascii="Tahoma" w:hAnsi="Tahoma" w:cs="Tahoma"/>
        </w:rPr>
        <w:lastRenderedPageBreak/>
        <w:t>w nim ogniwach paliwowych lub wyłącznie silnik, którego cykl</w:t>
      </w:r>
      <w:r w:rsidRPr="00821AF6">
        <w:rPr>
          <w:rFonts w:ascii="Tahoma" w:hAnsi="Tahoma" w:cs="Tahoma"/>
        </w:rPr>
        <w:t xml:space="preserve"> </w:t>
      </w:r>
      <w:r w:rsidR="00026F13" w:rsidRPr="00821AF6">
        <w:rPr>
          <w:rFonts w:ascii="Tahoma" w:hAnsi="Tahoma" w:cs="Tahoma"/>
        </w:rPr>
        <w:t>pracy nie prowadzi do emisji gazów cieplarnianych lub innych substancji objętych systemem zarządzania emisjami</w:t>
      </w:r>
      <w:r w:rsidRPr="00821AF6">
        <w:rPr>
          <w:rFonts w:ascii="Tahoma" w:hAnsi="Tahoma" w:cs="Tahoma"/>
        </w:rPr>
        <w:t xml:space="preserve"> </w:t>
      </w:r>
      <w:r w:rsidR="00026F13" w:rsidRPr="00821AF6">
        <w:rPr>
          <w:rFonts w:ascii="Tahoma" w:hAnsi="Tahoma" w:cs="Tahoma"/>
        </w:rPr>
        <w:t>gazów cieplarnianych, o którym mowa w ustawie z dnia 17 lipca 2009 r. o systemie zarządzania emisjami gazów cieplarnianych</w:t>
      </w:r>
      <w:r w:rsidRPr="00821AF6">
        <w:rPr>
          <w:rFonts w:ascii="Tahoma" w:hAnsi="Tahoma" w:cs="Tahoma"/>
        </w:rPr>
        <w:t xml:space="preserve"> </w:t>
      </w:r>
      <w:r w:rsidR="00026F13" w:rsidRPr="00821AF6">
        <w:rPr>
          <w:rFonts w:ascii="Tahoma" w:hAnsi="Tahoma" w:cs="Tahoma"/>
        </w:rPr>
        <w:t>i innych substancji oraz trolejbus w rozumieniu art.</w:t>
      </w:r>
      <w:r w:rsidR="005837D9" w:rsidRPr="00821AF6">
        <w:rPr>
          <w:rFonts w:ascii="Tahoma" w:hAnsi="Tahoma" w:cs="Tahoma"/>
        </w:rPr>
        <w:t> </w:t>
      </w:r>
      <w:r w:rsidR="00026F13" w:rsidRPr="00821AF6">
        <w:rPr>
          <w:rFonts w:ascii="Tahoma" w:hAnsi="Tahoma" w:cs="Tahoma"/>
        </w:rPr>
        <w:t>2 pkt 83</w:t>
      </w:r>
      <w:r w:rsidRPr="00821AF6">
        <w:rPr>
          <w:rFonts w:ascii="Tahoma" w:hAnsi="Tahoma" w:cs="Tahoma"/>
        </w:rPr>
        <w:t xml:space="preserve"> </w:t>
      </w:r>
      <w:r w:rsidR="00026F13" w:rsidRPr="00821AF6">
        <w:rPr>
          <w:rFonts w:ascii="Tahoma" w:hAnsi="Tahoma" w:cs="Tahoma"/>
        </w:rPr>
        <w:t xml:space="preserve">ustawy </w:t>
      </w:r>
      <w:r w:rsidRPr="00821AF6">
        <w:rPr>
          <w:rFonts w:ascii="Tahoma" w:hAnsi="Tahoma" w:cs="Tahoma"/>
        </w:rPr>
        <w:t>Prawo o ruchu drogowym</w:t>
      </w:r>
      <w:r w:rsidR="00CA01C4" w:rsidRPr="00821AF6">
        <w:rPr>
          <w:rFonts w:ascii="Tahoma" w:hAnsi="Tahoma" w:cs="Tahoma"/>
        </w:rPr>
        <w:t>;</w:t>
      </w:r>
    </w:p>
    <w:p w14:paraId="53AF72AC" w14:textId="1FF16DFB" w:rsidR="00FB0237" w:rsidRPr="00821AF6" w:rsidRDefault="00FB0237" w:rsidP="008C7F29">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CUPT </w:t>
      </w:r>
      <w:r w:rsidRPr="00821AF6">
        <w:rPr>
          <w:rFonts w:ascii="Tahoma" w:hAnsi="Tahoma" w:cs="Tahoma"/>
        </w:rPr>
        <w:t>– Centrum Unijnych Projektów Transportowych, pl. Europejski 2, 00-844 Warszawa;</w:t>
      </w:r>
    </w:p>
    <w:p w14:paraId="120CA252" w14:textId="77777777" w:rsidR="00EB2879" w:rsidRPr="00821AF6" w:rsidRDefault="00EB2879" w:rsidP="008C7F29">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infrastruktura ładowania drogowego transportu publicznego </w:t>
      </w:r>
      <w:r w:rsidRPr="00821AF6">
        <w:rPr>
          <w:rFonts w:ascii="Tahoma" w:hAnsi="Tahoma" w:cs="Tahoma"/>
        </w:rPr>
        <w:t>– punkty ładowania baterii lub tankowania wodoru wraz z niezbędną dla ich funkcjonowania infrastrukturą towarzyszącą, przeznaczone do ładowania lub tankowania, w szczególności autobusów zeroemisyjnych, wykorzystywanych w transporcie publicznym;</w:t>
      </w:r>
    </w:p>
    <w:p w14:paraId="74E31CDF" w14:textId="1580B8A8" w:rsidR="00521FD8" w:rsidRPr="00821AF6" w:rsidRDefault="00521FD8" w:rsidP="008C7F29">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komunikacja miejska </w:t>
      </w:r>
      <w:r w:rsidR="008C7F29" w:rsidRPr="00821AF6">
        <w:rPr>
          <w:rFonts w:ascii="Tahoma" w:hAnsi="Tahoma" w:cs="Tahoma"/>
        </w:rPr>
        <w:t>– sieć wszystkich linii komunikacyjnych o charakterze użyteczności publicznej zorganizowanych przez Miasto na obszarze jego właściwości – Miasta i gmin, które z Miastem zawarły porozumienia międzygminne;</w:t>
      </w:r>
    </w:p>
    <w:p w14:paraId="47D77C64" w14:textId="77777777" w:rsidR="009E77D2" w:rsidRPr="00821AF6" w:rsidRDefault="009E77D2" w:rsidP="008C7F29">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linia komunikacyjna </w:t>
      </w:r>
      <w:r w:rsidRPr="00821AF6">
        <w:rPr>
          <w:rFonts w:ascii="Tahoma" w:hAnsi="Tahoma" w:cs="Tahoma"/>
        </w:rPr>
        <w:t>– połączenie komunikacyjne na sieci dróg publicznych</w:t>
      </w:r>
      <w:r w:rsidR="00045B05" w:rsidRPr="00821AF6">
        <w:rPr>
          <w:rFonts w:ascii="Tahoma" w:hAnsi="Tahoma" w:cs="Tahoma"/>
        </w:rPr>
        <w:t>,</w:t>
      </w:r>
      <w:r w:rsidRPr="00821AF6">
        <w:rPr>
          <w:rFonts w:ascii="Tahoma" w:hAnsi="Tahoma" w:cs="Tahoma"/>
        </w:rPr>
        <w:t xml:space="preserve"> albo liniach kolejowych, innych szynowych, linowych, linowo-terenowych, </w:t>
      </w:r>
      <w:r w:rsidR="00045B05" w:rsidRPr="00821AF6">
        <w:rPr>
          <w:rFonts w:ascii="Tahoma" w:hAnsi="Tahoma" w:cs="Tahoma"/>
        </w:rPr>
        <w:t>albo akwenach morskich lub wodach śródlądowych – wraz z oznaczonymi miejscami do wsiadania i wysiadania pasażerów na liniach komunikacyjnych, po których odbywa się publiczny transport zbiorowy</w:t>
      </w:r>
      <w:r w:rsidR="005837D9" w:rsidRPr="00821AF6">
        <w:rPr>
          <w:rFonts w:ascii="Tahoma" w:hAnsi="Tahoma" w:cs="Tahoma"/>
        </w:rPr>
        <w:t>;</w:t>
      </w:r>
    </w:p>
    <w:p w14:paraId="30CBD907" w14:textId="3798E64F" w:rsidR="005F2E30" w:rsidRDefault="005F2E30"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Miasto </w:t>
      </w:r>
      <w:r w:rsidRPr="00821AF6">
        <w:rPr>
          <w:rFonts w:ascii="Tahoma" w:hAnsi="Tahoma" w:cs="Tahoma"/>
        </w:rPr>
        <w:t>–</w:t>
      </w:r>
      <w:r w:rsidR="00610D08" w:rsidRPr="00821AF6">
        <w:rPr>
          <w:rFonts w:ascii="Tahoma" w:hAnsi="Tahoma" w:cs="Tahoma"/>
        </w:rPr>
        <w:t xml:space="preserve"> </w:t>
      </w:r>
      <w:r w:rsidR="00AF0F27">
        <w:rPr>
          <w:rFonts w:ascii="Tahoma" w:hAnsi="Tahoma" w:cs="Tahoma"/>
        </w:rPr>
        <w:t>G</w:t>
      </w:r>
      <w:r w:rsidRPr="00821AF6">
        <w:rPr>
          <w:rFonts w:ascii="Tahoma" w:hAnsi="Tahoma" w:cs="Tahoma"/>
        </w:rPr>
        <w:t xml:space="preserve">mina </w:t>
      </w:r>
      <w:r w:rsidR="00AE0C28">
        <w:rPr>
          <w:rFonts w:ascii="Tahoma" w:hAnsi="Tahoma" w:cs="Tahoma"/>
        </w:rPr>
        <w:t>Miasto</w:t>
      </w:r>
      <w:r w:rsidR="00A55214">
        <w:rPr>
          <w:rFonts w:ascii="Tahoma" w:hAnsi="Tahoma" w:cs="Tahoma"/>
        </w:rPr>
        <w:t xml:space="preserve"> </w:t>
      </w:r>
      <w:r w:rsidR="00B5326D">
        <w:rPr>
          <w:rFonts w:ascii="Tahoma" w:hAnsi="Tahoma" w:cs="Tahoma"/>
        </w:rPr>
        <w:t xml:space="preserve">Rzeszów, określana także jako </w:t>
      </w:r>
      <w:r w:rsidR="00B5326D" w:rsidRPr="00B5326D">
        <w:rPr>
          <w:rFonts w:ascii="Tahoma" w:hAnsi="Tahoma" w:cs="Tahoma"/>
          <w:b/>
        </w:rPr>
        <w:t>Miasto Rzeszów</w:t>
      </w:r>
      <w:r w:rsidRPr="00821AF6">
        <w:rPr>
          <w:rFonts w:ascii="Tahoma" w:hAnsi="Tahoma" w:cs="Tahoma"/>
        </w:rPr>
        <w:t>;</w:t>
      </w:r>
    </w:p>
    <w:p w14:paraId="37DB7A30" w14:textId="0E6C78C7" w:rsidR="00C73F5E" w:rsidRPr="00A27FE8" w:rsidRDefault="00C73F5E" w:rsidP="00C73F5E">
      <w:pPr>
        <w:pStyle w:val="Akapitzlist"/>
        <w:numPr>
          <w:ilvl w:val="0"/>
          <w:numId w:val="5"/>
        </w:numPr>
        <w:spacing w:after="0" w:line="360" w:lineRule="auto"/>
        <w:ind w:left="357" w:hanging="357"/>
        <w:jc w:val="both"/>
        <w:rPr>
          <w:rFonts w:ascii="Tahoma" w:hAnsi="Tahoma" w:cs="Tahoma"/>
        </w:rPr>
      </w:pPr>
      <w:r>
        <w:rPr>
          <w:rFonts w:ascii="Tahoma" w:hAnsi="Tahoma" w:cs="Tahoma"/>
          <w:b/>
        </w:rPr>
        <w:t xml:space="preserve">MPK </w:t>
      </w:r>
      <w:r w:rsidRPr="00C73F5E">
        <w:rPr>
          <w:rFonts w:ascii="Tahoma" w:hAnsi="Tahoma" w:cs="Tahoma"/>
        </w:rPr>
        <w:t>– Miejskie Przedsiębiorstwo Komunikacyjne – Rzeszów Sp</w:t>
      </w:r>
      <w:r>
        <w:rPr>
          <w:rFonts w:ascii="Tahoma" w:hAnsi="Tahoma" w:cs="Tahoma"/>
        </w:rPr>
        <w:t>ółka z ograniczoną odpowiedzial</w:t>
      </w:r>
      <w:r w:rsidRPr="00C73F5E">
        <w:rPr>
          <w:rFonts w:ascii="Tahoma" w:hAnsi="Tahoma" w:cs="Tahoma"/>
        </w:rPr>
        <w:t>nością, z siedzibą przy ul. Lubelskiej 54, 35-233 Rzeszów, określane w opracowaniu także jako</w:t>
      </w:r>
      <w:r w:rsidRPr="00C73F5E">
        <w:rPr>
          <w:rFonts w:ascii="Tahoma" w:hAnsi="Tahoma" w:cs="Tahoma"/>
          <w:b/>
        </w:rPr>
        <w:t xml:space="preserve"> Spółka </w:t>
      </w:r>
      <w:r w:rsidRPr="00C73F5E">
        <w:rPr>
          <w:rFonts w:ascii="Tahoma" w:hAnsi="Tahoma" w:cs="Tahoma"/>
        </w:rPr>
        <w:t xml:space="preserve">albo </w:t>
      </w:r>
      <w:r w:rsidR="006D2BD2">
        <w:rPr>
          <w:rFonts w:ascii="Tahoma" w:hAnsi="Tahoma" w:cs="Tahoma"/>
          <w:b/>
        </w:rPr>
        <w:t>MPK-Rzeszów s</w:t>
      </w:r>
      <w:r w:rsidRPr="00C73F5E">
        <w:rPr>
          <w:rFonts w:ascii="Tahoma" w:hAnsi="Tahoma" w:cs="Tahoma"/>
          <w:b/>
        </w:rPr>
        <w:t>p. z o.o.</w:t>
      </w:r>
      <w:r w:rsidR="00A27FE8" w:rsidRPr="00A27FE8">
        <w:rPr>
          <w:rFonts w:ascii="Tahoma" w:hAnsi="Tahoma" w:cs="Tahoma"/>
        </w:rPr>
        <w:t>;</w:t>
      </w:r>
    </w:p>
    <w:p w14:paraId="16073297" w14:textId="2BBA64EB" w:rsidR="00BD19F5" w:rsidRPr="00821AF6" w:rsidRDefault="00BD19F5"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NFOŚiGW </w:t>
      </w:r>
      <w:r w:rsidRPr="00821AF6">
        <w:rPr>
          <w:rFonts w:ascii="Tahoma" w:hAnsi="Tahoma" w:cs="Tahoma"/>
        </w:rPr>
        <w:t>– Narodowy Fundusz Ochrony Środowiska i Gospodarki Wodnej, ul. Konstruktorska 3a, 02-673 Warszawa;</w:t>
      </w:r>
    </w:p>
    <w:p w14:paraId="336968FA" w14:textId="77777777" w:rsidR="00521FD8" w:rsidRPr="00821AF6" w:rsidRDefault="007B624B"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o</w:t>
      </w:r>
      <w:r w:rsidR="00521FD8" w:rsidRPr="00821AF6">
        <w:rPr>
          <w:rFonts w:ascii="Tahoma" w:hAnsi="Tahoma" w:cs="Tahoma"/>
          <w:b/>
        </w:rPr>
        <w:t>rganizator</w:t>
      </w:r>
      <w:r w:rsidR="00990CC2" w:rsidRPr="00821AF6">
        <w:rPr>
          <w:rFonts w:ascii="Tahoma" w:hAnsi="Tahoma" w:cs="Tahoma"/>
          <w:b/>
        </w:rPr>
        <w:t xml:space="preserve"> </w:t>
      </w:r>
      <w:r w:rsidR="00521FD8" w:rsidRPr="00821AF6">
        <w:rPr>
          <w:rFonts w:ascii="Tahoma" w:hAnsi="Tahoma" w:cs="Tahoma"/>
        </w:rPr>
        <w:t xml:space="preserve">– </w:t>
      </w:r>
      <w:r w:rsidR="00990CC2" w:rsidRPr="00821AF6">
        <w:rPr>
          <w:rFonts w:ascii="Tahoma" w:hAnsi="Tahoma" w:cs="Tahoma"/>
        </w:rPr>
        <w:t xml:space="preserve">organizator publicznego transportu zbiorowego, </w:t>
      </w:r>
      <w:r w:rsidR="00521FD8" w:rsidRPr="00821AF6">
        <w:rPr>
          <w:rFonts w:ascii="Tahoma" w:hAnsi="Tahoma" w:cs="Tahoma"/>
        </w:rPr>
        <w:t>właściwa jednostka samorządu terytorialnego albo minister właściwy do spraw transportu, zapewniający funkcjonowanie publicznego transportu zbiorowego na danym obszarze;</w:t>
      </w:r>
    </w:p>
    <w:p w14:paraId="6DED05B3" w14:textId="77777777" w:rsidR="00521FD8" w:rsidRPr="00821AF6" w:rsidRDefault="007B624B"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o</w:t>
      </w:r>
      <w:r w:rsidR="00521FD8" w:rsidRPr="00821AF6">
        <w:rPr>
          <w:rFonts w:ascii="Tahoma" w:hAnsi="Tahoma" w:cs="Tahoma"/>
          <w:b/>
        </w:rPr>
        <w:t>perator</w:t>
      </w:r>
      <w:r w:rsidR="00990CC2" w:rsidRPr="00821AF6">
        <w:rPr>
          <w:rFonts w:ascii="Tahoma" w:hAnsi="Tahoma" w:cs="Tahoma"/>
          <w:b/>
        </w:rPr>
        <w:t xml:space="preserve"> </w:t>
      </w:r>
      <w:r w:rsidR="00521FD8" w:rsidRPr="00821AF6">
        <w:rPr>
          <w:rFonts w:ascii="Tahoma" w:hAnsi="Tahoma" w:cs="Tahoma"/>
        </w:rPr>
        <w:t xml:space="preserve">– </w:t>
      </w:r>
      <w:r w:rsidR="00990CC2" w:rsidRPr="00821AF6">
        <w:rPr>
          <w:rFonts w:ascii="Tahoma" w:hAnsi="Tahoma" w:cs="Tahoma"/>
        </w:rPr>
        <w:t xml:space="preserve">operator publicznego transportu zbiorowego, </w:t>
      </w:r>
      <w:r w:rsidR="00521FD8" w:rsidRPr="00821AF6">
        <w:rPr>
          <w:rFonts w:ascii="Tahoma" w:hAnsi="Tahoma" w:cs="Tahoma"/>
        </w:rPr>
        <w:t>samorządowy zakład budżetowy oraz przedsiębiorca uprawniony do prowadzenia działalności gospodarczej w zakresie przewozu osób, który zawarł z organizatorem publiczneg</w:t>
      </w:r>
      <w:r w:rsidR="001D1288" w:rsidRPr="00821AF6">
        <w:rPr>
          <w:rFonts w:ascii="Tahoma" w:hAnsi="Tahoma" w:cs="Tahoma"/>
        </w:rPr>
        <w:t>o transportu zbiorowego umowę o </w:t>
      </w:r>
      <w:r w:rsidR="00521FD8" w:rsidRPr="00821AF6">
        <w:rPr>
          <w:rFonts w:ascii="Tahoma" w:hAnsi="Tahoma" w:cs="Tahoma"/>
        </w:rPr>
        <w:t>świadczenie usług w zakresie publicznego transportu zbiorowego na linii komunikacyjnej określonej w umowie;</w:t>
      </w:r>
    </w:p>
    <w:p w14:paraId="02159B30" w14:textId="7A8EA34F" w:rsidR="00A94547" w:rsidRDefault="00A94547"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paliwa alternatywne</w:t>
      </w:r>
      <w:r w:rsidRPr="00821AF6">
        <w:rPr>
          <w:rFonts w:ascii="Tahoma" w:hAnsi="Tahoma" w:cs="Tahoma"/>
        </w:rPr>
        <w:t xml:space="preserve"> – paliwa lub energia wykorzystywane do napędu silników pojazdów samochodowych lub jednostek pływających stanowiące substytut dla paliw pochodzących z ropy naftowej lub otrzymywanych w procesach jej przetwórstwa, w szczególności energia elektryczna, wodór, biopaliwa ciekłe, paliwa syntetyczne i parafinowe, sprężony gaz ziemny </w:t>
      </w:r>
      <w:r w:rsidRPr="00821AF6">
        <w:rPr>
          <w:rFonts w:ascii="Tahoma" w:hAnsi="Tahoma" w:cs="Tahoma"/>
        </w:rPr>
        <w:lastRenderedPageBreak/>
        <w:t>(CNG), w tym pochodzący z biometanu, skroplony gaz ziemny (LNG), w tym pochodzący z biometanu lub gaz płynny (LPG);</w:t>
      </w:r>
    </w:p>
    <w:p w14:paraId="39009DC9" w14:textId="77777777" w:rsidR="00521FD8" w:rsidRPr="00821AF6" w:rsidRDefault="00521FD8"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podmiot wewnętrzny</w:t>
      </w:r>
      <w:r w:rsidRPr="00821AF6">
        <w:rPr>
          <w:rFonts w:ascii="Tahoma" w:hAnsi="Tahoma" w:cs="Tahoma"/>
        </w:rPr>
        <w:t xml:space="preserve"> – odrębna prawnie jednostka, powołana do świadczenia zadań własnych jednostki samorządu lokalnego, podlegająca kontroli właściwego organu lokalnego, a w przypadku grupy organów przynajmniej jednego właściwego organu lokalnego, analogicznej do kontroli, jaką sprawują one nad własnymi służbami;</w:t>
      </w:r>
    </w:p>
    <w:p w14:paraId="67B2084D" w14:textId="77777777" w:rsidR="008F5C8B" w:rsidRPr="00821AF6" w:rsidRDefault="008F5C8B"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pojazd elektryczny </w:t>
      </w:r>
      <w:r w:rsidRPr="00821AF6">
        <w:rPr>
          <w:rFonts w:ascii="Tahoma" w:hAnsi="Tahoma" w:cs="Tahoma"/>
        </w:rPr>
        <w:t>– pojazd samochodowy w rozumieniu art. 2 pkt 33 Prawa o ruchu drogowym, wykorzystujący do napędu wyłącznie energię elektryczną akumulowaną przez podłączenie do zewnętrznego źródła zasilania</w:t>
      </w:r>
      <w:r w:rsidR="005C5C42" w:rsidRPr="00821AF6">
        <w:rPr>
          <w:rFonts w:ascii="Tahoma" w:hAnsi="Tahoma" w:cs="Tahoma"/>
        </w:rPr>
        <w:t>, w opracowaniu nazywany także autobusem elektrycznym</w:t>
      </w:r>
      <w:r w:rsidRPr="00821AF6">
        <w:rPr>
          <w:rFonts w:ascii="Tahoma" w:hAnsi="Tahoma" w:cs="Tahoma"/>
        </w:rPr>
        <w:t>;</w:t>
      </w:r>
    </w:p>
    <w:p w14:paraId="48B883CE" w14:textId="2B72B9F1" w:rsidR="00A94547" w:rsidRPr="00821AF6" w:rsidRDefault="00A94547"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pojazd hybrydowy</w:t>
      </w:r>
      <w:r w:rsidRPr="00821AF6">
        <w:rPr>
          <w:rFonts w:ascii="Tahoma" w:hAnsi="Tahoma" w:cs="Tahoma"/>
        </w:rPr>
        <w:t xml:space="preserve"> – pojazd samochodowy w rozumieniu art. 2 pkt 33 Prawa o ruchu drogowym, o napędzie spalinowo-elektrycznym, w którym energia elektryczna jest akumulowana przez podłączenie do zewnętrznego źródła zasilania;</w:t>
      </w:r>
    </w:p>
    <w:p w14:paraId="45994910" w14:textId="46C99530" w:rsidR="00A94547" w:rsidRPr="00821AF6" w:rsidRDefault="00A94547"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pojazd napędzany gazem ziemnym </w:t>
      </w:r>
      <w:r w:rsidRPr="00821AF6">
        <w:rPr>
          <w:rFonts w:ascii="Tahoma" w:hAnsi="Tahoma" w:cs="Tahoma"/>
        </w:rPr>
        <w:t>– pojazd samochodowy w rozumieniu art. 2 pkt 33 Prawa o ruchu drogowym, wykorzystujący do napędu sprężony gaz ziemny (CNG) lub skroplony gaz ziemny (LNG), w tym pochodzący z biometanu;</w:t>
      </w:r>
    </w:p>
    <w:p w14:paraId="382B1FA6" w14:textId="77777777" w:rsidR="004067C7" w:rsidRPr="009A28DE" w:rsidRDefault="004067C7" w:rsidP="004067C7">
      <w:pPr>
        <w:pStyle w:val="Akapitzlist"/>
        <w:numPr>
          <w:ilvl w:val="0"/>
          <w:numId w:val="5"/>
        </w:numPr>
        <w:spacing w:after="0" w:line="360" w:lineRule="auto"/>
        <w:ind w:left="357" w:hanging="357"/>
        <w:jc w:val="both"/>
        <w:rPr>
          <w:rFonts w:ascii="Tahoma" w:eastAsia="Times New Roman" w:hAnsi="Tahoma" w:cs="Tahoma"/>
          <w:szCs w:val="24"/>
          <w:lang w:eastAsia="pl-PL"/>
        </w:rPr>
      </w:pPr>
      <w:r w:rsidRPr="009A28DE">
        <w:rPr>
          <w:rFonts w:ascii="Tahoma" w:hAnsi="Tahoma" w:cs="Tahoma"/>
          <w:b/>
        </w:rPr>
        <w:t xml:space="preserve">pojazd napędzany wodorem </w:t>
      </w:r>
      <w:r w:rsidRPr="009A28DE">
        <w:rPr>
          <w:rFonts w:ascii="Tahoma" w:hAnsi="Tahoma" w:cs="Tahoma"/>
        </w:rPr>
        <w:t>– pojazd samochodowy w rozumieniu art. 2 pkt 33 Prawa o ruchu drogowym, wykorzystujący do napędu energię elektryczną wytworzoną z wodoru w zainstalowanych w nim ogniwach paliwowych,</w:t>
      </w:r>
      <w:r w:rsidRPr="009A28DE">
        <w:rPr>
          <w:rFonts w:ascii="Tahoma" w:eastAsia="Times New Roman" w:hAnsi="Tahoma" w:cs="Tahoma"/>
          <w:szCs w:val="24"/>
          <w:lang w:eastAsia="pl-PL"/>
        </w:rPr>
        <w:t xml:space="preserve"> w opracowaniu </w:t>
      </w:r>
      <w:r>
        <w:rPr>
          <w:rFonts w:ascii="Tahoma" w:eastAsia="Times New Roman" w:hAnsi="Tahoma" w:cs="Tahoma"/>
          <w:szCs w:val="24"/>
          <w:lang w:eastAsia="pl-PL"/>
        </w:rPr>
        <w:t xml:space="preserve">w </w:t>
      </w:r>
      <w:r w:rsidRPr="009A28DE">
        <w:rPr>
          <w:rFonts w:ascii="Tahoma" w:eastAsia="Times New Roman" w:hAnsi="Tahoma" w:cs="Tahoma"/>
          <w:szCs w:val="24"/>
          <w:lang w:eastAsia="pl-PL"/>
        </w:rPr>
        <w:t>odniesieniu do autobusu nazywany także autobusem elektrycznym z wodorowymi ogniwami paliwowymi lub autobusem elektrycznym zasilanym z ogniw paliwowych;</w:t>
      </w:r>
    </w:p>
    <w:p w14:paraId="66C30134" w14:textId="43EE5761" w:rsidR="00894F51" w:rsidRPr="00821AF6" w:rsidRDefault="0003607E"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p</w:t>
      </w:r>
      <w:r w:rsidR="00894F51" w:rsidRPr="00821AF6">
        <w:rPr>
          <w:rFonts w:ascii="Tahoma" w:hAnsi="Tahoma" w:cs="Tahoma"/>
          <w:b/>
        </w:rPr>
        <w:t xml:space="preserve">raktyczny przewodnik </w:t>
      </w:r>
      <w:r w:rsidR="00894F51" w:rsidRPr="00821AF6">
        <w:rPr>
          <w:rFonts w:ascii="Tahoma" w:hAnsi="Tahoma" w:cs="Tahoma"/>
        </w:rPr>
        <w:t xml:space="preserve">– publikacja pt. „Zasady opracowywania wymaganej ustawą o elektromobilności i paliwach alternatywnych analizy kosztów i korzyści związanych z wykorzystaniem autobusów zeroemisyjnych przy świadczeniu usług komunikacji miejskiej. Praktyczny przewodnik dla samorządów”, wydana przez Izbę Gospodarczą Komunikacji Miejskiej w Warszawie, czerwiec 2018 r.; </w:t>
      </w:r>
    </w:p>
    <w:p w14:paraId="62121655" w14:textId="17BADE49" w:rsidR="008F5C8B" w:rsidRPr="00821AF6" w:rsidRDefault="008F5C8B"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punkt ładowania </w:t>
      </w:r>
      <w:r w:rsidRPr="00821AF6">
        <w:rPr>
          <w:rFonts w:ascii="Tahoma" w:hAnsi="Tahoma" w:cs="Tahoma"/>
        </w:rPr>
        <w:t>– urządzenie umożliwiające ładowanie pojedynczego pojazdu elektrycznego, pojazdu hybrydowego i autobusu zeroemisyjnego oraz miejsce, w którym wymienia się lub ładuje akumulator służący do napędu tego pojazdu</w:t>
      </w:r>
      <w:r w:rsidR="005837D9" w:rsidRPr="00821AF6">
        <w:rPr>
          <w:rFonts w:ascii="Tahoma" w:hAnsi="Tahoma" w:cs="Tahoma"/>
        </w:rPr>
        <w:t>;</w:t>
      </w:r>
      <w:r w:rsidRPr="00821AF6">
        <w:rPr>
          <w:rFonts w:ascii="Tahoma" w:hAnsi="Tahoma" w:cs="Tahoma"/>
        </w:rPr>
        <w:t xml:space="preserve"> punkt ładowania może być małej mocy (do 22</w:t>
      </w:r>
      <w:r w:rsidR="00415343" w:rsidRPr="00821AF6">
        <w:rPr>
          <w:rFonts w:ascii="Tahoma" w:hAnsi="Tahoma" w:cs="Tahoma"/>
        </w:rPr>
        <w:t xml:space="preserve"> </w:t>
      </w:r>
      <w:r w:rsidRPr="00821AF6">
        <w:rPr>
          <w:rFonts w:ascii="Tahoma" w:hAnsi="Tahoma" w:cs="Tahoma"/>
        </w:rPr>
        <w:t>kW) lub dużej mocy (większej niż 22 kW);</w:t>
      </w:r>
    </w:p>
    <w:p w14:paraId="3E6D1DF7" w14:textId="14AA7030" w:rsidR="00A94547" w:rsidRPr="00821AF6" w:rsidRDefault="00C73F5E"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punkt tankowania </w:t>
      </w:r>
      <w:r>
        <w:rPr>
          <w:rFonts w:ascii="Tahoma" w:hAnsi="Tahoma" w:cs="Tahoma"/>
          <w:b/>
        </w:rPr>
        <w:t>gazu ziemnego</w:t>
      </w:r>
      <w:r w:rsidRPr="00821AF6">
        <w:rPr>
          <w:rFonts w:ascii="Tahoma" w:hAnsi="Tahoma" w:cs="Tahoma"/>
          <w:b/>
        </w:rPr>
        <w:t xml:space="preserve"> </w:t>
      </w:r>
      <w:r w:rsidRPr="00821AF6">
        <w:rPr>
          <w:rFonts w:ascii="Tahoma" w:hAnsi="Tahoma" w:cs="Tahoma"/>
        </w:rPr>
        <w:t>–</w:t>
      </w:r>
      <w:r>
        <w:rPr>
          <w:rFonts w:ascii="Tahoma" w:hAnsi="Tahoma" w:cs="Tahoma"/>
        </w:rPr>
        <w:t xml:space="preserve"> z</w:t>
      </w:r>
      <w:r w:rsidRPr="00D500C3">
        <w:rPr>
          <w:rFonts w:ascii="Tahoma" w:hAnsi="Tahoma" w:cs="Tahoma"/>
        </w:rPr>
        <w:t>espół urządzeń służących do zaopatrywania pojazdów samochodowych w gaz ziemny, w tym pochodzący z biometanu; w celu napędu silników tych pojazdów, wyróżnia się punkty tankowania gazu zmiennego CNG lub LNG</w:t>
      </w:r>
      <w:r w:rsidRPr="00821AF6">
        <w:rPr>
          <w:rFonts w:ascii="Tahoma" w:hAnsi="Tahoma" w:cs="Tahoma"/>
        </w:rPr>
        <w:t>;</w:t>
      </w:r>
    </w:p>
    <w:p w14:paraId="214B98A9" w14:textId="3183C14B" w:rsidR="00A94547" w:rsidRPr="00821AF6" w:rsidRDefault="00A94547"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bCs/>
        </w:rPr>
        <w:t>punkt tankowania wodoru</w:t>
      </w:r>
      <w:r w:rsidRPr="00821AF6">
        <w:rPr>
          <w:rFonts w:ascii="Tahoma" w:hAnsi="Tahoma" w:cs="Tahoma"/>
        </w:rPr>
        <w:t xml:space="preserve"> – zespół urządzeń służących do zaopatrywania pojazdów samochodowych w wodór;</w:t>
      </w:r>
    </w:p>
    <w:p w14:paraId="6AEFB10A" w14:textId="77777777" w:rsidR="001B3CB1" w:rsidRPr="00821AF6" w:rsidRDefault="001B3CB1"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lastRenderedPageBreak/>
        <w:t xml:space="preserve">publiczny transport zbiorowy </w:t>
      </w:r>
      <w:r w:rsidRPr="00821AF6">
        <w:rPr>
          <w:rFonts w:ascii="Tahoma" w:hAnsi="Tahoma" w:cs="Tahoma"/>
        </w:rPr>
        <w:t>– powszechnie dostępny regularny przewóz osób wykonywany w określonych odstępach czasu i po określonej linii komunikacyjnej, liniach komunikacyjnych lub sieci komunikacyjnej;</w:t>
      </w:r>
    </w:p>
    <w:p w14:paraId="6ED58874" w14:textId="4CA4A8EA" w:rsidR="00D04EF5" w:rsidRPr="00821AF6" w:rsidRDefault="00D04EF5"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Rozporządzenie 1370/2007 </w:t>
      </w:r>
      <w:r w:rsidRPr="00821AF6">
        <w:rPr>
          <w:rFonts w:ascii="Tahoma" w:hAnsi="Tahoma" w:cs="Tahoma"/>
        </w:rPr>
        <w:t xml:space="preserve">– Rozporządzenie </w:t>
      </w:r>
      <w:r w:rsidRPr="00821AF6">
        <w:rPr>
          <w:rFonts w:ascii="Tahoma" w:hAnsi="Tahoma" w:cs="Tahoma"/>
          <w:bCs/>
        </w:rPr>
        <w:t>(WE) nr 1370/2007 Parlamentu Europejskiego i Rady z dnia 23 października 2007 r. dotyczące usług publicznych w zakresie kolejowego i drogowego transportu pasażerskiego oraz uchylające rozporządzenia Rady (EWG) nr 1191/69 i (EWG) nr 1107/70 (Dz. Urz. UE, l. 315/1 z dnia 3.12.2007 r.), zmienione Sprostowaniem z dnia 3 grudnia 2007 r. (Dz. Urz. UE, l. 240/65 z dnia 16.09.2015 r.) oraz Rozporządzeniem Parlamentu Europejskiego i Rady (UE) 2016/2338 z dnia 14 grudnia 2016 r. (Dz. Urz. UE, l. 354/22 z dnia 23.12.2016 r.);</w:t>
      </w:r>
    </w:p>
    <w:p w14:paraId="0867B7A2" w14:textId="77777777" w:rsidR="00521FD8" w:rsidRPr="00821AF6" w:rsidRDefault="00521FD8"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sieć komunikacyjna</w:t>
      </w:r>
      <w:r w:rsidRPr="00821AF6">
        <w:rPr>
          <w:rFonts w:ascii="Tahoma" w:hAnsi="Tahoma" w:cs="Tahoma"/>
        </w:rPr>
        <w:t xml:space="preserve"> – układ linii komunikacyjnych obejmujących obszar działania organizatora publicznego transportu zbiorowego lub część tego obszaru;</w:t>
      </w:r>
    </w:p>
    <w:p w14:paraId="0DFC8404" w14:textId="77777777" w:rsidR="008F5C8B" w:rsidRPr="00821AF6" w:rsidRDefault="008F5C8B"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stacja ładowania </w:t>
      </w:r>
      <w:r w:rsidRPr="00821AF6">
        <w:rPr>
          <w:rFonts w:ascii="Tahoma" w:hAnsi="Tahoma" w:cs="Tahoma"/>
        </w:rPr>
        <w:t>– urządzenie budowlane obejmujące punkt ładowania o normalnej mocy lub punkt ładowania o dużej mocy, związane z obiektem budowlanym, lub wyposażone w oprogramowanie umożliwiające świadczenie usług ładowania, wraz ze stanowiskiem postojowym oraz instalacją prowadzącą od punktu ładowania do przyłącza elektroenergetycznego;</w:t>
      </w:r>
    </w:p>
    <w:p w14:paraId="299AF4F0" w14:textId="3B811A84" w:rsidR="0003607E" w:rsidRPr="0058296A" w:rsidRDefault="0003607E" w:rsidP="00C26D8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umowa </w:t>
      </w:r>
      <w:r w:rsidR="00C26D87">
        <w:rPr>
          <w:rFonts w:ascii="Tahoma" w:hAnsi="Tahoma" w:cs="Tahoma"/>
          <w:b/>
        </w:rPr>
        <w:t>wykonawcza</w:t>
      </w:r>
      <w:r w:rsidRPr="00821AF6">
        <w:rPr>
          <w:rFonts w:ascii="Tahoma" w:hAnsi="Tahoma" w:cs="Tahoma"/>
          <w:b/>
        </w:rPr>
        <w:t xml:space="preserve"> </w:t>
      </w:r>
      <w:r w:rsidRPr="00821AF6">
        <w:rPr>
          <w:rFonts w:ascii="Tahoma" w:hAnsi="Tahoma" w:cs="Tahoma"/>
        </w:rPr>
        <w:t xml:space="preserve">– umowa o świadczenie usług w </w:t>
      </w:r>
      <w:r w:rsidR="00C26D87">
        <w:rPr>
          <w:rFonts w:ascii="Tahoma" w:hAnsi="Tahoma" w:cs="Tahoma"/>
        </w:rPr>
        <w:t>ramach</w:t>
      </w:r>
      <w:r w:rsidRPr="00821AF6">
        <w:rPr>
          <w:rFonts w:ascii="Tahoma" w:hAnsi="Tahoma" w:cs="Tahoma"/>
        </w:rPr>
        <w:t xml:space="preserve"> publicznego transportu zbiorowego</w:t>
      </w:r>
      <w:r w:rsidR="00C26D87">
        <w:rPr>
          <w:rFonts w:ascii="Tahoma" w:hAnsi="Tahoma" w:cs="Tahoma"/>
        </w:rPr>
        <w:t xml:space="preserve"> w komunikac</w:t>
      </w:r>
      <w:r w:rsidR="00AE0C28">
        <w:rPr>
          <w:rFonts w:ascii="Tahoma" w:hAnsi="Tahoma" w:cs="Tahoma"/>
        </w:rPr>
        <w:t xml:space="preserve">ji autobusowej </w:t>
      </w:r>
      <w:r w:rsidR="00C73F5E" w:rsidRPr="00C73F5E">
        <w:rPr>
          <w:rFonts w:ascii="Tahoma" w:hAnsi="Tahoma" w:cs="Tahoma"/>
        </w:rPr>
        <w:t>na terenie Miasta or</w:t>
      </w:r>
      <w:r w:rsidR="00187723">
        <w:rPr>
          <w:rFonts w:ascii="Tahoma" w:hAnsi="Tahoma" w:cs="Tahoma"/>
        </w:rPr>
        <w:t>az gmin, z którymi Miasto zawarł</w:t>
      </w:r>
      <w:r w:rsidR="00C73F5E" w:rsidRPr="00C73F5E">
        <w:rPr>
          <w:rFonts w:ascii="Tahoma" w:hAnsi="Tahoma" w:cs="Tahoma"/>
        </w:rPr>
        <w:t>o porozumienia w sprawie organizacji publicznego transportu zbiorowego, zawarta pomiędzy Miastem jako organizatorem a operatorem</w:t>
      </w:r>
      <w:r w:rsidRPr="0058296A">
        <w:rPr>
          <w:rFonts w:ascii="Tahoma" w:hAnsi="Tahoma" w:cs="Tahoma"/>
        </w:rPr>
        <w:t>;</w:t>
      </w:r>
    </w:p>
    <w:p w14:paraId="6885B021" w14:textId="6AE8E367" w:rsidR="00193D8F" w:rsidRPr="00821AF6" w:rsidRDefault="00193D8F" w:rsidP="00193D8F">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 xml:space="preserve">ustawa o elektromobilności </w:t>
      </w:r>
      <w:r w:rsidRPr="00821AF6">
        <w:rPr>
          <w:rFonts w:ascii="Tahoma" w:hAnsi="Tahoma" w:cs="Tahoma"/>
        </w:rPr>
        <w:t>– ustawa z dnia 11 stycznia 2018 r. o elektromobilności i paliwach alternatywnych (</w:t>
      </w:r>
      <w:r w:rsidR="00B9634D">
        <w:rPr>
          <w:rFonts w:ascii="Tahoma" w:hAnsi="Tahoma" w:cs="Tahoma"/>
        </w:rPr>
        <w:t xml:space="preserve">t.j. </w:t>
      </w:r>
      <w:r w:rsidRPr="00821AF6">
        <w:rPr>
          <w:rFonts w:ascii="Tahoma" w:hAnsi="Tahoma" w:cs="Tahoma"/>
        </w:rPr>
        <w:t>Dz. U. z 2021 r. poz. 110</w:t>
      </w:r>
      <w:r w:rsidR="00B9634D">
        <w:rPr>
          <w:rFonts w:ascii="Tahoma" w:hAnsi="Tahoma" w:cs="Tahoma"/>
        </w:rPr>
        <w:t xml:space="preserve"> ze zm.</w:t>
      </w:r>
      <w:r w:rsidRPr="00821AF6">
        <w:rPr>
          <w:rFonts w:ascii="Tahoma" w:hAnsi="Tahoma" w:cs="Tahoma"/>
        </w:rPr>
        <w:t>);</w:t>
      </w:r>
    </w:p>
    <w:p w14:paraId="2B614FD7" w14:textId="1ED370B8" w:rsidR="00C7130C" w:rsidRPr="00821AF6" w:rsidRDefault="00C7130C" w:rsidP="00A94547">
      <w:pPr>
        <w:pStyle w:val="Akapitzlist"/>
        <w:numPr>
          <w:ilvl w:val="0"/>
          <w:numId w:val="5"/>
        </w:numPr>
        <w:spacing w:after="0" w:line="360" w:lineRule="auto"/>
        <w:ind w:left="357" w:hanging="357"/>
        <w:jc w:val="both"/>
        <w:rPr>
          <w:rFonts w:ascii="Tahoma" w:hAnsi="Tahoma" w:cs="Tahoma"/>
        </w:rPr>
      </w:pPr>
      <w:r w:rsidRPr="00821AF6">
        <w:rPr>
          <w:rFonts w:ascii="Tahoma" w:hAnsi="Tahoma" w:cs="Tahoma"/>
          <w:b/>
        </w:rPr>
        <w:t>ustawa</w:t>
      </w:r>
      <w:r w:rsidR="00CE4C8A" w:rsidRPr="00821AF6">
        <w:rPr>
          <w:rFonts w:ascii="Tahoma" w:hAnsi="Tahoma" w:cs="Tahoma"/>
          <w:b/>
        </w:rPr>
        <w:t xml:space="preserve"> </w:t>
      </w:r>
      <w:r w:rsidR="007B624B" w:rsidRPr="00821AF6">
        <w:rPr>
          <w:rFonts w:ascii="Tahoma" w:hAnsi="Tahoma" w:cs="Tahoma"/>
          <w:b/>
        </w:rPr>
        <w:t xml:space="preserve">o </w:t>
      </w:r>
      <w:r w:rsidR="00CE4C8A" w:rsidRPr="00821AF6">
        <w:rPr>
          <w:rFonts w:ascii="Tahoma" w:hAnsi="Tahoma" w:cs="Tahoma"/>
          <w:b/>
        </w:rPr>
        <w:t>ptz</w:t>
      </w:r>
      <w:r w:rsidRPr="00821AF6">
        <w:rPr>
          <w:rFonts w:ascii="Tahoma" w:hAnsi="Tahoma" w:cs="Tahoma"/>
          <w:b/>
        </w:rPr>
        <w:t xml:space="preserve"> </w:t>
      </w:r>
      <w:r w:rsidRPr="00821AF6">
        <w:rPr>
          <w:rFonts w:ascii="Tahoma" w:hAnsi="Tahoma" w:cs="Tahoma"/>
        </w:rPr>
        <w:t>– ustawa z dnia 16 grudnia 2010 r. o publicznym transporcie zbiorowy</w:t>
      </w:r>
      <w:r w:rsidR="00A94547" w:rsidRPr="00821AF6">
        <w:rPr>
          <w:rFonts w:ascii="Tahoma" w:hAnsi="Tahoma" w:cs="Tahoma"/>
        </w:rPr>
        <w:t>m (t</w:t>
      </w:r>
      <w:r w:rsidR="00B37F58">
        <w:rPr>
          <w:rFonts w:ascii="Tahoma" w:hAnsi="Tahoma" w:cs="Tahoma"/>
        </w:rPr>
        <w:t xml:space="preserve">.j. </w:t>
      </w:r>
      <w:r w:rsidR="00A94547" w:rsidRPr="00821AF6">
        <w:rPr>
          <w:rFonts w:ascii="Tahoma" w:hAnsi="Tahoma" w:cs="Tahoma"/>
        </w:rPr>
        <w:t>Dz. U. z 202</w:t>
      </w:r>
      <w:r w:rsidR="00B37F58">
        <w:rPr>
          <w:rFonts w:ascii="Tahoma" w:hAnsi="Tahoma" w:cs="Tahoma"/>
        </w:rPr>
        <w:t>1</w:t>
      </w:r>
      <w:r w:rsidR="00C76205" w:rsidRPr="00821AF6">
        <w:rPr>
          <w:rFonts w:ascii="Tahoma" w:hAnsi="Tahoma" w:cs="Tahoma"/>
        </w:rPr>
        <w:t xml:space="preserve"> r. poz. </w:t>
      </w:r>
      <w:r w:rsidR="00A94547" w:rsidRPr="00821AF6">
        <w:rPr>
          <w:rFonts w:ascii="Tahoma" w:hAnsi="Tahoma" w:cs="Tahoma"/>
        </w:rPr>
        <w:t>1</w:t>
      </w:r>
      <w:r w:rsidR="00B37F58">
        <w:rPr>
          <w:rFonts w:ascii="Tahoma" w:hAnsi="Tahoma" w:cs="Tahoma"/>
        </w:rPr>
        <w:t>371</w:t>
      </w:r>
      <w:r w:rsidRPr="00821AF6">
        <w:rPr>
          <w:rFonts w:ascii="Tahoma" w:hAnsi="Tahoma" w:cs="Tahoma"/>
        </w:rPr>
        <w:t>);</w:t>
      </w:r>
    </w:p>
    <w:p w14:paraId="026E8DFD" w14:textId="208E0CC6" w:rsidR="00870D91" w:rsidRPr="0058296A" w:rsidRDefault="00C73F5E" w:rsidP="0042064E">
      <w:pPr>
        <w:pStyle w:val="Akapitzlist"/>
        <w:numPr>
          <w:ilvl w:val="0"/>
          <w:numId w:val="5"/>
        </w:numPr>
        <w:spacing w:after="0" w:line="360" w:lineRule="auto"/>
        <w:ind w:left="357" w:hanging="357"/>
        <w:jc w:val="both"/>
        <w:rPr>
          <w:rFonts w:ascii="Tahoma" w:hAnsi="Tahoma" w:cs="Tahoma"/>
        </w:rPr>
      </w:pPr>
      <w:r>
        <w:rPr>
          <w:rFonts w:ascii="Tahoma" w:hAnsi="Tahoma" w:cs="Tahoma"/>
          <w:b/>
        </w:rPr>
        <w:t>Z</w:t>
      </w:r>
      <w:r w:rsidR="007E080A">
        <w:rPr>
          <w:rFonts w:ascii="Tahoma" w:hAnsi="Tahoma" w:cs="Tahoma"/>
          <w:b/>
        </w:rPr>
        <w:t>TM w Rzeszowie</w:t>
      </w:r>
      <w:r w:rsidRPr="0058296A">
        <w:rPr>
          <w:rFonts w:ascii="Tahoma" w:hAnsi="Tahoma" w:cs="Tahoma"/>
          <w:b/>
        </w:rPr>
        <w:t xml:space="preserve"> </w:t>
      </w:r>
      <w:r w:rsidRPr="0058296A">
        <w:rPr>
          <w:rFonts w:ascii="Tahoma" w:hAnsi="Tahoma" w:cs="Tahoma"/>
        </w:rPr>
        <w:t xml:space="preserve">– </w:t>
      </w:r>
      <w:r>
        <w:rPr>
          <w:rFonts w:ascii="Tahoma" w:hAnsi="Tahoma" w:cs="Tahoma"/>
        </w:rPr>
        <w:t xml:space="preserve">Zarząd </w:t>
      </w:r>
      <w:r w:rsidR="007E080A">
        <w:rPr>
          <w:rFonts w:ascii="Tahoma" w:hAnsi="Tahoma" w:cs="Tahoma"/>
        </w:rPr>
        <w:t>Transportu Miejskiego w Rzeszowie</w:t>
      </w:r>
      <w:r w:rsidR="007E080A" w:rsidRPr="007E080A">
        <w:rPr>
          <w:rFonts w:ascii="Tahoma" w:hAnsi="Tahoma" w:cs="Tahoma"/>
        </w:rPr>
        <w:t>, ul. Trembeckiego 3,</w:t>
      </w:r>
      <w:r w:rsidR="00327703">
        <w:rPr>
          <w:rFonts w:ascii="Tahoma" w:hAnsi="Tahoma" w:cs="Tahoma"/>
        </w:rPr>
        <w:br/>
      </w:r>
      <w:r w:rsidR="007E080A" w:rsidRPr="007E080A">
        <w:rPr>
          <w:rFonts w:ascii="Tahoma" w:hAnsi="Tahoma" w:cs="Tahoma"/>
        </w:rPr>
        <w:t>35-234 Rzeszów, jednostka budżetowa Miasta</w:t>
      </w:r>
      <w:r w:rsidR="007E080A">
        <w:rPr>
          <w:rFonts w:ascii="Tahoma" w:hAnsi="Tahoma" w:cs="Tahoma"/>
        </w:rPr>
        <w:t>, która</w:t>
      </w:r>
      <w:r w:rsidRPr="0058296A">
        <w:rPr>
          <w:rFonts w:ascii="Tahoma" w:hAnsi="Tahoma" w:cs="Tahoma"/>
        </w:rPr>
        <w:t xml:space="preserve"> wypełnia zadania Miasta jako organizatora w zakresie </w:t>
      </w:r>
      <w:r>
        <w:rPr>
          <w:rFonts w:ascii="Tahoma" w:hAnsi="Tahoma" w:cs="Tahoma"/>
        </w:rPr>
        <w:t>publicznego</w:t>
      </w:r>
      <w:r w:rsidRPr="0058296A">
        <w:rPr>
          <w:rFonts w:ascii="Tahoma" w:hAnsi="Tahoma" w:cs="Tahoma"/>
        </w:rPr>
        <w:t xml:space="preserve"> transportu zbiorowego.</w:t>
      </w:r>
    </w:p>
    <w:p w14:paraId="37A17D70" w14:textId="77777777" w:rsidR="004A3E58" w:rsidRPr="00821AF6" w:rsidRDefault="0089629B" w:rsidP="00193D8F">
      <w:pPr>
        <w:pStyle w:val="Nagwek1"/>
        <w:ind w:left="431" w:hanging="431"/>
        <w:rPr>
          <w:color w:val="000000"/>
        </w:rPr>
      </w:pPr>
      <w:r w:rsidRPr="00821AF6">
        <w:rPr>
          <w:color w:val="FF0000"/>
          <w:sz w:val="22"/>
          <w:szCs w:val="22"/>
        </w:rPr>
        <w:br w:type="page"/>
      </w:r>
      <w:bookmarkStart w:id="20" w:name="_Toc524602365"/>
      <w:bookmarkStart w:id="21" w:name="_Toc89417665"/>
      <w:r w:rsidR="004A3E58" w:rsidRPr="00821AF6">
        <w:rPr>
          <w:color w:val="000000"/>
        </w:rPr>
        <w:lastRenderedPageBreak/>
        <w:t>Podstawy opracowania analizy kosztów i korzyści</w:t>
      </w:r>
      <w:bookmarkEnd w:id="20"/>
      <w:bookmarkEnd w:id="21"/>
    </w:p>
    <w:p w14:paraId="3BD9E077" w14:textId="76C3350D" w:rsidR="00415343" w:rsidRPr="00821AF6" w:rsidRDefault="00217AF3" w:rsidP="00193D8F">
      <w:r w:rsidRPr="00821AF6">
        <w:t>Jak już to zasygnalizowano we wstępie, u</w:t>
      </w:r>
      <w:r w:rsidR="00415343" w:rsidRPr="00821AF6">
        <w:t>stawa o elektromobilności w art. 36 stanowi, że jednostka samorządu terytorialnego, której liczba mieszkańców przekracza 50 000 osób, świadczy usługę lub zleca świadczenie usługi komunikacji miejskiej, w rozumieniu ustawy o</w:t>
      </w:r>
      <w:r w:rsidRPr="00821AF6">
        <w:t> </w:t>
      </w:r>
      <w:r w:rsidR="00415343" w:rsidRPr="00821AF6">
        <w:t>ptz podmiotowi, którego udział autobusów zeroemisyjnych we flocie użytkowanych pojazdów na</w:t>
      </w:r>
      <w:r w:rsidRPr="00821AF6">
        <w:t> </w:t>
      </w:r>
      <w:r w:rsidR="00415343" w:rsidRPr="00821AF6">
        <w:t>obszarze tej jednostki wynosi co najmniej 30%. Przepis ten, na mocy art. 86 pkt 4</w:t>
      </w:r>
      <w:r w:rsidR="0002184A">
        <w:t xml:space="preserve"> przywołanej ustawy</w:t>
      </w:r>
      <w:r w:rsidR="00415343" w:rsidRPr="00821AF6">
        <w:t>, wchodzi w życie z dniem 1 stycznia 2028 r.</w:t>
      </w:r>
    </w:p>
    <w:p w14:paraId="30851165" w14:textId="77777777" w:rsidR="00415343" w:rsidRPr="00821AF6" w:rsidRDefault="00415343" w:rsidP="00193D8F">
      <w:r w:rsidRPr="00821AF6">
        <w:t>Z kolei art. 68 ust. 4 ustawy o elektromobilności nakłada na przekraczającą ten sam próg demograficzny jednostkę samorządu terytorialnego obowiązek zapewnienia w różnych latach określonych udziałów autobusów zeroemisyjnych we flocie pojazdów użytkowanych w komunikacji miejskiej.</w:t>
      </w:r>
    </w:p>
    <w:p w14:paraId="7BF91333" w14:textId="77777777" w:rsidR="00415343" w:rsidRPr="00821AF6" w:rsidRDefault="00415343" w:rsidP="00193D8F">
      <w:r w:rsidRPr="00821AF6">
        <w:t>Udziały te wynoszą odpowiednio:</w:t>
      </w:r>
    </w:p>
    <w:p w14:paraId="1D627E9F" w14:textId="77777777" w:rsidR="00415343" w:rsidRPr="00821AF6" w:rsidRDefault="00415343" w:rsidP="00193D8F">
      <w:pPr>
        <w:numPr>
          <w:ilvl w:val="0"/>
          <w:numId w:val="8"/>
        </w:numPr>
        <w:ind w:left="357" w:hanging="357"/>
      </w:pPr>
      <w:r w:rsidRPr="00821AF6">
        <w:t>od dnia 1 stycznia 2021 r. – 5%;</w:t>
      </w:r>
    </w:p>
    <w:p w14:paraId="66A04D3C" w14:textId="77777777" w:rsidR="00415343" w:rsidRPr="00821AF6" w:rsidRDefault="00415343" w:rsidP="00193D8F">
      <w:pPr>
        <w:numPr>
          <w:ilvl w:val="0"/>
          <w:numId w:val="8"/>
        </w:numPr>
        <w:ind w:left="357" w:hanging="357"/>
      </w:pPr>
      <w:r w:rsidRPr="00821AF6">
        <w:t>od dnia 1 stycznia 2023 r. – 10%;</w:t>
      </w:r>
    </w:p>
    <w:p w14:paraId="2EBFEED5" w14:textId="77777777" w:rsidR="00415343" w:rsidRPr="00821AF6" w:rsidRDefault="00415343" w:rsidP="00193D8F">
      <w:pPr>
        <w:numPr>
          <w:ilvl w:val="0"/>
          <w:numId w:val="8"/>
        </w:numPr>
        <w:ind w:left="357" w:hanging="357"/>
      </w:pPr>
      <w:r w:rsidRPr="00821AF6">
        <w:t>od dnia 1 stycznia 2025 r. – 20%.</w:t>
      </w:r>
    </w:p>
    <w:p w14:paraId="143A3AC5" w14:textId="77777777" w:rsidR="00415343" w:rsidRPr="00821AF6" w:rsidRDefault="00415343" w:rsidP="00193D8F">
      <w:r w:rsidRPr="00821AF6">
        <w:t>Z art. 68 ustawy o elektromobilności wynika, że wymogi powyższe dotyczą całej floty obsługującej przewozy w komunikacji miejskiej (więcej niż jednego operatora i nie tylko obszaru danej gminy).</w:t>
      </w:r>
    </w:p>
    <w:p w14:paraId="570245F0" w14:textId="77777777" w:rsidR="0008724B" w:rsidRPr="00821AF6" w:rsidRDefault="0008724B" w:rsidP="00193D8F">
      <w:bookmarkStart w:id="22" w:name="_Hlk529721459"/>
      <w:r w:rsidRPr="00821AF6">
        <w:t>Docelowy, obowiązujący od 1 stycznia 2028 r., udział taboru zeroemisyjnego we flocie pojazdów użytkowanych w komunikacji miejskiej w jednostkach przekraczających 50 000 mieszkańców, określony został w art. 36 ust. 1 i wynosi minimum 30%, przy czym nie zostało to w ustawie o elektromobilności stwierdzone wprost, tylko wynika z przywołanego wyżej obowiązku świadczenia lub zlecania świadczenia usługi komunikacji miejskiej wyłącznie podmiotowi, którego udział autobusów zeroemisyjnych we flocie użytkowanych pojazdów na obszarze danej jednostki wynosi co najmniej 30%.</w:t>
      </w:r>
    </w:p>
    <w:p w14:paraId="52B3EAFD" w14:textId="6DA7FC9E" w:rsidR="00460988" w:rsidRPr="00821AF6" w:rsidRDefault="0008724B" w:rsidP="00460988">
      <w:r w:rsidRPr="00821AF6">
        <w:t>Różnica w brzmieniu art. 36 i art. 68 wskazuje na to, że udziały, które są wymagane zapisami art. 68, mogą być kumulowane u jednego operatora, nie ma zatem obowiązku zawierania z każdym operatorem wykorzystującym autobusy (lub autobusy i trolejbusy) umów nakazujących określony udział taboru zeroemisyjnego we flocie. Aby spełnić limity określone w art. 68, do dnia 31 grudnia 2027 r. wystarczy</w:t>
      </w:r>
      <w:r w:rsidR="00C70BDB" w:rsidRPr="00821AF6">
        <w:t xml:space="preserve"> więc</w:t>
      </w:r>
      <w:r w:rsidRPr="00821AF6">
        <w:t>, gdy tylko jeden, wybrany operator, będzie posiadać i eksploatować tabor zeroemisyjny w liczbie wymaganej dla danej daty dla całej floty</w:t>
      </w:r>
      <w:r w:rsidRPr="004E7309">
        <w:t xml:space="preserve">. </w:t>
      </w:r>
      <w:r w:rsidR="00C70BDB" w:rsidRPr="004E7309">
        <w:t xml:space="preserve">W przypadku </w:t>
      </w:r>
      <w:r w:rsidR="00C73F5E">
        <w:t>rzeszowskiej</w:t>
      </w:r>
      <w:r w:rsidR="00590098" w:rsidRPr="004E7309">
        <w:t xml:space="preserve"> </w:t>
      </w:r>
      <w:r w:rsidR="004E7309" w:rsidRPr="004E7309">
        <w:t>komunikacji miejskiej</w:t>
      </w:r>
      <w:r w:rsidR="00460988">
        <w:t>,</w:t>
      </w:r>
      <w:r w:rsidR="00C70BDB" w:rsidRPr="004E7309">
        <w:t xml:space="preserve"> </w:t>
      </w:r>
      <w:r w:rsidR="00460988" w:rsidRPr="00821AF6">
        <w:t xml:space="preserve">w której jedynym operatorem jest </w:t>
      </w:r>
      <w:r w:rsidR="00C73F5E">
        <w:t xml:space="preserve">MPK-Rzeszów </w:t>
      </w:r>
      <w:r w:rsidR="00460988" w:rsidRPr="00821AF6">
        <w:t>sp. z o.o., rozróżnienie podmiotowe wymogów w okresach przejściowych i docelowym, nie ma specjalnego znaczenia.</w:t>
      </w:r>
    </w:p>
    <w:p w14:paraId="33C275A1" w14:textId="37960ABC" w:rsidR="0008724B" w:rsidRPr="00821AF6" w:rsidRDefault="0008724B" w:rsidP="00590098">
      <w:r w:rsidRPr="00821AF6">
        <w:lastRenderedPageBreak/>
        <w:t>Przedstawione zobowiązania są bardzo rygorystyczne, zwłaszcza że autobus</w:t>
      </w:r>
      <w:r w:rsidR="00C70BDB" w:rsidRPr="00821AF6">
        <w:t>em</w:t>
      </w:r>
      <w:r w:rsidRPr="00821AF6">
        <w:t xml:space="preserve"> zeroemisyjny</w:t>
      </w:r>
      <w:r w:rsidR="00C70BDB" w:rsidRPr="00821AF6">
        <w:t xml:space="preserve">m może być </w:t>
      </w:r>
      <w:r w:rsidRPr="00821AF6">
        <w:t>wyłącznie autobus o napędzie elektrycznym – bez jakiejkolwiek emisji gazów cieplarnianych albo z wytwarzaniem energii elektrycznej w ogniwach paliwowych – oraz trolejbus. Nie spełnia kryteriów zeroemisyjności autobus hybrydowy, jeżeli do jego napędu wykorzystywany jest w jakimkolwiek zakresie silnik emitujący gazy cieplarniane, np. silnik Diesla.</w:t>
      </w:r>
    </w:p>
    <w:bookmarkEnd w:id="22"/>
    <w:p w14:paraId="3C36DDE9" w14:textId="7FAF0E99" w:rsidR="005C3DFB" w:rsidRPr="00821AF6" w:rsidRDefault="004E2CC7" w:rsidP="00590098">
      <w:r>
        <w:t xml:space="preserve">Gmina </w:t>
      </w:r>
      <w:r w:rsidR="00AE0C28">
        <w:t>Miasto</w:t>
      </w:r>
      <w:r w:rsidR="004A3E58" w:rsidRPr="00821AF6">
        <w:t xml:space="preserve"> </w:t>
      </w:r>
      <w:r w:rsidR="00C73F5E">
        <w:t>Rzeszów</w:t>
      </w:r>
      <w:r w:rsidR="00590098">
        <w:t xml:space="preserve"> </w:t>
      </w:r>
      <w:r w:rsidR="004A3E58" w:rsidRPr="00821AF6">
        <w:t xml:space="preserve">przekracza </w:t>
      </w:r>
      <w:r w:rsidR="00BF12C0" w:rsidRPr="00821AF6">
        <w:t xml:space="preserve">wynikający z przywołanych wcześniej przepisów </w:t>
      </w:r>
      <w:r w:rsidR="004A3E58" w:rsidRPr="00821AF6">
        <w:t xml:space="preserve">próg 50 </w:t>
      </w:r>
      <w:r w:rsidR="00CA7C1B" w:rsidRPr="00821AF6">
        <w:t>000</w:t>
      </w:r>
      <w:r w:rsidR="004A3E58" w:rsidRPr="00821AF6">
        <w:t xml:space="preserve"> mieszkańców. </w:t>
      </w:r>
      <w:r w:rsidR="00BF12C0" w:rsidRPr="00821AF6">
        <w:t>Należy podkreślić, że o</w:t>
      </w:r>
      <w:r w:rsidR="005C3DFB" w:rsidRPr="00821AF6">
        <w:t>kreślony w ustawie o elektromobilności próg dotyczy obszaru danej gminy świadczącej lub zlecającej świadczenie usług komunikacji miejskiej, a nie całego obszaru nią obsługiwanego lub każdej z pozostałych gmin – obsługiwanych na</w:t>
      </w:r>
      <w:r w:rsidR="00BF12C0" w:rsidRPr="00821AF6">
        <w:t> </w:t>
      </w:r>
      <w:r w:rsidR="005C3DFB" w:rsidRPr="00821AF6">
        <w:t>podstawie zawartych porozumień. Z drugiej strony, jeśli liczba mieszkańców miasta-organizatora przewozów przekracza 50 </w:t>
      </w:r>
      <w:r>
        <w:t>000</w:t>
      </w:r>
      <w:r w:rsidR="005C3DFB" w:rsidRPr="00821AF6">
        <w:t>, to obowiązek zapewnienia określonego udziału autobusów zeroemisyjnych dotyczyć będzie zamówień usług przewozowych w skali całego obsługiwanego obszaru, a nie tylko na potrzeby obsługi gminy, która przekroczyła próg.</w:t>
      </w:r>
    </w:p>
    <w:p w14:paraId="1FEC1368" w14:textId="77777777" w:rsidR="005C3DFB" w:rsidRPr="00821AF6" w:rsidRDefault="005C3DFB" w:rsidP="00590098">
      <w:r w:rsidRPr="00821AF6">
        <w:t>Pomimo spełniania kryterium demograficznego, jednostka samorządu terytorialnego może uniknąć obowiązku uzyskania określonego udziału taboru zeroemisyjnego we flocie pojazdów własnych operatorów lub zlecania świadczenia przewozów w komunikacji miejskiej podmiotowi zapewniającemu ten udział we flocie wykonującej przewozy w sytuacji, gdy sporządzona przez nią analiza kosztów i korzyści wykaże brak korzyści użytkowania autobusów zeroemisyjnych (art. 37 ust. 5 ustawy o elektromobilności).</w:t>
      </w:r>
    </w:p>
    <w:p w14:paraId="3EB13581" w14:textId="0DCD09C7" w:rsidR="005C3DFB" w:rsidRPr="00821AF6" w:rsidRDefault="005C3DFB" w:rsidP="00590098">
      <w:r w:rsidRPr="00821AF6">
        <w:t>Obowiązek sporządzania co 36 miesięcy takiej analizy, wynika z zapisów art. 37 ust. 1 ustawy o elektromobilności i dotyczy tych jednostek samorządu terytorialnego, które zobowiązane są do zapewnienia określonego udziału autobusów zeroemisyjnych we flocie użytkowanych pojazdów. Przepis ten wymaga wykonania analizy kosztów i korzyści związanych z wykorzystaniem, przy świadczeniu usług komunikacji miejskiej, autobusów zeroemisyjnych oraz innych środków transportu, w których do napędu wykorzystywane są wyłącznie silniki, których cykl pracy nie powoduje emisji gazów cieplarnianych lub innych substancji objętych systemem zarządzania emisjami gazów cieplarnianych, o którym mowa w ustawie z dnia 17 lipca 2009 r. o systemie zarządzania emisjami gazów cieplarnianych i innych substancji.</w:t>
      </w:r>
    </w:p>
    <w:p w14:paraId="2F5E5C99" w14:textId="0DFCD5A3" w:rsidR="005C3DFB" w:rsidRPr="00821AF6" w:rsidRDefault="005C3DFB" w:rsidP="00590098">
      <w:r w:rsidRPr="00821AF6">
        <w:t>Załącznik do wskazanej ustawy zawiera wykaz gazów cieplarnianych i innych substancji wprowadzanych do powietrza, objętych systemem zarządzania emisjami gazów cieplarnianych. W wykazie tym na pozycji nr 1 znajduje się dwutlenek węgla (ditlenek węgla – CO</w:t>
      </w:r>
      <w:r w:rsidRPr="00821AF6">
        <w:rPr>
          <w:vertAlign w:val="subscript"/>
        </w:rPr>
        <w:t>2</w:t>
      </w:r>
      <w:r w:rsidRPr="00821AF6">
        <w:t xml:space="preserve">), a na pozycjach: 64, 65 i 66 – odpowiednio tlenek węgla oraz tlenki </w:t>
      </w:r>
      <w:r w:rsidR="00193D8F" w:rsidRPr="00821AF6">
        <w:t>azotu i siarki</w:t>
      </w:r>
      <w:r w:rsidRPr="00821AF6">
        <w:t xml:space="preserve">. Zapis zawarty w ustawie o elektromobilności oznacza więc, że w analizie kosztów i korzyści uwzględnia się pojazdy, </w:t>
      </w:r>
      <w:r w:rsidRPr="00821AF6">
        <w:lastRenderedPageBreak/>
        <w:t>których silniki nie korzystają z procesu spalania paliw emitujących w nim m.in. takie substancje. Opisane kryterium spełniają napędy zasilane energią elektryczną, w tym wytwarzaną w ogniwach paliwowych zasilanych czystym wodorem (H</w:t>
      </w:r>
      <w:r w:rsidRPr="00821AF6">
        <w:rPr>
          <w:vertAlign w:val="subscript"/>
        </w:rPr>
        <w:t>2</w:t>
      </w:r>
      <w:r w:rsidRPr="00821AF6">
        <w:t>) – nieemitujące dwutlenku węgla – ale nie spełniają już go silniki, w których paliwem jest gaz (LPG, CNG lub LNG).</w:t>
      </w:r>
    </w:p>
    <w:p w14:paraId="52131F0A" w14:textId="77777777" w:rsidR="005C3DFB" w:rsidRPr="00821AF6" w:rsidRDefault="005C3DFB" w:rsidP="00590098">
      <w:r w:rsidRPr="00821AF6">
        <w:t>Przepisy ustawy o elektromobilności wymagają, aby analiza kosztów i korzyści obejmowała w szczególności:</w:t>
      </w:r>
    </w:p>
    <w:p w14:paraId="429AAB15" w14:textId="77777777" w:rsidR="005C3DFB" w:rsidRPr="00821AF6" w:rsidRDefault="005C3DFB" w:rsidP="00590098">
      <w:pPr>
        <w:pStyle w:val="Akapitzlist"/>
        <w:numPr>
          <w:ilvl w:val="0"/>
          <w:numId w:val="10"/>
        </w:numPr>
        <w:spacing w:after="0" w:line="360" w:lineRule="auto"/>
        <w:ind w:left="357" w:hanging="357"/>
        <w:jc w:val="both"/>
        <w:rPr>
          <w:rFonts w:ascii="Tahoma" w:hAnsi="Tahoma" w:cs="Tahoma"/>
        </w:rPr>
      </w:pPr>
      <w:r w:rsidRPr="00821AF6">
        <w:rPr>
          <w:rFonts w:ascii="Tahoma" w:hAnsi="Tahoma" w:cs="Tahoma"/>
        </w:rPr>
        <w:t>analizę finansowo-ekonomiczną;</w:t>
      </w:r>
    </w:p>
    <w:p w14:paraId="42A22669" w14:textId="77777777" w:rsidR="005C3DFB" w:rsidRPr="00821AF6" w:rsidRDefault="005C3DFB" w:rsidP="00590098">
      <w:pPr>
        <w:pStyle w:val="Akapitzlist"/>
        <w:numPr>
          <w:ilvl w:val="0"/>
          <w:numId w:val="10"/>
        </w:numPr>
        <w:spacing w:after="0" w:line="360" w:lineRule="auto"/>
        <w:ind w:left="357"/>
        <w:jc w:val="both"/>
        <w:rPr>
          <w:rFonts w:ascii="Tahoma" w:hAnsi="Tahoma" w:cs="Tahoma"/>
        </w:rPr>
      </w:pPr>
      <w:r w:rsidRPr="00821AF6">
        <w:rPr>
          <w:rFonts w:ascii="Tahoma" w:hAnsi="Tahoma" w:cs="Tahoma"/>
        </w:rPr>
        <w:t>oszacowanie efektów środowiskowych związanych z emisją szkodliwych substancji dla środowiska naturalnego i zdrowia ludzi;</w:t>
      </w:r>
    </w:p>
    <w:p w14:paraId="61A8658E" w14:textId="77777777" w:rsidR="005C3DFB" w:rsidRPr="00821AF6" w:rsidRDefault="005C3DFB" w:rsidP="00590098">
      <w:pPr>
        <w:pStyle w:val="Akapitzlist"/>
        <w:numPr>
          <w:ilvl w:val="0"/>
          <w:numId w:val="10"/>
        </w:numPr>
        <w:spacing w:after="0" w:line="360" w:lineRule="auto"/>
        <w:ind w:left="357"/>
        <w:jc w:val="both"/>
        <w:rPr>
          <w:rFonts w:ascii="Tahoma" w:hAnsi="Tahoma" w:cs="Tahoma"/>
        </w:rPr>
      </w:pPr>
      <w:r w:rsidRPr="00821AF6">
        <w:rPr>
          <w:rFonts w:ascii="Tahoma" w:hAnsi="Tahoma" w:cs="Tahoma"/>
        </w:rPr>
        <w:t>analizę społeczno-ekonomiczną, uwzględniającą wycenę kosztów związanych z emisją szkodliwych substancji.</w:t>
      </w:r>
    </w:p>
    <w:p w14:paraId="144CE982" w14:textId="632A17D5" w:rsidR="005C3DFB" w:rsidRPr="00821AF6" w:rsidRDefault="005C3DFB" w:rsidP="00590098">
      <w:r w:rsidRPr="00821AF6">
        <w:t>Przepisy ustawy nie wymagają więc przeprowadzania analizy wrażliwości oraz analizy ryzyka, co można uznać za uzasadnione, gdyż głównym celem analizy kosztów i korzyści, wynikającym z zapisów ustawy o elektromobilności, jest ewentualne wykazanie braku korzyści wynikających z użytkowania autobusów zeroemisyjnych.</w:t>
      </w:r>
      <w:r w:rsidR="00BF12C0" w:rsidRPr="00821AF6">
        <w:t xml:space="preserve"> Analiza wymagana </w:t>
      </w:r>
      <w:r w:rsidR="00F44B7B" w:rsidRPr="00821AF6">
        <w:t>przepisami ustawy o elektromobilności różni się wymaganym zakresem i metodologią sporządzania od analogicznych analiz wykonywanych na potrzeby dokumentacji aplikacyjnych o dofinansowanie inwestycji ze wsparciem ze środków zewnętrznych.</w:t>
      </w:r>
    </w:p>
    <w:p w14:paraId="51591256" w14:textId="789FF26B" w:rsidR="005C3DFB" w:rsidRPr="00821AF6" w:rsidRDefault="005C3DFB" w:rsidP="00590098">
      <w:r w:rsidRPr="00821AF6">
        <w:t xml:space="preserve">Analiza, niezwłocznie po jej sporządzeniu, jest przekazywana trzem ministrom – właściwym do spraw energii, do spraw gospodarki i do spraw </w:t>
      </w:r>
      <w:r w:rsidR="00C529A4" w:rsidRPr="00821AF6">
        <w:t>klimatu</w:t>
      </w:r>
      <w:r w:rsidRPr="00821AF6">
        <w:t>.</w:t>
      </w:r>
    </w:p>
    <w:p w14:paraId="55E45476" w14:textId="49C193E4" w:rsidR="005C3DFB" w:rsidRPr="00821AF6" w:rsidRDefault="005C3DFB" w:rsidP="00590098">
      <w:r w:rsidRPr="00821AF6">
        <w:t>Jednocześnie, wykonanie analizy kosztów i korzyści zgodnie z wymogami ustawy o </w:t>
      </w:r>
      <w:r w:rsidR="00C529A4" w:rsidRPr="00821AF6">
        <w:t>elektromobilności</w:t>
      </w:r>
      <w:r w:rsidR="00F44B7B" w:rsidRPr="00821AF6">
        <w:t>,</w:t>
      </w:r>
      <w:r w:rsidR="00C529A4" w:rsidRPr="00821AF6">
        <w:t xml:space="preserve"> jest niezbędn</w:t>
      </w:r>
      <w:r w:rsidR="00F44B7B" w:rsidRPr="00821AF6">
        <w:t>e</w:t>
      </w:r>
      <w:r w:rsidRPr="00821AF6">
        <w:t xml:space="preserve"> do opracowania i przyjęcia zmian w planie zrównoważonego rozwoju publicznego transportu zbiorowego (planie transportowym), o który</w:t>
      </w:r>
      <w:r w:rsidR="00962B54">
        <w:t>m</w:t>
      </w:r>
      <w:r w:rsidRPr="00821AF6">
        <w:t xml:space="preserve"> mowa w rozdziale 2 ustawy </w:t>
      </w:r>
      <w:r w:rsidR="00C529A4" w:rsidRPr="00821AF6">
        <w:t>o ptz</w:t>
      </w:r>
      <w:r w:rsidRPr="00821AF6">
        <w:t>.</w:t>
      </w:r>
    </w:p>
    <w:p w14:paraId="33891FAA" w14:textId="32CAE477" w:rsidR="005C3DFB" w:rsidRPr="00821AF6" w:rsidRDefault="00F44B7B" w:rsidP="00590098">
      <w:r w:rsidRPr="00821AF6">
        <w:t xml:space="preserve">Wymagana </w:t>
      </w:r>
      <w:r w:rsidR="005C3DFB" w:rsidRPr="00821AF6">
        <w:t>aktualizacja planu transportowego dotyczy:</w:t>
      </w:r>
    </w:p>
    <w:p w14:paraId="2E908CB5" w14:textId="25846BEE" w:rsidR="005C3DFB" w:rsidRPr="00821AF6" w:rsidRDefault="005C3DFB" w:rsidP="00590098">
      <w:pPr>
        <w:numPr>
          <w:ilvl w:val="0"/>
          <w:numId w:val="8"/>
        </w:numPr>
      </w:pPr>
      <w:r w:rsidRPr="00821AF6">
        <w:t>uwzględnienia wyników analizy</w:t>
      </w:r>
      <w:r w:rsidR="00F44B7B" w:rsidRPr="00821AF6">
        <w:t xml:space="preserve"> (art. 12 ust. 2a);</w:t>
      </w:r>
    </w:p>
    <w:p w14:paraId="7A72CE52" w14:textId="3E45ABF4" w:rsidR="005C3DFB" w:rsidRPr="00821AF6" w:rsidRDefault="005C3DFB" w:rsidP="00590098">
      <w:pPr>
        <w:numPr>
          <w:ilvl w:val="0"/>
          <w:numId w:val="8"/>
        </w:numPr>
      </w:pPr>
      <w:r w:rsidRPr="00821AF6">
        <w:t>wyznaczenia linii komunikacyjnych, na których przewidywane jest wykorzystanie pojazdów elektrycznych lub pojazdów napędzanych gazem ziemnym, wraz z planowanym terminem rozpoczęcia ich użytkowania (art. 12 ust. 1 pkt 8);</w:t>
      </w:r>
    </w:p>
    <w:p w14:paraId="21622670" w14:textId="77777777" w:rsidR="005C3DFB" w:rsidRPr="00821AF6" w:rsidRDefault="005C3DFB" w:rsidP="00590098">
      <w:pPr>
        <w:numPr>
          <w:ilvl w:val="0"/>
          <w:numId w:val="8"/>
        </w:numPr>
      </w:pPr>
      <w:r w:rsidRPr="00821AF6">
        <w:t>określenia geograficznego położenia stacji gazu ziemnego – wraz z miejscem jej przyłączenia do gazowej sieci dystrybucyjnej (art. 12 ust. 1a pkt. 1 i 3);</w:t>
      </w:r>
    </w:p>
    <w:p w14:paraId="4D6959E6" w14:textId="642D62A0" w:rsidR="005C3DFB" w:rsidRPr="00821AF6" w:rsidRDefault="005C3DFB" w:rsidP="00590098">
      <w:pPr>
        <w:numPr>
          <w:ilvl w:val="0"/>
          <w:numId w:val="8"/>
        </w:numPr>
      </w:pPr>
      <w:r w:rsidRPr="00821AF6">
        <w:t>określenia geograficznego położenia infrastruktury ładowania – wraz z miejscem jej przyłączenia do sieci elektroenergetycznej (art. 12 ust. 1a pkt. 2 i 3)</w:t>
      </w:r>
      <w:r w:rsidR="00F44B7B" w:rsidRPr="00821AF6">
        <w:t>.</w:t>
      </w:r>
    </w:p>
    <w:p w14:paraId="5DAAA3C5" w14:textId="48C3E172" w:rsidR="005C3DFB" w:rsidRPr="00821AF6" w:rsidRDefault="00F44B7B" w:rsidP="00590098">
      <w:r w:rsidRPr="00821AF6">
        <w:t xml:space="preserve">Przepisy art. 12 ust. 2b ustawy o ptz wprowadzają dodatkowy obowiązek </w:t>
      </w:r>
      <w:r w:rsidR="005C3DFB" w:rsidRPr="00821AF6">
        <w:t xml:space="preserve">skonsultowania projektu planu z operatorem systemu dystrybucyjnego elektroenergetycznego i operatorem </w:t>
      </w:r>
      <w:r w:rsidR="005C3DFB" w:rsidRPr="00821AF6">
        <w:lastRenderedPageBreak/>
        <w:t>systemu dystrybucyjnego gazowego – jeżeli wyniki analizy wskazują na zasadność wykorzystania w publicznym transporcie zbiorowym odpowiednio autobusów zeroemisyjnych lub napędzanych gazem ziemnym.</w:t>
      </w:r>
    </w:p>
    <w:p w14:paraId="68644900" w14:textId="1B6243F8" w:rsidR="005C3DFB" w:rsidRPr="00821AF6" w:rsidRDefault="005C3DFB" w:rsidP="00590098">
      <w:r w:rsidRPr="00821AF6">
        <w:t xml:space="preserve">Ustawa o elektromobilności nie określiła zasad sporządzania analizy i nie upoważniła także żadnego z ministrów do wydania rozporządzenia określającego sposób jej opracowywania. Do końca </w:t>
      </w:r>
      <w:r w:rsidR="00C40D09" w:rsidRPr="00821AF6">
        <w:t xml:space="preserve">I </w:t>
      </w:r>
      <w:r w:rsidR="004E2CC7">
        <w:t xml:space="preserve">półrocza </w:t>
      </w:r>
      <w:r w:rsidR="00C40D09" w:rsidRPr="00821AF6">
        <w:t>2021</w:t>
      </w:r>
      <w:r w:rsidRPr="00821AF6">
        <w:t xml:space="preserve"> r. żadne z ministerstw lub jednostek organizacyjnych ministerstw, nie wydało również dokumentu o charakterze podręcznika, wytycznych lub zasad do</w:t>
      </w:r>
      <w:r w:rsidR="00F44B7B" w:rsidRPr="00821AF6">
        <w:t> </w:t>
      </w:r>
      <w:r w:rsidRPr="00821AF6">
        <w:t>sporządzania takiej analizy. Poradnik taki – praktyczny przewodnik dla samorządów – wydała natomiast Izba Gospodarcza Komunikacji Miejskiej w Warszawie</w:t>
      </w:r>
      <w:r w:rsidRPr="00821AF6">
        <w:rPr>
          <w:rStyle w:val="Odwoanieprzypisudolnego"/>
        </w:rPr>
        <w:footnoteReference w:id="1"/>
      </w:r>
      <w:r w:rsidRPr="00821AF6">
        <w:t>. Niniejsza analiza jest zgodna z wymogami przedstawionymi w tym przewodniku.</w:t>
      </w:r>
    </w:p>
    <w:p w14:paraId="6A516CA0" w14:textId="2DCBDB09" w:rsidR="005C3DFB" w:rsidRPr="00821AF6" w:rsidRDefault="005C3DFB" w:rsidP="00590098">
      <w:r w:rsidRPr="00821AF6">
        <w:t xml:space="preserve">Analiza kosztów i korzyści jest obligatoryjnym elementem dokumentacji aplikacyjnej dużych projektów, w tym transportowych, ubiegających się o dofinansowanie </w:t>
      </w:r>
      <w:r w:rsidR="004E2CC7">
        <w:t xml:space="preserve">środkami </w:t>
      </w:r>
      <w:r w:rsidRPr="00821AF6">
        <w:t>Unii Europejskiej. Celem analizy wykonanej na użytek wniosku o dofinansowanie jest potwierdzenie, że pod względem kryteriów finansowo-ekonomicznych dany projekt kwalifikuje się do współfinansowania unijnego oraz wskazanie, w jakiej proporcji powinien on podlegać współfinansowaniu.</w:t>
      </w:r>
    </w:p>
    <w:p w14:paraId="50C117FB" w14:textId="77777777" w:rsidR="005C3DFB" w:rsidRPr="00821AF6" w:rsidRDefault="005C3DFB" w:rsidP="00590098">
      <w:r w:rsidRPr="00821AF6">
        <w:t>Ogólne zasady prowadzenia analizy kosztów i korzyści określono na poziomie rozporządzeń unijnych. W szczególności, w załączniku nr III do rozporządzenia wykonawczego Komisji (UE) 2015/207 z 20 stycznia 2015 r., określono metodykę przeprowadzania analizy kosztów i korzyści.</w:t>
      </w:r>
    </w:p>
    <w:p w14:paraId="1AC1DA91" w14:textId="549F1B22" w:rsidR="005C3DFB" w:rsidRPr="00821AF6" w:rsidRDefault="005C3DFB" w:rsidP="00590098">
      <w:r w:rsidRPr="00821AF6">
        <w:t xml:space="preserve">Zasady i metody przeprowadzania analizy kosztów i korzyści dla planowanych dużych projektów we wszystkich branżach zawiera „Przewodnik po analizie kosztów i korzyści…”, przywołany w rozdziale </w:t>
      </w:r>
      <w:r w:rsidR="00962B54">
        <w:t>2</w:t>
      </w:r>
      <w:r w:rsidRPr="00821AF6">
        <w:t xml:space="preserve">.1 niniejszego opracowania. Zasady przeprowadzania analizy kosztów i korzyści dla planowanych projektów inwestycyjnych w sektorze transportu publicznego w Polsce określa także „Niebieska Księga…”, opracowana przez Inicjatywę Jaspers i również wymieniona w rozdziale </w:t>
      </w:r>
      <w:r w:rsidR="00962B54">
        <w:t>2</w:t>
      </w:r>
      <w:r w:rsidRPr="00821AF6">
        <w:t>.1 opracowania.</w:t>
      </w:r>
    </w:p>
    <w:p w14:paraId="19EAB31C" w14:textId="77777777" w:rsidR="005C3DFB" w:rsidRPr="00821AF6" w:rsidRDefault="005C3DFB" w:rsidP="00590098">
      <w:pPr>
        <w:rPr>
          <w:rFonts w:eastAsia="Calibri" w:cs="Tahoma"/>
          <w:szCs w:val="22"/>
          <w:lang w:eastAsia="en-US"/>
        </w:rPr>
      </w:pPr>
      <w:r w:rsidRPr="00821AF6">
        <w:rPr>
          <w:rFonts w:eastAsia="Calibri" w:cs="Tahoma"/>
          <w:szCs w:val="22"/>
          <w:lang w:eastAsia="en-US"/>
        </w:rPr>
        <w:t>Analiza kosztów i korzyści wykonywana na potrzeby wniosków o dofinansowanie z Unii Europejskiej składa się z kilku obowiązkowych elementów, takich jak:</w:t>
      </w:r>
    </w:p>
    <w:p w14:paraId="5BE6091E" w14:textId="77777777" w:rsidR="005C3DFB" w:rsidRPr="00821AF6" w:rsidRDefault="005C3DFB" w:rsidP="00590098">
      <w:pPr>
        <w:numPr>
          <w:ilvl w:val="0"/>
          <w:numId w:val="8"/>
        </w:numPr>
      </w:pPr>
      <w:r w:rsidRPr="00821AF6">
        <w:t>identyfikacja projektu i określenie jego celu;</w:t>
      </w:r>
    </w:p>
    <w:p w14:paraId="22F8BCD6" w14:textId="77777777" w:rsidR="005C3DFB" w:rsidRPr="00821AF6" w:rsidRDefault="005C3DFB" w:rsidP="00590098">
      <w:pPr>
        <w:numPr>
          <w:ilvl w:val="0"/>
          <w:numId w:val="8"/>
        </w:numPr>
      </w:pPr>
      <w:r w:rsidRPr="00821AF6">
        <w:t>analiza popytu i wariantów;</w:t>
      </w:r>
    </w:p>
    <w:p w14:paraId="3B7117AA" w14:textId="77777777" w:rsidR="005C3DFB" w:rsidRPr="00821AF6" w:rsidRDefault="005C3DFB" w:rsidP="00590098">
      <w:pPr>
        <w:numPr>
          <w:ilvl w:val="0"/>
          <w:numId w:val="8"/>
        </w:numPr>
      </w:pPr>
      <w:r w:rsidRPr="00821AF6">
        <w:t>analiza finansowa;</w:t>
      </w:r>
    </w:p>
    <w:p w14:paraId="7CA597E4" w14:textId="77777777" w:rsidR="005C3DFB" w:rsidRPr="00821AF6" w:rsidRDefault="005C3DFB" w:rsidP="00590098">
      <w:pPr>
        <w:numPr>
          <w:ilvl w:val="0"/>
          <w:numId w:val="8"/>
        </w:numPr>
      </w:pPr>
      <w:r w:rsidRPr="00821AF6">
        <w:t>analiza społeczno-ekonomiczna;</w:t>
      </w:r>
    </w:p>
    <w:p w14:paraId="77C0FC70" w14:textId="77777777" w:rsidR="005C3DFB" w:rsidRPr="00821AF6" w:rsidRDefault="005C3DFB" w:rsidP="00C73F5E">
      <w:pPr>
        <w:numPr>
          <w:ilvl w:val="0"/>
          <w:numId w:val="8"/>
        </w:numPr>
        <w:ind w:left="357" w:hanging="357"/>
      </w:pPr>
      <w:r w:rsidRPr="00821AF6">
        <w:lastRenderedPageBreak/>
        <w:t>analiza wrażliwości;</w:t>
      </w:r>
    </w:p>
    <w:p w14:paraId="41A14335" w14:textId="77777777" w:rsidR="005C3DFB" w:rsidRPr="00821AF6" w:rsidRDefault="005C3DFB" w:rsidP="008E72CF">
      <w:pPr>
        <w:numPr>
          <w:ilvl w:val="0"/>
          <w:numId w:val="8"/>
        </w:numPr>
        <w:ind w:left="357" w:hanging="357"/>
      </w:pPr>
      <w:r w:rsidRPr="00821AF6">
        <w:t>ocena ryzyka.</w:t>
      </w:r>
    </w:p>
    <w:p w14:paraId="57B57582" w14:textId="1852538D" w:rsidR="004A3E58" w:rsidRPr="00821AF6" w:rsidRDefault="00922ADE" w:rsidP="00590098">
      <w:pPr>
        <w:rPr>
          <w:rFonts w:eastAsia="Calibri" w:cs="Tahoma"/>
          <w:szCs w:val="22"/>
          <w:lang w:eastAsia="en-US"/>
        </w:rPr>
      </w:pPr>
      <w:r w:rsidRPr="00821AF6">
        <w:rPr>
          <w:rFonts w:eastAsia="Calibri" w:cs="Tahoma"/>
          <w:szCs w:val="22"/>
          <w:lang w:eastAsia="en-US"/>
        </w:rPr>
        <w:t>Podstawą do opracowania analizy są dane dotyczące stanu obecnego komunikacji miejskiej, w tym dane kosztowe oraz identyfikacja wariantów proponowanych rozwiązań. W przypadku niniejszej analizy jest to identyfikacja wariantów wymiany taboru wykorzystywanego</w:t>
      </w:r>
      <w:r w:rsidR="004A3E58" w:rsidRPr="00821AF6">
        <w:rPr>
          <w:rFonts w:eastAsia="Calibri" w:cs="Tahoma"/>
          <w:szCs w:val="22"/>
          <w:lang w:eastAsia="en-US"/>
        </w:rPr>
        <w:t xml:space="preserve"> w </w:t>
      </w:r>
      <w:r w:rsidR="00C73F5E">
        <w:rPr>
          <w:rFonts w:eastAsia="Calibri" w:cs="Tahoma"/>
          <w:szCs w:val="22"/>
          <w:lang w:eastAsia="en-US"/>
        </w:rPr>
        <w:t>rzeszowskie</w:t>
      </w:r>
      <w:r w:rsidR="00AE0C28">
        <w:rPr>
          <w:rFonts w:eastAsia="Calibri" w:cs="Tahoma"/>
          <w:szCs w:val="22"/>
          <w:lang w:eastAsia="en-US"/>
        </w:rPr>
        <w:t>j</w:t>
      </w:r>
      <w:r w:rsidR="004E7309">
        <w:rPr>
          <w:rFonts w:eastAsia="Calibri" w:cs="Tahoma"/>
          <w:szCs w:val="22"/>
          <w:lang w:eastAsia="en-US"/>
        </w:rPr>
        <w:t xml:space="preserve"> </w:t>
      </w:r>
      <w:r w:rsidR="004A3E58" w:rsidRPr="00821AF6">
        <w:rPr>
          <w:rFonts w:eastAsia="Calibri" w:cs="Tahoma"/>
          <w:szCs w:val="22"/>
          <w:lang w:eastAsia="en-US"/>
        </w:rPr>
        <w:t>komunikacji miejskiej</w:t>
      </w:r>
      <w:r w:rsidR="005C3DFB" w:rsidRPr="00821AF6">
        <w:rPr>
          <w:rFonts w:eastAsia="Calibri" w:cs="Tahoma"/>
          <w:szCs w:val="22"/>
          <w:lang w:eastAsia="en-US"/>
        </w:rPr>
        <w:t>.</w:t>
      </w:r>
    </w:p>
    <w:p w14:paraId="67D331CD" w14:textId="6768BD51" w:rsidR="005C3DFB" w:rsidRPr="00821AF6" w:rsidRDefault="005C3DFB" w:rsidP="00590098">
      <w:pPr>
        <w:rPr>
          <w:rFonts w:eastAsia="Calibri" w:cs="Tahoma"/>
          <w:szCs w:val="22"/>
          <w:lang w:eastAsia="en-US"/>
        </w:rPr>
      </w:pPr>
      <w:r w:rsidRPr="00821AF6">
        <w:rPr>
          <w:rFonts w:eastAsia="Calibri" w:cs="Tahoma"/>
          <w:szCs w:val="22"/>
          <w:lang w:eastAsia="en-US"/>
        </w:rPr>
        <w:t>Identyfikacja wariantów polega na zdefiniowaniu co najmniej dwóch scenariuszy działań: realizacji zamierzeń inwestycyjnych zmierzających do spełnienia określon</w:t>
      </w:r>
      <w:r w:rsidR="00F44B7B" w:rsidRPr="00821AF6">
        <w:rPr>
          <w:rFonts w:eastAsia="Calibri" w:cs="Tahoma"/>
          <w:szCs w:val="22"/>
          <w:lang w:eastAsia="en-US"/>
        </w:rPr>
        <w:t>ych</w:t>
      </w:r>
      <w:r w:rsidRPr="00821AF6">
        <w:rPr>
          <w:rFonts w:eastAsia="Calibri" w:cs="Tahoma"/>
          <w:szCs w:val="22"/>
          <w:lang w:eastAsia="en-US"/>
        </w:rPr>
        <w:t xml:space="preserve"> w ustawie o elektromobilności </w:t>
      </w:r>
      <w:r w:rsidR="00F44B7B" w:rsidRPr="00821AF6">
        <w:rPr>
          <w:rFonts w:eastAsia="Calibri" w:cs="Tahoma"/>
          <w:szCs w:val="22"/>
          <w:lang w:eastAsia="en-US"/>
        </w:rPr>
        <w:t xml:space="preserve">wymogów </w:t>
      </w:r>
      <w:r w:rsidRPr="00821AF6">
        <w:rPr>
          <w:rFonts w:eastAsia="Calibri" w:cs="Tahoma"/>
          <w:szCs w:val="22"/>
          <w:lang w:eastAsia="en-US"/>
        </w:rPr>
        <w:t>udziału autobusów zeroemisyjnych we flocie pojazdów komunikacji miejskiej oraz rezygnacji ze spełnienia tych wymogów.</w:t>
      </w:r>
    </w:p>
    <w:p w14:paraId="2C2A624F" w14:textId="77777777" w:rsidR="005C3DFB" w:rsidRPr="00821AF6" w:rsidRDefault="005C3DFB" w:rsidP="00590098">
      <w:pPr>
        <w:rPr>
          <w:rFonts w:eastAsia="Calibri" w:cs="Tahoma"/>
          <w:szCs w:val="22"/>
          <w:lang w:eastAsia="en-US"/>
        </w:rPr>
      </w:pPr>
      <w:r w:rsidRPr="00821AF6">
        <w:rPr>
          <w:rFonts w:eastAsia="Calibri" w:cs="Tahoma"/>
          <w:szCs w:val="22"/>
          <w:lang w:eastAsia="en-US"/>
        </w:rPr>
        <w:t>Brak spełnienia wymogów nie oznacza całkowitego zaniechania ponoszenia nakładów inwestycyjnych, lecz jedynie brak realizacji ocenianego wariantu – przy utrzymaniu ciągłości funkcjonowania komunikacji miejskiej w dotychczasowej formie i związanych z tym – w niezbędnym zakresie – inwestycji odtworzeniowych dotyczących taboru.</w:t>
      </w:r>
    </w:p>
    <w:p w14:paraId="710A4C8F" w14:textId="288C10D7" w:rsidR="005C3DFB" w:rsidRPr="00821AF6" w:rsidRDefault="005C3DFB" w:rsidP="00590098">
      <w:r w:rsidRPr="00821AF6">
        <w:t xml:space="preserve">Następną częścią analizy – po identyfikacji wariantów – jest analiza finansowa, którą prowadzi się według ściśle określonych zasad – w przypadku inwestycyjnych projektów unijnych nieznacznie odbiegających od </w:t>
      </w:r>
      <w:r w:rsidR="0042064E">
        <w:t>kla</w:t>
      </w:r>
      <w:r w:rsidRPr="00821AF6">
        <w:t>sycznej analizy finansowej przedsięwzięć inwestycyjnych. Analiza finansowa służy sprawdzeniu efektywności finansowej projektu (</w:t>
      </w:r>
      <w:r w:rsidR="005112A8" w:rsidRPr="00821AF6">
        <w:t>wskaźniki FRR/c</w:t>
      </w:r>
      <w:r w:rsidR="005112A8">
        <w:rPr>
          <w:rStyle w:val="Odwoanieprzypisudolnego"/>
        </w:rPr>
        <w:footnoteReference w:id="2"/>
      </w:r>
      <w:r w:rsidR="005112A8" w:rsidRPr="00821AF6">
        <w:t>, FNPV/c</w:t>
      </w:r>
      <w:r w:rsidR="005112A8">
        <w:rPr>
          <w:rStyle w:val="Odwoanieprzypisudolnego"/>
        </w:rPr>
        <w:footnoteReference w:id="3"/>
      </w:r>
      <w:r w:rsidR="005112A8" w:rsidRPr="00821AF6">
        <w:t>)</w:t>
      </w:r>
      <w:r w:rsidRPr="00821AF6">
        <w:t xml:space="preserve"> oraz – w przypadku projektów unijnych – także określeniu efektywności finansowej dla wkładów krajowych i wysokości luki w finansowaniu.</w:t>
      </w:r>
    </w:p>
    <w:p w14:paraId="3327FE50" w14:textId="77777777" w:rsidR="005C3DFB" w:rsidRPr="00821AF6" w:rsidRDefault="005C3DFB" w:rsidP="00590098">
      <w:r w:rsidRPr="00821AF6">
        <w:t>Kolejnym etapem jest analiza społeczno-ekonomiczna, zwana także ekonomiczną lub społeczno-gospodarczą. Najprostszym sposobem jej wykonania jest sporządzenie bilansu kosztów i korzyści w wersji opisowej, który ma wówczas charakter jakościowej analizy społeczno-ekonomicznej. W niniejszym opracowaniu analiza społeczno-ekonomiczna wykonana została przy wykorzystaniu metody, która polega na sporządzeniu bilansu kosztów i korzyści w wersji ilościowej, opartej na ujęciu zmonetyzowanych efektów społeczno-ekonomicznych w rachunku przepływów z analizy finansowej.</w:t>
      </w:r>
    </w:p>
    <w:p w14:paraId="2054205A" w14:textId="77777777" w:rsidR="005C3DFB" w:rsidRPr="00821AF6" w:rsidRDefault="005C3DFB" w:rsidP="00590098">
      <w:r w:rsidRPr="00821AF6">
        <w:t>Efekty inwestycji dla lokalnej społeczności oraz w zakresie oddziaływania na środowisko, można również skwantyfikować, czyli wyrazić kwotowo – za pomocą policzalnych parametrów i ich monetyzacji, co oznacza przeliczenie efektów społecznych na pieniądze. Zmonetyzowane efekty społeczno-ekonomiczne ujmuje się w rachunku przepływów z analizy finansowej i w efekcie powstaje ilościowa analiza kosztów i korzyści.</w:t>
      </w:r>
    </w:p>
    <w:p w14:paraId="0FCF5E8E" w14:textId="77777777" w:rsidR="006303C4" w:rsidRPr="00821AF6" w:rsidRDefault="006303C4" w:rsidP="006303C4">
      <w:r w:rsidRPr="00821AF6">
        <w:lastRenderedPageBreak/>
        <w:t>Metoda ilościowa pozwala na wyznaczenie wartości wskaźników ekonomicznej efektywności inwestycji, takich jak: ERR</w:t>
      </w:r>
      <w:r>
        <w:rPr>
          <w:rStyle w:val="Odwoanieprzypisudolnego"/>
        </w:rPr>
        <w:footnoteReference w:id="4"/>
      </w:r>
      <w:r w:rsidRPr="00821AF6">
        <w:t>, ENPV</w:t>
      </w:r>
      <w:r>
        <w:rPr>
          <w:rStyle w:val="Odwoanieprzypisudolnego"/>
        </w:rPr>
        <w:footnoteReference w:id="5"/>
      </w:r>
      <w:r w:rsidRPr="00821AF6">
        <w:t xml:space="preserve"> i BCR</w:t>
      </w:r>
      <w:r>
        <w:rPr>
          <w:rStyle w:val="Odwoanieprzypisudolnego"/>
        </w:rPr>
        <w:footnoteReference w:id="6"/>
      </w:r>
      <w:r w:rsidRPr="00821AF6">
        <w:t>. Metoda ilościowa przeprowadzona na zasadzie różnicowej jest zalecana w Praktycznym przewodniku.</w:t>
      </w:r>
    </w:p>
    <w:p w14:paraId="3535D037" w14:textId="78845FBD" w:rsidR="005C3DFB" w:rsidRPr="00821AF6" w:rsidRDefault="005C3DFB" w:rsidP="00590098">
      <w:bookmarkStart w:id="23" w:name="_Hlk85135311"/>
      <w:r w:rsidRPr="00821AF6">
        <w:t xml:space="preserve">W projektach transportowych ubiegających się o dofinansowanie </w:t>
      </w:r>
      <w:r w:rsidR="004E2CC7">
        <w:t xml:space="preserve">środkami </w:t>
      </w:r>
      <w:r w:rsidRPr="00821AF6">
        <w:t>Unii Europejskiej wykonuje się co do zasady analizę ilościową – jeśli wskaźniki ERR lub ENPV są wymagane</w:t>
      </w:r>
      <w:r w:rsidR="004E2CC7">
        <w:t xml:space="preserve">. Zasada ta nie dotyczy projektów </w:t>
      </w:r>
      <w:r w:rsidRPr="00821AF6">
        <w:t>dotyczący</w:t>
      </w:r>
      <w:r w:rsidR="004E2CC7">
        <w:t>ch</w:t>
      </w:r>
      <w:r w:rsidRPr="00821AF6">
        <w:t xml:space="preserve"> bezpieczeństwa w transporcie, gdyż uznaje się, że nie istnieje rozsądna metodyka wyrażenia bezpieczeństwa i poczucia bezpieczeństwa w kategoriach pieniężnych.</w:t>
      </w:r>
    </w:p>
    <w:bookmarkEnd w:id="23"/>
    <w:p w14:paraId="6C81AD70" w14:textId="447D6E22" w:rsidR="005C3DFB" w:rsidRPr="00821AF6" w:rsidRDefault="005C3DFB" w:rsidP="00590098">
      <w:r w:rsidRPr="00821AF6">
        <w:t>W przypadku projektów z dofinansowaniem unijnym niezaliczanych do projektów dużych, tj. o całkowitym koszcie kwalifikowalnym przekraczającym 50 mln euro, „Wytyczne w zakresie zagadnień związanych z przygotowaniem projektów inwestycyjnych, w tym projektów generujących dochód i projektów hybrydowych na lata 2014-2020” zalecają w </w:t>
      </w:r>
      <w:r w:rsidR="000B291D" w:rsidRPr="00821AF6">
        <w:t>podrozdziale</w:t>
      </w:r>
      <w:r w:rsidRPr="00821AF6">
        <w:t xml:space="preserve"> 9.2., aby analiza ekonomiczna</w:t>
      </w:r>
      <w:r w:rsidR="000B291D" w:rsidRPr="00821AF6">
        <w:t xml:space="preserve"> dla projektów niezaliczanych do dużych</w:t>
      </w:r>
      <w:r w:rsidR="004E2CC7">
        <w:t>,</w:t>
      </w:r>
      <w:r w:rsidR="000B291D" w:rsidRPr="00821AF6">
        <w:t xml:space="preserve"> została przeprowadzona w </w:t>
      </w:r>
      <w:r w:rsidRPr="00821AF6">
        <w:t>sposób uproszczony i opierała się na oszacowaniu ilościowych i jakościowych skutków realizacji projektu. Zaleca się, aby na etapie składania wniosku o dofinansowanie wymienić i</w:t>
      </w:r>
      <w:r w:rsidR="004E2CC7">
        <w:t> </w:t>
      </w:r>
      <w:r w:rsidRPr="00821AF6">
        <w:t>opisać wszystkie istotne środowiskowe, gospodarcze i społeczne efekty projektu oraz – jeśli to możliwe – zaprezentować je w kategoriach ilościowych. Ponadto, wnioskodawca może odnieść się do analizy efektywności kosztowej – wykazując, że realizacja danego projektu inwestycyjnego stanowi dla społeczeństwa najtańszy wariant.</w:t>
      </w:r>
    </w:p>
    <w:p w14:paraId="45E78B43" w14:textId="77777777" w:rsidR="005C3DFB" w:rsidRPr="00821AF6" w:rsidRDefault="005C3DFB" w:rsidP="00590098">
      <w:r w:rsidRPr="00821AF6">
        <w:t>Koniecznym elementem analizy kosztów i korzyści jest ocena trwałości finansowej realizacji wariantów. Polega ona na ocenie zdolności organizatora i operatorów do realizacji przyjętych do analizy wariantów wymiany taboru oraz do zabezpieczenia przez organizatora i/lub operatora wystarczających środków finansowych na realizację planowanych zamierzeń inwestycyjnych. W niniejszym opracowaniu analizę trwałości przeprowadzono w sposób uproszczony.</w:t>
      </w:r>
    </w:p>
    <w:p w14:paraId="5ED660A1" w14:textId="72B20B2C" w:rsidR="005C3DFB" w:rsidRPr="00821AF6" w:rsidRDefault="005C3DFB" w:rsidP="00590098">
      <w:r w:rsidRPr="00821AF6">
        <w:t>Ostatnim elementem analizy kosztów i korzyści jest analiza wrażliwości i ryzyka. Pierwsza z nich ma na celu zbadanie skutków finansowych dla projektu w przypadku braku spełnienia przyjętych założeń. Polega ona na określeniu wpływu zmiany pojedynczych zmiennych krytycznych o wartość określoną procentowo, na wartość finansowych i ekonomicznych wskaźników efektywności projektu wraz z obliczeniem wartości progowych zmiennych – w celu określenia, jaka zmiana procentowa zmiennych krytycznych zrównałaby NPV (ekonomiczną lub finansową) z zerem.</w:t>
      </w:r>
    </w:p>
    <w:p w14:paraId="6145F1C7" w14:textId="77777777" w:rsidR="005C3DFB" w:rsidRPr="00821AF6" w:rsidRDefault="005C3DFB" w:rsidP="00590098">
      <w:r w:rsidRPr="00821AF6">
        <w:lastRenderedPageBreak/>
        <w:t>Analiza ryzyka ma zaś na celu jego identyfikację, czyli określenie możliwych ryzyk realizacji projektu, ich analizę jakościową oraz przedstawienie możliwych działań zaradczych, jeśli poziom ryzyka nie jest akceptowalny.</w:t>
      </w:r>
    </w:p>
    <w:p w14:paraId="535951B5" w14:textId="77777777" w:rsidR="005C3DFB" w:rsidRPr="00821AF6" w:rsidRDefault="005C3DFB" w:rsidP="00590098">
      <w:r w:rsidRPr="00821AF6">
        <w:t>Praktyczny przewodnik wymaga ponadto określenia wysokości ewentualnej luki finansowej, wyliczonej według zasad stosowanych dla projektów unijnych. Lukę finansową wylicza się w celu określenia niezbędnego poziomu wsparcia zewnętrznymi instrumentami finansowymi, w tym środkami pomocowymi, niezbędnego dla osiągnięcia celów wyznaczonych w ustawie o elektromobilności.</w:t>
      </w:r>
    </w:p>
    <w:p w14:paraId="760CE5A7" w14:textId="77777777" w:rsidR="005C3DFB" w:rsidRPr="00821AF6" w:rsidRDefault="005C3DFB" w:rsidP="00590098">
      <w:pPr>
        <w:rPr>
          <w:rFonts w:eastAsia="Calibri" w:cs="Tahoma"/>
          <w:szCs w:val="22"/>
          <w:lang w:eastAsia="en-US"/>
        </w:rPr>
      </w:pPr>
    </w:p>
    <w:p w14:paraId="24DF8862" w14:textId="77777777" w:rsidR="004A3E58" w:rsidRPr="00821AF6" w:rsidRDefault="004A3E58" w:rsidP="00590098">
      <w:pPr>
        <w:spacing w:line="240" w:lineRule="auto"/>
        <w:ind w:firstLine="0"/>
        <w:jc w:val="left"/>
      </w:pPr>
      <w:r w:rsidRPr="00821AF6">
        <w:br w:type="page"/>
      </w:r>
    </w:p>
    <w:p w14:paraId="2E7FCE9A" w14:textId="6B27812A" w:rsidR="0089629B" w:rsidRPr="00821AF6" w:rsidRDefault="003447B5" w:rsidP="00590098">
      <w:pPr>
        <w:pStyle w:val="Nagwek1"/>
        <w:ind w:left="431" w:hanging="431"/>
        <w:rPr>
          <w:color w:val="000000"/>
        </w:rPr>
      </w:pPr>
      <w:bookmarkStart w:id="24" w:name="_Toc89417666"/>
      <w:r w:rsidRPr="00821AF6">
        <w:rPr>
          <w:color w:val="000000"/>
        </w:rPr>
        <w:lastRenderedPageBreak/>
        <w:t xml:space="preserve">Charakterystyka </w:t>
      </w:r>
      <w:r w:rsidR="00C73F5E">
        <w:rPr>
          <w:color w:val="000000"/>
        </w:rPr>
        <w:t xml:space="preserve">Rzeszowa </w:t>
      </w:r>
      <w:r w:rsidR="00327703">
        <w:rPr>
          <w:color w:val="000000"/>
        </w:rPr>
        <w:br/>
      </w:r>
      <w:r w:rsidR="003859F3">
        <w:rPr>
          <w:color w:val="000000"/>
        </w:rPr>
        <w:t xml:space="preserve"> </w:t>
      </w:r>
      <w:r w:rsidR="00327703">
        <w:rPr>
          <w:color w:val="000000"/>
        </w:rPr>
        <w:t>i </w:t>
      </w:r>
      <w:r w:rsidR="00C73F5E">
        <w:rPr>
          <w:color w:val="000000"/>
        </w:rPr>
        <w:t>rzeszowskie</w:t>
      </w:r>
      <w:r w:rsidR="003859F3">
        <w:rPr>
          <w:color w:val="000000"/>
        </w:rPr>
        <w:t xml:space="preserve">j </w:t>
      </w:r>
      <w:r w:rsidR="008F5C8B" w:rsidRPr="00821AF6">
        <w:rPr>
          <w:color w:val="000000"/>
        </w:rPr>
        <w:t>komunikacji</w:t>
      </w:r>
      <w:r w:rsidR="00327703">
        <w:rPr>
          <w:color w:val="000000"/>
        </w:rPr>
        <w:t xml:space="preserve"> </w:t>
      </w:r>
      <w:r w:rsidR="008F5C8B" w:rsidRPr="00821AF6">
        <w:rPr>
          <w:color w:val="000000"/>
        </w:rPr>
        <w:t>miejskiej</w:t>
      </w:r>
      <w:bookmarkEnd w:id="24"/>
    </w:p>
    <w:p w14:paraId="583A716D" w14:textId="77777777" w:rsidR="00CA7C26" w:rsidRPr="008546E8" w:rsidRDefault="00CA7C26" w:rsidP="00CA7C26">
      <w:pPr>
        <w:rPr>
          <w:rFonts w:cs="Tahoma"/>
        </w:rPr>
      </w:pPr>
      <w:bookmarkStart w:id="25" w:name="_Toc326594773"/>
      <w:r w:rsidRPr="008546E8">
        <w:rPr>
          <w:rFonts w:cs="Tahoma"/>
        </w:rPr>
        <w:t>Rzeszów położon</w:t>
      </w:r>
      <w:r>
        <w:rPr>
          <w:rFonts w:cs="Tahoma"/>
        </w:rPr>
        <w:t>y</w:t>
      </w:r>
      <w:r w:rsidRPr="008546E8">
        <w:rPr>
          <w:rFonts w:cs="Tahoma"/>
        </w:rPr>
        <w:t xml:space="preserve"> jest w południowo-wschodniej Polsce, w centralnej części województwa podkarpackiego. Miasto położone jest na granicy dwóch m</w:t>
      </w:r>
      <w:r>
        <w:rPr>
          <w:rFonts w:cs="Tahoma"/>
        </w:rPr>
        <w:t>akro</w:t>
      </w:r>
      <w:r w:rsidRPr="008546E8">
        <w:rPr>
          <w:rFonts w:cs="Tahoma"/>
        </w:rPr>
        <w:t>regionów – Kotliny Sandomierskiej (</w:t>
      </w:r>
      <w:r>
        <w:rPr>
          <w:rFonts w:cs="Tahoma"/>
        </w:rPr>
        <w:t xml:space="preserve">w części </w:t>
      </w:r>
      <w:proofErr w:type="spellStart"/>
      <w:r>
        <w:rPr>
          <w:rFonts w:cs="Tahoma"/>
        </w:rPr>
        <w:t>mezoregionu</w:t>
      </w:r>
      <w:proofErr w:type="spellEnd"/>
      <w:r w:rsidRPr="008546E8">
        <w:rPr>
          <w:rFonts w:cs="Tahoma"/>
        </w:rPr>
        <w:t xml:space="preserve"> Pradoliny Podkarpackiej oraz Pogórza Rzeszowskiego) i Pogórza </w:t>
      </w:r>
      <w:proofErr w:type="spellStart"/>
      <w:r w:rsidRPr="008546E8">
        <w:rPr>
          <w:rFonts w:cs="Tahoma"/>
        </w:rPr>
        <w:t>Środkowobeskidzkiego</w:t>
      </w:r>
      <w:proofErr w:type="spellEnd"/>
      <w:r>
        <w:rPr>
          <w:rFonts w:cs="Tahoma"/>
        </w:rPr>
        <w:t xml:space="preserve"> (w części </w:t>
      </w:r>
      <w:proofErr w:type="spellStart"/>
      <w:r>
        <w:rPr>
          <w:rFonts w:cs="Tahoma"/>
        </w:rPr>
        <w:t>mezoregionu</w:t>
      </w:r>
      <w:proofErr w:type="spellEnd"/>
      <w:r>
        <w:rPr>
          <w:rFonts w:cs="Tahoma"/>
        </w:rPr>
        <w:t xml:space="preserve"> Pogórza Dynowskiego) – </w:t>
      </w:r>
      <w:r w:rsidRPr="008546E8">
        <w:rPr>
          <w:rFonts w:cs="Tahoma"/>
        </w:rPr>
        <w:t xml:space="preserve">nad rzeką Wisłok, </w:t>
      </w:r>
      <w:r>
        <w:rPr>
          <w:rFonts w:cs="Tahoma"/>
        </w:rPr>
        <w:t>uchodzącą</w:t>
      </w:r>
      <w:r w:rsidRPr="008546E8">
        <w:rPr>
          <w:rFonts w:cs="Tahoma"/>
        </w:rPr>
        <w:t xml:space="preserve"> do Sanu. Rzeszów zlokalizowany jest w niedużej odległości od granicy Polski z Ukrainą (ok. 62 km </w:t>
      </w:r>
      <w:r>
        <w:rPr>
          <w:rFonts w:cs="Tahoma"/>
        </w:rPr>
        <w:t xml:space="preserve">w linii prostej od </w:t>
      </w:r>
      <w:r w:rsidRPr="008546E8">
        <w:rPr>
          <w:rFonts w:cs="Tahoma"/>
        </w:rPr>
        <w:t>granicy miasta</w:t>
      </w:r>
      <w:r>
        <w:rPr>
          <w:rFonts w:cs="Tahoma"/>
        </w:rPr>
        <w:t>, natomiast drogowo – 88 km</w:t>
      </w:r>
      <w:r w:rsidRPr="008546E8">
        <w:rPr>
          <w:rFonts w:cs="Tahoma"/>
        </w:rPr>
        <w:t>) i Słowacją (ok. 60 km</w:t>
      </w:r>
      <w:r>
        <w:rPr>
          <w:rFonts w:cs="Tahoma"/>
        </w:rPr>
        <w:t>, drogowo – 89 km</w:t>
      </w:r>
      <w:r w:rsidRPr="008546E8">
        <w:rPr>
          <w:rFonts w:cs="Tahoma"/>
        </w:rPr>
        <w:t>).</w:t>
      </w:r>
    </w:p>
    <w:p w14:paraId="551E4EDE" w14:textId="77777777" w:rsidR="00CA7C26" w:rsidRPr="008546E8" w:rsidRDefault="00CA7C26" w:rsidP="00CA7C26">
      <w:pPr>
        <w:rPr>
          <w:rFonts w:cs="Tahoma"/>
        </w:rPr>
      </w:pPr>
      <w:r w:rsidRPr="008546E8">
        <w:rPr>
          <w:rFonts w:cs="Tahoma"/>
        </w:rPr>
        <w:t xml:space="preserve">Miasto jest usytuowane poza dużymi obszarami ochrony przyrody i krajobrazu, jedynie w południowej części w dolinie Wisłoka znajduje się fragment obszaru Natura 2000 „Wisłok Środkowy z Dopływami” oraz rezerwat przyrody Lisia Góra z otuliną. </w:t>
      </w:r>
    </w:p>
    <w:p w14:paraId="5AA0FBAB" w14:textId="77777777" w:rsidR="00CA7C26" w:rsidRPr="00CA7C26" w:rsidRDefault="00CA7C26" w:rsidP="00CA7C26">
      <w:pPr>
        <w:rPr>
          <w:rFonts w:cs="Tahoma"/>
          <w:szCs w:val="22"/>
        </w:rPr>
      </w:pPr>
      <w:r w:rsidRPr="00CA7C26">
        <w:rPr>
          <w:rFonts w:cs="Tahoma"/>
          <w:szCs w:val="22"/>
        </w:rPr>
        <w:t>Rzeszów jest największym miastem województwa i ważnym ośrodkiem regionalnym, w którym koncentrują się funkcje wojewódzkie, a także ponadpowiatowe dla otaczającego go obszaru, w szczególności obejmującego powiaty rzeszowski i łańcucki.</w:t>
      </w:r>
    </w:p>
    <w:p w14:paraId="6CE3AAE8" w14:textId="77777777" w:rsidR="00CA7C26" w:rsidRPr="00CA7C26" w:rsidRDefault="00CA7C26" w:rsidP="00CA7C26">
      <w:pPr>
        <w:rPr>
          <w:rFonts w:cs="Tahoma"/>
        </w:rPr>
      </w:pPr>
      <w:r w:rsidRPr="00CA7C26">
        <w:rPr>
          <w:rFonts w:cs="Tahoma"/>
        </w:rPr>
        <w:t>Miasto Rzeszów graniczy z ośmioma gminami – miejsko-wiejskimi: Boguchwała, Głogów Małopolski i Tyczyn oraz wiejskimi: Chmielnik, Krasne, Lubenia, Świlcza i Trzebownisko. Rzeszów jest jednostką centralną Rzeszowskiego Obszaru Metropolitalnego oraz najważniejszym uczestnikiem Stowarzyszenia Rzeszowskiego Obszaru Funkcjonalnego.</w:t>
      </w:r>
    </w:p>
    <w:p w14:paraId="1DEA6EA2" w14:textId="39FD0121" w:rsidR="001C51D2" w:rsidRDefault="00C73F5E" w:rsidP="00864DDB">
      <w:pPr>
        <w:rPr>
          <w:rFonts w:cs="Tahoma"/>
          <w:szCs w:val="22"/>
        </w:rPr>
      </w:pPr>
      <w:r>
        <w:rPr>
          <w:rFonts w:cs="Tahoma"/>
          <w:szCs w:val="22"/>
        </w:rPr>
        <w:t xml:space="preserve">Rzeszów </w:t>
      </w:r>
      <w:r w:rsidR="00187723">
        <w:rPr>
          <w:rFonts w:cs="Tahoma"/>
          <w:szCs w:val="22"/>
        </w:rPr>
        <w:t>jest</w:t>
      </w:r>
      <w:r w:rsidR="005754CC" w:rsidRPr="00821AF6">
        <w:rPr>
          <w:rFonts w:cs="Tahoma"/>
          <w:szCs w:val="22"/>
        </w:rPr>
        <w:t xml:space="preserve"> </w:t>
      </w:r>
      <w:r w:rsidR="005754CC">
        <w:rPr>
          <w:rFonts w:cs="Tahoma"/>
          <w:szCs w:val="22"/>
        </w:rPr>
        <w:t xml:space="preserve">miastem na prawach powiatu, a także siedzibą Powiatu </w:t>
      </w:r>
      <w:r>
        <w:rPr>
          <w:rFonts w:cs="Tahoma"/>
          <w:szCs w:val="22"/>
        </w:rPr>
        <w:t>Rzeszowskie</w:t>
      </w:r>
      <w:r w:rsidR="005754CC">
        <w:rPr>
          <w:rFonts w:cs="Tahoma"/>
          <w:szCs w:val="22"/>
        </w:rPr>
        <w:t xml:space="preserve">go. </w:t>
      </w:r>
      <w:r w:rsidR="005754CC">
        <w:rPr>
          <w:rFonts w:cs="Tahoma"/>
        </w:rPr>
        <w:t xml:space="preserve">Miasto </w:t>
      </w:r>
      <w:r w:rsidR="002208F8">
        <w:rPr>
          <w:rFonts w:cs="Tahoma"/>
        </w:rPr>
        <w:t xml:space="preserve">– </w:t>
      </w:r>
      <w:r w:rsidR="005754CC">
        <w:rPr>
          <w:rFonts w:cs="Tahoma"/>
        </w:rPr>
        <w:t xml:space="preserve">jako </w:t>
      </w:r>
      <w:r w:rsidR="002208F8">
        <w:rPr>
          <w:rFonts w:cs="Tahoma"/>
        </w:rPr>
        <w:t xml:space="preserve">odrębny </w:t>
      </w:r>
      <w:r w:rsidR="005754CC">
        <w:rPr>
          <w:rFonts w:cs="Tahoma"/>
        </w:rPr>
        <w:t xml:space="preserve">powiat grodzki </w:t>
      </w:r>
      <w:r w:rsidR="002208F8">
        <w:rPr>
          <w:rFonts w:cs="Tahoma"/>
        </w:rPr>
        <w:t xml:space="preserve">– </w:t>
      </w:r>
      <w:r w:rsidR="005754CC">
        <w:rPr>
          <w:rFonts w:cs="Tahoma"/>
        </w:rPr>
        <w:t>graniczy z</w:t>
      </w:r>
      <w:r w:rsidR="002208F8">
        <w:rPr>
          <w:rFonts w:cs="Tahoma"/>
        </w:rPr>
        <w:t> </w:t>
      </w:r>
      <w:r w:rsidR="005754CC">
        <w:rPr>
          <w:rFonts w:cs="Tahoma"/>
        </w:rPr>
        <w:t xml:space="preserve">Powiatem </w:t>
      </w:r>
      <w:r w:rsidR="00F1258F">
        <w:rPr>
          <w:rFonts w:cs="Tahoma"/>
        </w:rPr>
        <w:t>Rzeszowskim</w:t>
      </w:r>
      <w:r w:rsidR="002208F8">
        <w:rPr>
          <w:rFonts w:cs="Tahoma"/>
        </w:rPr>
        <w:t xml:space="preserve">, który </w:t>
      </w:r>
      <w:r w:rsidR="001511DE" w:rsidRPr="001511DE">
        <w:rPr>
          <w:rFonts w:cs="Tahoma"/>
          <w:szCs w:val="22"/>
        </w:rPr>
        <w:t xml:space="preserve">obejmuje </w:t>
      </w:r>
      <w:r w:rsidR="00864DDB">
        <w:rPr>
          <w:rFonts w:cs="Tahoma"/>
          <w:szCs w:val="22"/>
        </w:rPr>
        <w:t>trzynaście</w:t>
      </w:r>
      <w:r w:rsidR="001511DE" w:rsidRPr="001511DE">
        <w:rPr>
          <w:rFonts w:cs="Tahoma"/>
          <w:szCs w:val="22"/>
        </w:rPr>
        <w:t xml:space="preserve"> okolicznych jednostek samorządu terytorialnego</w:t>
      </w:r>
      <w:r w:rsidR="00A97F5F">
        <w:rPr>
          <w:rFonts w:cs="Tahoma"/>
          <w:szCs w:val="22"/>
        </w:rPr>
        <w:t>,</w:t>
      </w:r>
      <w:r w:rsidR="001511DE" w:rsidRPr="001511DE">
        <w:rPr>
          <w:rFonts w:cs="Tahoma"/>
          <w:szCs w:val="22"/>
        </w:rPr>
        <w:t xml:space="preserve"> położonych </w:t>
      </w:r>
      <w:r w:rsidR="00D56245">
        <w:rPr>
          <w:rFonts w:cs="Tahoma"/>
          <w:szCs w:val="22"/>
        </w:rPr>
        <w:t xml:space="preserve">w większości na </w:t>
      </w:r>
      <w:r w:rsidR="005754CC">
        <w:rPr>
          <w:rFonts w:cs="Tahoma"/>
          <w:szCs w:val="22"/>
        </w:rPr>
        <w:t xml:space="preserve">północ i </w:t>
      </w:r>
      <w:r w:rsidR="00864DDB">
        <w:rPr>
          <w:rFonts w:cs="Tahoma"/>
          <w:szCs w:val="22"/>
        </w:rPr>
        <w:t xml:space="preserve">południowy </w:t>
      </w:r>
      <w:r w:rsidR="005754CC">
        <w:rPr>
          <w:rFonts w:cs="Tahoma"/>
          <w:szCs w:val="22"/>
        </w:rPr>
        <w:t>zachód</w:t>
      </w:r>
      <w:r w:rsidR="00D56245">
        <w:rPr>
          <w:rFonts w:cs="Tahoma"/>
          <w:szCs w:val="22"/>
        </w:rPr>
        <w:t xml:space="preserve"> od miasta</w:t>
      </w:r>
      <w:r w:rsidR="001511DE" w:rsidRPr="001511DE">
        <w:rPr>
          <w:rFonts w:cs="Tahoma"/>
          <w:szCs w:val="22"/>
        </w:rPr>
        <w:t>.</w:t>
      </w:r>
    </w:p>
    <w:p w14:paraId="08D58654" w14:textId="77777777" w:rsidR="00CA7C26" w:rsidRPr="00CA7C26" w:rsidRDefault="00CA7C26" w:rsidP="00CA7C26">
      <w:pPr>
        <w:rPr>
          <w:rFonts w:cs="Tahoma"/>
          <w:szCs w:val="22"/>
        </w:rPr>
      </w:pPr>
      <w:r w:rsidRPr="00CA7C26">
        <w:rPr>
          <w:rFonts w:cs="Tahoma"/>
          <w:szCs w:val="22"/>
        </w:rPr>
        <w:t xml:space="preserve">Rzeszów jest miastem na prawach powiatu, a także siedzibą Powiatu Rzeszowskiego. </w:t>
      </w:r>
      <w:r w:rsidRPr="00CA7C26">
        <w:rPr>
          <w:rFonts w:cs="Tahoma"/>
        </w:rPr>
        <w:t xml:space="preserve">Miasto – jako odrębny powiat grodzki – graniczy z Powiatem Rzeszowskim, który </w:t>
      </w:r>
      <w:r w:rsidRPr="00CA7C26">
        <w:rPr>
          <w:rFonts w:cs="Tahoma"/>
          <w:szCs w:val="22"/>
        </w:rPr>
        <w:t>obejmuje trzynaście okolicznych jednostek samorządu terytorialnego, położonych w większości na północ i południe od miasta.</w:t>
      </w:r>
    </w:p>
    <w:p w14:paraId="028EF500" w14:textId="77777777" w:rsidR="00CA7C26" w:rsidRPr="00CA7C26" w:rsidRDefault="00CA7C26" w:rsidP="00CA7C26">
      <w:pPr>
        <w:rPr>
          <w:rFonts w:cs="Tahoma"/>
          <w:szCs w:val="22"/>
        </w:rPr>
      </w:pPr>
      <w:r w:rsidRPr="00CA7C26">
        <w:rPr>
          <w:rFonts w:cs="Tahoma"/>
          <w:szCs w:val="22"/>
        </w:rPr>
        <w:t>Miasto podzielone jest na trzydzieści trzy jednostki pomocnicze gminy, nazwane i ponumerowane osiedla. Od 2006 r. miasto stale powiększa swoje terytorium poprzez przyłączanie sąsiedzkich wsi lub ich części. W stosunku do stanu z 2005 r. powierzchnia miasta powiększyła się 2,5-krotnie.</w:t>
      </w:r>
    </w:p>
    <w:p w14:paraId="4159A21E" w14:textId="77777777" w:rsidR="00CA7C26" w:rsidRPr="00CA7C26" w:rsidRDefault="00CA7C26" w:rsidP="00CA7C26">
      <w:r w:rsidRPr="00CA7C26">
        <w:rPr>
          <w:rFonts w:cs="Tahoma"/>
          <w:szCs w:val="22"/>
        </w:rPr>
        <w:t xml:space="preserve">W opisywanym okresie przyłączono: </w:t>
      </w:r>
      <w:r w:rsidRPr="00CA7C26">
        <w:t xml:space="preserve">Słocinę i Załęże z gminy Krasne (2006 r.), część Przybyszówki z gminy Świlcza (2007 r.), pozostałą część Przybyszówki i Zwięczycę z gminy Boguchwała (2008 r.) oraz Białą z gminy Tyczyn (2009 r.). W 2010 r. miasto powiększyło swoje </w:t>
      </w:r>
      <w:r w:rsidRPr="00CA7C26">
        <w:lastRenderedPageBreak/>
        <w:t>tereny o część Miłocina (z gminy Głogów Małopolski) i o Budziwój (gmina Tyczyn). Kolejne przyłączenia odbyły się w 2017 r., kiedy to do miasta przyłączono sołectwo Bzianka z gminy Świlcza oraz w 2019 r., kiedy przyłączono Matysówkę z gminy Tyczyn i pozostałą część Miłocina (z gminy Głogów Małopolski) i w 2021 r. – przyłączono wówczas Pogwizdów Nowy z gminy Głogów Małopolski.</w:t>
      </w:r>
    </w:p>
    <w:p w14:paraId="0D83C820" w14:textId="77777777" w:rsidR="00CA7C26" w:rsidRPr="00CA7C26" w:rsidRDefault="00CA7C26" w:rsidP="00CA7C26">
      <w:pPr>
        <w:rPr>
          <w:rFonts w:cs="Tahoma"/>
          <w:szCs w:val="22"/>
        </w:rPr>
      </w:pPr>
      <w:r w:rsidRPr="00CA7C26">
        <w:rPr>
          <w:rFonts w:cs="Tahoma"/>
          <w:szCs w:val="22"/>
        </w:rPr>
        <w:t>Zagospodarowanie Rzeszowa jest bardzo zróżnicowane. Obszar zurbanizowany miasta położony jest w jego centralnej części i otaczają go z niemal każdej strony tereny rolne, jedynie w części północno-wschodniej obszar zurbanizowany dociera do granic miasta.</w:t>
      </w:r>
    </w:p>
    <w:p w14:paraId="13A1289A" w14:textId="77777777" w:rsidR="00CA7C26" w:rsidRPr="00CA7C26" w:rsidRDefault="00CA7C26" w:rsidP="00CA7C26">
      <w:pPr>
        <w:rPr>
          <w:rFonts w:cs="Tahoma"/>
          <w:szCs w:val="22"/>
        </w:rPr>
      </w:pPr>
      <w:r w:rsidRPr="00CA7C26">
        <w:rPr>
          <w:rFonts w:cs="Tahoma"/>
          <w:szCs w:val="22"/>
        </w:rPr>
        <w:t>Centrum stanowi zróżnicowana zabudowa mieszkaniowa i usługowa, która obejmuje osiedle Śródmieście oraz częściowo osiedla Pułaskiego i Grota-Roweckiego. Od wschodu obszar centrum ograniczony jest doliną rzeki Wisłok, a od północy – stacją kolejową i torami kolejowymi linii nr 91. Od południa i zachodu centrum graniczy z obszarami zabudowy wielorodzinnej i przemysłowo-składowymi. W centrum zlokalizowana jest większość obiektów historycznych, siedziba Urzędu Miasta, Starostwa Powiatowego, Urzędów Marszałkowskiego i Wojewódzkiego oraz wiele innych instytucji i urzędów. W północnej części centrum znajdują się dworce: kolejowy i dwa autobusowe oraz duże centrum handlowe z hotelem.</w:t>
      </w:r>
    </w:p>
    <w:p w14:paraId="5343932A" w14:textId="77777777" w:rsidR="00CA7C26" w:rsidRPr="00CA7C26" w:rsidRDefault="00CA7C26" w:rsidP="00CA7C26">
      <w:pPr>
        <w:rPr>
          <w:rFonts w:cs="Tahoma"/>
          <w:szCs w:val="22"/>
        </w:rPr>
      </w:pPr>
      <w:r w:rsidRPr="00CA7C26">
        <w:rPr>
          <w:rFonts w:cs="Tahoma"/>
          <w:szCs w:val="22"/>
        </w:rPr>
        <w:t>Obszar centrum od strony południowej i zachodniej otoczony jest rejonami intensywnej zabudowy wielorodzinnej. Osiedla zabudowy wielorodzinnej przeważają także na wschód od centrum, na prawobrzeżu Wisłoka. Centrum oraz sąsiednie osiedla zabudowy wielorodzinnej otoczone są szerokim pasem drogowym drogi krajowej nr 94. Zewnętrzny pierścień obszaru zurbanizowanego miasta wyznacza zabudowa o charakterze jednorodzinnym lub mieszanym, w obniżeniach terenu poprzedzielana terenami zielonymi lub łąkowymi. Rejony przemysłowe dominują w części południowej obszaru zurbanizowanego oraz w części północnej: przy brzegach rzeki Wisłok, wzdłuż torów kolejowych, a także na terenie osiedla Przybyszówka (obszar Dworzysko).</w:t>
      </w:r>
    </w:p>
    <w:p w14:paraId="6271844D" w14:textId="77777777" w:rsidR="00CA7C26" w:rsidRPr="00CA7C26" w:rsidRDefault="00CA7C26" w:rsidP="00CA7C26">
      <w:pPr>
        <w:rPr>
          <w:rFonts w:cs="Tahoma"/>
          <w:szCs w:val="22"/>
        </w:rPr>
      </w:pPr>
      <w:r w:rsidRPr="00CA7C26">
        <w:rPr>
          <w:rFonts w:cs="Tahoma"/>
          <w:szCs w:val="22"/>
        </w:rPr>
        <w:t>Osiedla położone przy granicy miasta zachowały charakter zabudowy wiejsko-podmiejskiej skoncentrowanej wzdłuż dróg zbiorczych.</w:t>
      </w:r>
    </w:p>
    <w:p w14:paraId="4572EB00" w14:textId="77777777" w:rsidR="00CA7C26" w:rsidRPr="00CA7C26" w:rsidRDefault="00CA7C26" w:rsidP="00CA7C26">
      <w:pPr>
        <w:rPr>
          <w:rFonts w:cs="Tahoma"/>
          <w:szCs w:val="22"/>
        </w:rPr>
      </w:pPr>
      <w:r w:rsidRPr="00CA7C26">
        <w:rPr>
          <w:rFonts w:cs="Tahoma"/>
          <w:szCs w:val="22"/>
        </w:rPr>
        <w:t xml:space="preserve">W pobliżu północnej granicy miasta, na terenie gminy Trzebownisko, znajduje się międzynarodowe lotnisko Rzeszów Jasionka, z pasem startowym o długości 3,2 km. W pobliżu zlokalizowane są obszary przemysłowe Specjalnej Strefy Ekonomicznej Euro-Park Mielec. </w:t>
      </w:r>
    </w:p>
    <w:p w14:paraId="64AE3FBB" w14:textId="328CD1DE" w:rsidR="00CA7C26" w:rsidRPr="00CA7C26" w:rsidRDefault="00CA7C26" w:rsidP="00CA7C26">
      <w:pPr>
        <w:rPr>
          <w:rFonts w:cs="Tahoma"/>
          <w:szCs w:val="22"/>
        </w:rPr>
      </w:pPr>
      <w:r w:rsidRPr="00CA7C26">
        <w:rPr>
          <w:rFonts w:cs="Tahoma"/>
          <w:szCs w:val="22"/>
        </w:rPr>
        <w:t>Do czasu wybudowania autostrady A4</w:t>
      </w:r>
      <w:r w:rsidR="00A27FE8">
        <w:rPr>
          <w:rFonts w:cs="Tahoma"/>
          <w:szCs w:val="22"/>
        </w:rPr>
        <w:t>,</w:t>
      </w:r>
      <w:r w:rsidRPr="00CA7C26">
        <w:rPr>
          <w:rFonts w:cs="Tahoma"/>
          <w:szCs w:val="22"/>
        </w:rPr>
        <w:t xml:space="preserve"> przez Rzeszów prowadziła droga krajowa nr 4, łącząca Niemcy – przez Wrocław, Katowice i Kraków – z Ukrainą. Początkowo ruch tranzytowy odbywał się przez ścisłe centrum miasta (al. Piłsudskiego). Następnie w wyniku rozbudowy </w:t>
      </w:r>
      <w:r w:rsidRPr="00CA7C26">
        <w:rPr>
          <w:rFonts w:cs="Tahoma"/>
          <w:szCs w:val="22"/>
        </w:rPr>
        <w:lastRenderedPageBreak/>
        <w:t>miasta</w:t>
      </w:r>
      <w:r w:rsidR="00A27FE8">
        <w:rPr>
          <w:rFonts w:cs="Tahoma"/>
          <w:szCs w:val="22"/>
        </w:rPr>
        <w:t>,</w:t>
      </w:r>
      <w:r w:rsidRPr="00CA7C26">
        <w:rPr>
          <w:rFonts w:cs="Tahoma"/>
          <w:szCs w:val="22"/>
        </w:rPr>
        <w:t xml:space="preserve"> drogę krajową nr 4 wyznaczono ulicami: Krakowską, al. Witosa, al. Batalionów Chłopskich, al. Powstańców Warszawy, al. Armii Krajowej i ul. Lwowską. Po wybudowaniu autostrady A4 dawna droga krajowa nr 4 otrzymała numer 94.</w:t>
      </w:r>
    </w:p>
    <w:p w14:paraId="3F4CF6A0" w14:textId="77777777" w:rsidR="00CA7C26" w:rsidRPr="00CA7C26" w:rsidRDefault="00CA7C26" w:rsidP="00CA7C26">
      <w:pPr>
        <w:rPr>
          <w:rFonts w:cs="Tahoma"/>
          <w:szCs w:val="22"/>
        </w:rPr>
      </w:pPr>
      <w:r w:rsidRPr="00CA7C26">
        <w:rPr>
          <w:rFonts w:cs="Tahoma"/>
          <w:szCs w:val="22"/>
        </w:rPr>
        <w:t xml:space="preserve">Przebieg autostrady A4 wytyczono na północ od granic miasta, przez obszar gmin Świlcza, Głogów Małopolski i Trzebownisko. Miasto obsługiwane jest trzema węzłami: Rzeszów Zachód – z odejściem drogi ekspresowej S19 (Via </w:t>
      </w:r>
      <w:proofErr w:type="spellStart"/>
      <w:r w:rsidRPr="00CA7C26">
        <w:rPr>
          <w:rFonts w:cs="Tahoma"/>
          <w:szCs w:val="22"/>
        </w:rPr>
        <w:t>Carpatia</w:t>
      </w:r>
      <w:proofErr w:type="spellEnd"/>
      <w:r w:rsidRPr="00CA7C26">
        <w:rPr>
          <w:rFonts w:cs="Tahoma"/>
          <w:szCs w:val="22"/>
        </w:rPr>
        <w:t xml:space="preserve">), Rzeszów Północ – z odejściem drogi krajowej nr 9 i Rzeszów Wschód – na skrzyżowaniu z drogą ekspresową S19 (Via </w:t>
      </w:r>
      <w:proofErr w:type="spellStart"/>
      <w:r w:rsidRPr="00CA7C26">
        <w:rPr>
          <w:rFonts w:cs="Tahoma"/>
          <w:szCs w:val="22"/>
        </w:rPr>
        <w:t>Carpatia</w:t>
      </w:r>
      <w:proofErr w:type="spellEnd"/>
      <w:r w:rsidRPr="00CA7C26">
        <w:rPr>
          <w:rFonts w:cs="Tahoma"/>
          <w:szCs w:val="22"/>
        </w:rPr>
        <w:t>) oraz drogą krajową nr 97, stanowiącą połączenie z drogą krajową nr 94. Droga krajowa nr 97 poprowadzona jest al. Żołnierzy I Armii Wojska Polskiego.</w:t>
      </w:r>
    </w:p>
    <w:p w14:paraId="33ED14B6" w14:textId="77777777" w:rsidR="00CA7C26" w:rsidRPr="00CA7C26" w:rsidRDefault="00CA7C26" w:rsidP="00CA7C26">
      <w:pPr>
        <w:rPr>
          <w:rFonts w:cs="Tahoma"/>
          <w:szCs w:val="22"/>
        </w:rPr>
      </w:pPr>
      <w:r w:rsidRPr="00CA7C26">
        <w:rPr>
          <w:rFonts w:cs="Tahoma"/>
          <w:szCs w:val="22"/>
        </w:rPr>
        <w:t>Od strony zachodniej zewnętrzną obwodnicę miasta stanowi odcinek drogi ekspresowej S19, z dwoma węzłami: Świlcza i Rzeszów Południe, gdzie kończy się część już wybudowana. Połączenie tego węzła z drogą krajową nr 19 i z siecią dróg miejskich stanowi ul. Żołnierzy 9 Dywizji Piechoty, będąca drogą wojewódzką nr 883.</w:t>
      </w:r>
    </w:p>
    <w:p w14:paraId="294054D3" w14:textId="77777777" w:rsidR="00CA7C26" w:rsidRPr="00CA7C26" w:rsidRDefault="00CA7C26" w:rsidP="00CA7C26">
      <w:pPr>
        <w:rPr>
          <w:rFonts w:cs="Tahoma"/>
          <w:szCs w:val="22"/>
        </w:rPr>
      </w:pPr>
      <w:r w:rsidRPr="00CA7C26">
        <w:rPr>
          <w:rFonts w:cs="Tahoma"/>
          <w:szCs w:val="22"/>
        </w:rPr>
        <w:t>Przez Rzeszów przebiega także odcinek drogi krajowej nr 19, rozpoczynający się od drogi krajowej nr 94 i poprowadzony ul. Podkarpacką.</w:t>
      </w:r>
    </w:p>
    <w:p w14:paraId="6C538C2E" w14:textId="77777777" w:rsidR="00CA7C26" w:rsidRPr="00CA7C26" w:rsidRDefault="00CA7C26" w:rsidP="00CA7C26">
      <w:pPr>
        <w:rPr>
          <w:rFonts w:cs="Tahoma"/>
          <w:szCs w:val="22"/>
        </w:rPr>
      </w:pPr>
      <w:r w:rsidRPr="00CA7C26">
        <w:rPr>
          <w:rFonts w:cs="Tahoma"/>
          <w:szCs w:val="22"/>
        </w:rPr>
        <w:t xml:space="preserve">Przez obszar całego miasta przebiega południkowo trasa drogi wojewódzkiej nr 878, w relacji: Sokołów Małopolski – Stobierna – Rzeszów – Dylągówka. W granicach miasta droga ta przebiega ulicami: Lubelską, Marszałkowską, al. Piłsudskiego, al. Rejtana, al. Sikorskiego. W granicach miasta zlokalizowana jest ponadto droga wojewódzka nr 882, przebiegająca od drogi krajowej nr 97 do al. Warszawskiej, wytyczona ulicami </w:t>
      </w:r>
      <w:proofErr w:type="spellStart"/>
      <w:r w:rsidRPr="00CA7C26">
        <w:rPr>
          <w:rFonts w:cs="Tahoma"/>
          <w:szCs w:val="22"/>
        </w:rPr>
        <w:t>Rzecha</w:t>
      </w:r>
      <w:proofErr w:type="spellEnd"/>
      <w:r w:rsidRPr="00CA7C26">
        <w:rPr>
          <w:rFonts w:cs="Tahoma"/>
          <w:szCs w:val="22"/>
        </w:rPr>
        <w:t xml:space="preserve"> i </w:t>
      </w:r>
      <w:proofErr w:type="spellStart"/>
      <w:r w:rsidRPr="00CA7C26">
        <w:rPr>
          <w:rFonts w:cs="Tahoma"/>
          <w:szCs w:val="22"/>
        </w:rPr>
        <w:t>Krogulskiego</w:t>
      </w:r>
      <w:proofErr w:type="spellEnd"/>
      <w:r w:rsidRPr="00CA7C26">
        <w:rPr>
          <w:rFonts w:cs="Tahoma"/>
          <w:szCs w:val="22"/>
        </w:rPr>
        <w:t>.</w:t>
      </w:r>
    </w:p>
    <w:p w14:paraId="5C359FB8" w14:textId="77777777" w:rsidR="00CA7C26" w:rsidRPr="00CA7C26" w:rsidRDefault="00CA7C26" w:rsidP="00CA7C26">
      <w:pPr>
        <w:rPr>
          <w:rFonts w:cs="Tahoma"/>
          <w:szCs w:val="22"/>
        </w:rPr>
      </w:pPr>
      <w:r w:rsidRPr="00CA7C26">
        <w:rPr>
          <w:rFonts w:cs="Tahoma"/>
          <w:szCs w:val="22"/>
        </w:rPr>
        <w:t>Drogi krajowe i wojewódzkie poprowadzone są ważnymi ulicami miasta i pełnią istotną rolę w funkcjonowaniu jego systemu transportowego. Ruch tranzytowy, szczególnie ciężarowy, omija obecnie jednak w większości teren zwartej zabudowy miejskiej.</w:t>
      </w:r>
    </w:p>
    <w:p w14:paraId="103D3BF9" w14:textId="423D8A29" w:rsidR="00CA7C26" w:rsidRPr="00CA7C26" w:rsidRDefault="00CA7C26" w:rsidP="00CA7C26">
      <w:pPr>
        <w:rPr>
          <w:rFonts w:cs="Tahoma"/>
          <w:szCs w:val="22"/>
        </w:rPr>
      </w:pPr>
      <w:r w:rsidRPr="00CA7C26">
        <w:rPr>
          <w:rFonts w:cs="Tahoma"/>
          <w:szCs w:val="22"/>
        </w:rPr>
        <w:t>Przez Rzeszów przebiega zelektryfikowana, dwutorowa linia kolejowa nr 91, w relacji Kraków Główny – Medyka, o znaczeniu międzynarodowym. Na linii tej zlokalizowana jest stacja kolejowa Rzeszów Główny oraz przystanki: Rzeszów Zachodni – w północno-zachodniej części miasta i Rzeszów Załęże – przy wschodniej granicy.</w:t>
      </w:r>
      <w:r>
        <w:rPr>
          <w:rFonts w:cs="Tahoma"/>
          <w:szCs w:val="22"/>
        </w:rPr>
        <w:t xml:space="preserve"> PKP PLK S.A. rozpoczęły ponadto budowę dodatkowego przystanku na tej linii w kierunku do Dębicy – Rzeszów Dworzysko. </w:t>
      </w:r>
      <w:r w:rsidRPr="00CA7C26">
        <w:rPr>
          <w:rFonts w:cs="Tahoma"/>
          <w:szCs w:val="22"/>
        </w:rPr>
        <w:t>Budynek stacji kolejowej Rzeszów Główny oraz wejście na perony, zlokalizowane są po południowej stronie torów, a więc po tej samej stronie, co centrum miasta.</w:t>
      </w:r>
    </w:p>
    <w:p w14:paraId="12C04346" w14:textId="77777777" w:rsidR="00CA7C26" w:rsidRPr="00CA7C26" w:rsidRDefault="00CA7C26" w:rsidP="00CA7C26">
      <w:pPr>
        <w:rPr>
          <w:rFonts w:cs="Tahoma"/>
          <w:szCs w:val="22"/>
        </w:rPr>
      </w:pPr>
      <w:bookmarkStart w:id="26" w:name="_Hlk73283800"/>
      <w:r w:rsidRPr="00CA7C26">
        <w:rPr>
          <w:rFonts w:cs="Tahoma"/>
          <w:szCs w:val="22"/>
        </w:rPr>
        <w:t>Na stacji Rzeszów Główny rozpoczyna się ponadto jednotorowa zelektryfikowana linia kolejowa nr 71 do Ocic, stanowiąca szlak kolejowy w kierunku Kielc i Lublina. Linia ta ma około dwukilometrowy wspólny przebieg z linią nr 91 do przystanku Rzeszów Zachodni, a następnie na wysokości osiedla Baranówka odbija na północ. Na linii tej w granicach miasta znajdują się dwa przystanki: Rzeszów Zachodni i Rzeszów Miłocin.</w:t>
      </w:r>
    </w:p>
    <w:p w14:paraId="74E19E15" w14:textId="77777777" w:rsidR="00CA7C26" w:rsidRPr="00CA7C26" w:rsidRDefault="00CA7C26" w:rsidP="00CA7C26">
      <w:pPr>
        <w:rPr>
          <w:rFonts w:cs="Tahoma"/>
          <w:szCs w:val="22"/>
        </w:rPr>
      </w:pPr>
      <w:r w:rsidRPr="00CA7C26">
        <w:rPr>
          <w:rFonts w:cs="Tahoma"/>
          <w:szCs w:val="22"/>
        </w:rPr>
        <w:lastRenderedPageBreak/>
        <w:t xml:space="preserve">Na stacji Rzeszów Główny rozpoczyna się ponadto jednotorowa, niezelektryfikowana linia kolejowa nr 106 do Jasła, na której w granicach miasta znajduje się stacja kolejowa Rzeszów </w:t>
      </w:r>
      <w:proofErr w:type="spellStart"/>
      <w:r w:rsidRPr="00CA7C26">
        <w:rPr>
          <w:rFonts w:cs="Tahoma"/>
          <w:szCs w:val="22"/>
        </w:rPr>
        <w:t>Staroniwa</w:t>
      </w:r>
      <w:proofErr w:type="spellEnd"/>
      <w:r w:rsidRPr="00CA7C26">
        <w:rPr>
          <w:rFonts w:cs="Tahoma"/>
          <w:szCs w:val="22"/>
        </w:rPr>
        <w:t xml:space="preserve"> oraz dwa przystanki: Rzeszów Osiedle i Rzeszów Zwięczyca.</w:t>
      </w:r>
    </w:p>
    <w:bookmarkEnd w:id="26"/>
    <w:p w14:paraId="0C364EF5" w14:textId="77777777" w:rsidR="00CA7C26" w:rsidRPr="00CA7C26" w:rsidRDefault="00CA7C26" w:rsidP="00CA7C26">
      <w:pPr>
        <w:rPr>
          <w:rFonts w:cs="Tahoma"/>
          <w:szCs w:val="22"/>
        </w:rPr>
      </w:pPr>
      <w:r w:rsidRPr="00CA7C26">
        <w:rPr>
          <w:rFonts w:cs="Tahoma"/>
          <w:szCs w:val="22"/>
        </w:rPr>
        <w:t>Według Banku Danych Lokalnych GUS, w dniu 31 grudnia 2020 r. liczba ludności miasta wynosiła 196 638 osób.</w:t>
      </w:r>
    </w:p>
    <w:p w14:paraId="1A7FBE89" w14:textId="77777777" w:rsidR="00CA7C26" w:rsidRPr="00CA7C26" w:rsidRDefault="00CA7C26" w:rsidP="00CA7C26">
      <w:pPr>
        <w:rPr>
          <w:rFonts w:cs="Tahoma"/>
          <w:szCs w:val="22"/>
        </w:rPr>
      </w:pPr>
      <w:r w:rsidRPr="00CA7C26">
        <w:rPr>
          <w:rFonts w:cs="Tahoma"/>
          <w:szCs w:val="22"/>
        </w:rPr>
        <w:t>W ostatniej dekadzie liczba ludności miasta wzrastała, co jest zjawiskiem w skali kraju nietypowym, gdyż w innych podobnej wielkości samorządach najczęściej w tym okresie następował spadek liczby mieszkańców.</w:t>
      </w:r>
    </w:p>
    <w:p w14:paraId="31BD43B8" w14:textId="77777777" w:rsidR="00CA7C26" w:rsidRPr="00CA7C26" w:rsidRDefault="00CA7C26" w:rsidP="00CA7C26">
      <w:pPr>
        <w:rPr>
          <w:rFonts w:cs="Tahoma"/>
          <w:szCs w:val="22"/>
        </w:rPr>
      </w:pPr>
      <w:r w:rsidRPr="00CA7C26">
        <w:rPr>
          <w:rFonts w:cs="Tahoma"/>
          <w:szCs w:val="22"/>
        </w:rPr>
        <w:t>W tabeli 1 zaprezentowano liczbę mieszkańców, powierzchnię i gęstość zaludnienia Rzeszowa, a także obszar miasta oraz gmin, które z miastem Rzeszowem zawarły porozumienia, w latach 2011-2020 – według danych Banku Lokalnego GUS. Liczba ludności obszaru w analizowanym okresie stale rosła.</w:t>
      </w:r>
    </w:p>
    <w:p w14:paraId="44DBBB4A" w14:textId="77777777" w:rsidR="00CA7C26" w:rsidRPr="00CA7C26" w:rsidRDefault="00CA7C26" w:rsidP="00CA7C26">
      <w:pPr>
        <w:rPr>
          <w:rFonts w:cs="Tahoma"/>
          <w:szCs w:val="22"/>
        </w:rPr>
      </w:pPr>
      <w:r w:rsidRPr="00CA7C26">
        <w:rPr>
          <w:rFonts w:cs="Tahoma"/>
          <w:szCs w:val="22"/>
        </w:rPr>
        <w:t>Zmiany powierzchni miasta Rzeszowa wynikały z przyłączenia sołectwa Bzianka oraz Matysówki i części Miłocina.</w:t>
      </w:r>
    </w:p>
    <w:p w14:paraId="15817B74" w14:textId="1A058D0F" w:rsidR="000C512A" w:rsidRPr="00821AF6" w:rsidRDefault="000C512A" w:rsidP="00F52332">
      <w:pPr>
        <w:spacing w:before="240"/>
        <w:ind w:firstLine="0"/>
        <w:jc w:val="left"/>
        <w:rPr>
          <w:b/>
          <w:bCs/>
          <w:color w:val="000000"/>
          <w:szCs w:val="22"/>
        </w:rPr>
      </w:pPr>
      <w:r w:rsidRPr="00821AF6">
        <w:rPr>
          <w:b/>
          <w:bCs/>
          <w:color w:val="000000"/>
          <w:szCs w:val="22"/>
        </w:rPr>
        <w:t xml:space="preserve">Tab. </w:t>
      </w:r>
      <w:r w:rsidR="00B60ABE" w:rsidRPr="00821AF6">
        <w:rPr>
          <w:b/>
          <w:bCs/>
          <w:color w:val="000000"/>
          <w:szCs w:val="22"/>
        </w:rPr>
        <w:fldChar w:fldCharType="begin"/>
      </w:r>
      <w:r w:rsidRPr="00821AF6">
        <w:rPr>
          <w:b/>
          <w:bCs/>
          <w:color w:val="000000"/>
          <w:szCs w:val="22"/>
        </w:rPr>
        <w:instrText xml:space="preserve"> SEQ Tab. \* ARABIC </w:instrText>
      </w:r>
      <w:r w:rsidR="00B60ABE" w:rsidRPr="00821AF6">
        <w:rPr>
          <w:b/>
          <w:bCs/>
          <w:color w:val="000000"/>
          <w:szCs w:val="22"/>
        </w:rPr>
        <w:fldChar w:fldCharType="separate"/>
      </w:r>
      <w:r w:rsidR="004605BC">
        <w:rPr>
          <w:b/>
          <w:bCs/>
          <w:noProof/>
          <w:color w:val="000000"/>
          <w:szCs w:val="22"/>
        </w:rPr>
        <w:t>1</w:t>
      </w:r>
      <w:r w:rsidR="00B60ABE" w:rsidRPr="00821AF6">
        <w:rPr>
          <w:b/>
          <w:bCs/>
          <w:color w:val="000000"/>
          <w:szCs w:val="22"/>
        </w:rPr>
        <w:fldChar w:fldCharType="end"/>
      </w:r>
      <w:r w:rsidRPr="00821AF6">
        <w:rPr>
          <w:b/>
          <w:bCs/>
          <w:color w:val="000000"/>
          <w:szCs w:val="22"/>
        </w:rPr>
        <w:t>. Liczba ludności</w:t>
      </w:r>
      <w:r w:rsidR="00003EE8" w:rsidRPr="00821AF6">
        <w:rPr>
          <w:b/>
          <w:bCs/>
          <w:color w:val="000000"/>
          <w:szCs w:val="22"/>
        </w:rPr>
        <w:t xml:space="preserve">, </w:t>
      </w:r>
      <w:r w:rsidRPr="00821AF6">
        <w:rPr>
          <w:b/>
          <w:bCs/>
          <w:color w:val="000000"/>
          <w:szCs w:val="22"/>
        </w:rPr>
        <w:t xml:space="preserve">powierzchnia </w:t>
      </w:r>
      <w:r w:rsidR="00003EE8" w:rsidRPr="00821AF6">
        <w:rPr>
          <w:b/>
          <w:bCs/>
          <w:color w:val="000000"/>
          <w:szCs w:val="22"/>
        </w:rPr>
        <w:t xml:space="preserve">i gęstość zaludnienia </w:t>
      </w:r>
      <w:r w:rsidR="00F1258F">
        <w:rPr>
          <w:b/>
          <w:bCs/>
          <w:color w:val="000000"/>
          <w:szCs w:val="22"/>
        </w:rPr>
        <w:t>Rzeszowa</w:t>
      </w:r>
      <w:r w:rsidR="00F52332">
        <w:rPr>
          <w:b/>
          <w:bCs/>
          <w:color w:val="000000"/>
          <w:szCs w:val="22"/>
        </w:rPr>
        <w:t xml:space="preserve"> oraz gmin</w:t>
      </w:r>
      <w:r w:rsidR="00F52332">
        <w:rPr>
          <w:b/>
          <w:bCs/>
          <w:color w:val="000000"/>
          <w:szCs w:val="22"/>
        </w:rPr>
        <w:br/>
        <w:t xml:space="preserve">obsługiwanych rzeszowską komunikacją miejską </w:t>
      </w:r>
      <w:r w:rsidR="004173D6">
        <w:rPr>
          <w:b/>
          <w:bCs/>
          <w:color w:val="000000"/>
          <w:szCs w:val="22"/>
        </w:rPr>
        <w:t>w latach 2011</w:t>
      </w:r>
      <w:r w:rsidRPr="00821AF6">
        <w:rPr>
          <w:b/>
          <w:bCs/>
          <w:color w:val="000000"/>
          <w:szCs w:val="22"/>
        </w:rPr>
        <w:t>-</w:t>
      </w:r>
      <w:r w:rsidR="00BD0443">
        <w:rPr>
          <w:b/>
          <w:bCs/>
          <w:color w:val="000000"/>
          <w:szCs w:val="22"/>
        </w:rPr>
        <w:t>2020</w:t>
      </w:r>
    </w:p>
    <w:tbl>
      <w:tblPr>
        <w:tblStyle w:val="Tabela-Siatka2"/>
        <w:tblW w:w="9072" w:type="dxa"/>
        <w:jc w:val="center"/>
        <w:tblLayout w:type="fixed"/>
        <w:tblCellMar>
          <w:left w:w="57" w:type="dxa"/>
          <w:right w:w="57" w:type="dxa"/>
        </w:tblCellMar>
        <w:tblLook w:val="04A0" w:firstRow="1" w:lastRow="0" w:firstColumn="1" w:lastColumn="0" w:noHBand="0" w:noVBand="1"/>
      </w:tblPr>
      <w:tblGrid>
        <w:gridCol w:w="1271"/>
        <w:gridCol w:w="709"/>
        <w:gridCol w:w="709"/>
        <w:gridCol w:w="708"/>
        <w:gridCol w:w="709"/>
        <w:gridCol w:w="709"/>
        <w:gridCol w:w="709"/>
        <w:gridCol w:w="708"/>
        <w:gridCol w:w="709"/>
        <w:gridCol w:w="710"/>
        <w:gridCol w:w="710"/>
        <w:gridCol w:w="711"/>
      </w:tblGrid>
      <w:tr w:rsidR="009250B4" w:rsidRPr="00821AF6" w14:paraId="31969EB7" w14:textId="77777777" w:rsidTr="00362098">
        <w:trPr>
          <w:cantSplit/>
          <w:tblHeader/>
          <w:jc w:val="center"/>
        </w:trPr>
        <w:tc>
          <w:tcPr>
            <w:tcW w:w="1271" w:type="dxa"/>
            <w:vMerge w:val="restart"/>
            <w:shd w:val="clear" w:color="auto" w:fill="FFFF99"/>
            <w:vAlign w:val="center"/>
          </w:tcPr>
          <w:p w14:paraId="2369DDC2" w14:textId="77777777" w:rsidR="000C512A" w:rsidRPr="00821AF6" w:rsidRDefault="000C512A" w:rsidP="00F52332">
            <w:pPr>
              <w:spacing w:before="60" w:after="40" w:line="288" w:lineRule="auto"/>
              <w:ind w:firstLine="29"/>
              <w:jc w:val="center"/>
              <w:rPr>
                <w:rFonts w:cs="Tahoma"/>
                <w:b/>
                <w:sz w:val="18"/>
                <w:szCs w:val="18"/>
              </w:rPr>
            </w:pPr>
            <w:r w:rsidRPr="00821AF6">
              <w:rPr>
                <w:rFonts w:cs="Tahoma"/>
                <w:b/>
                <w:sz w:val="18"/>
                <w:szCs w:val="18"/>
              </w:rPr>
              <w:t>Wyszczególnienie</w:t>
            </w:r>
          </w:p>
        </w:tc>
        <w:tc>
          <w:tcPr>
            <w:tcW w:w="709" w:type="dxa"/>
            <w:vMerge w:val="restart"/>
            <w:shd w:val="clear" w:color="auto" w:fill="FFFF99"/>
            <w:vAlign w:val="center"/>
          </w:tcPr>
          <w:p w14:paraId="2F6D17AF" w14:textId="77777777" w:rsidR="000C512A" w:rsidRPr="00821AF6" w:rsidRDefault="000C512A" w:rsidP="00F52332">
            <w:pPr>
              <w:spacing w:before="60" w:after="40" w:line="288" w:lineRule="auto"/>
              <w:ind w:firstLine="29"/>
              <w:jc w:val="center"/>
              <w:rPr>
                <w:rFonts w:cs="Tahoma"/>
                <w:b/>
                <w:sz w:val="18"/>
                <w:szCs w:val="18"/>
              </w:rPr>
            </w:pPr>
            <w:r w:rsidRPr="00821AF6">
              <w:rPr>
                <w:rFonts w:cs="Tahoma"/>
                <w:b/>
                <w:sz w:val="18"/>
                <w:szCs w:val="18"/>
              </w:rPr>
              <w:t>Jedn.</w:t>
            </w:r>
          </w:p>
        </w:tc>
        <w:tc>
          <w:tcPr>
            <w:tcW w:w="7092" w:type="dxa"/>
            <w:gridSpan w:val="10"/>
            <w:shd w:val="clear" w:color="auto" w:fill="FFFF99"/>
            <w:vAlign w:val="center"/>
          </w:tcPr>
          <w:p w14:paraId="07325940" w14:textId="77777777" w:rsidR="000C512A" w:rsidRPr="00821AF6" w:rsidRDefault="000C512A" w:rsidP="00F52332">
            <w:pPr>
              <w:spacing w:before="60" w:after="40" w:line="288" w:lineRule="auto"/>
              <w:ind w:firstLine="0"/>
              <w:jc w:val="center"/>
              <w:rPr>
                <w:rFonts w:cs="Tahoma"/>
                <w:b/>
                <w:sz w:val="18"/>
                <w:szCs w:val="18"/>
              </w:rPr>
            </w:pPr>
            <w:r w:rsidRPr="00821AF6">
              <w:rPr>
                <w:rFonts w:cs="Tahoma"/>
                <w:b/>
                <w:sz w:val="18"/>
                <w:szCs w:val="18"/>
              </w:rPr>
              <w:t>Rok</w:t>
            </w:r>
          </w:p>
        </w:tc>
      </w:tr>
      <w:tr w:rsidR="00362098" w:rsidRPr="00821AF6" w14:paraId="4616CD6D" w14:textId="77777777" w:rsidTr="008F00F1">
        <w:trPr>
          <w:cantSplit/>
          <w:tblHeader/>
          <w:jc w:val="center"/>
        </w:trPr>
        <w:tc>
          <w:tcPr>
            <w:tcW w:w="1271" w:type="dxa"/>
            <w:vMerge/>
            <w:shd w:val="clear" w:color="auto" w:fill="FFFF99"/>
            <w:vAlign w:val="center"/>
          </w:tcPr>
          <w:p w14:paraId="7A53A5FC" w14:textId="77777777" w:rsidR="00362098" w:rsidRPr="00821AF6" w:rsidRDefault="00362098" w:rsidP="00F52332">
            <w:pPr>
              <w:spacing w:before="60" w:after="40" w:line="288" w:lineRule="auto"/>
              <w:ind w:firstLine="0"/>
              <w:jc w:val="center"/>
              <w:rPr>
                <w:rFonts w:cs="Tahoma"/>
                <w:b/>
                <w:sz w:val="18"/>
                <w:szCs w:val="18"/>
              </w:rPr>
            </w:pPr>
          </w:p>
        </w:tc>
        <w:tc>
          <w:tcPr>
            <w:tcW w:w="709" w:type="dxa"/>
            <w:vMerge/>
            <w:shd w:val="clear" w:color="auto" w:fill="FFFF99"/>
            <w:vAlign w:val="center"/>
          </w:tcPr>
          <w:p w14:paraId="7613B263" w14:textId="77777777" w:rsidR="00362098" w:rsidRPr="00821AF6" w:rsidRDefault="00362098" w:rsidP="00F52332">
            <w:pPr>
              <w:spacing w:before="60" w:after="40" w:line="288" w:lineRule="auto"/>
              <w:ind w:firstLine="0"/>
              <w:jc w:val="center"/>
              <w:rPr>
                <w:rFonts w:cs="Tahoma"/>
                <w:b/>
                <w:sz w:val="18"/>
                <w:szCs w:val="18"/>
              </w:rPr>
            </w:pPr>
          </w:p>
        </w:tc>
        <w:tc>
          <w:tcPr>
            <w:tcW w:w="709" w:type="dxa"/>
            <w:shd w:val="clear" w:color="auto" w:fill="FFFF99"/>
            <w:vAlign w:val="center"/>
          </w:tcPr>
          <w:p w14:paraId="6CAF6F88" w14:textId="23252502" w:rsidR="00362098" w:rsidRPr="00821AF6" w:rsidRDefault="004173D6" w:rsidP="00F52332">
            <w:pPr>
              <w:spacing w:before="60" w:after="40" w:line="288" w:lineRule="auto"/>
              <w:ind w:firstLine="0"/>
              <w:jc w:val="center"/>
              <w:rPr>
                <w:rFonts w:cs="Tahoma"/>
                <w:b/>
                <w:sz w:val="18"/>
                <w:szCs w:val="18"/>
              </w:rPr>
            </w:pPr>
            <w:r>
              <w:rPr>
                <w:rFonts w:cs="Tahoma"/>
                <w:b/>
                <w:sz w:val="18"/>
                <w:szCs w:val="18"/>
              </w:rPr>
              <w:t>2011</w:t>
            </w:r>
          </w:p>
        </w:tc>
        <w:tc>
          <w:tcPr>
            <w:tcW w:w="708" w:type="dxa"/>
            <w:shd w:val="clear" w:color="auto" w:fill="FFFF99"/>
            <w:vAlign w:val="center"/>
          </w:tcPr>
          <w:p w14:paraId="2156A015" w14:textId="1EB07C2B" w:rsidR="00362098" w:rsidRPr="00821AF6" w:rsidRDefault="00362098" w:rsidP="00F52332">
            <w:pPr>
              <w:spacing w:before="60" w:after="40" w:line="288" w:lineRule="auto"/>
              <w:ind w:firstLine="0"/>
              <w:jc w:val="center"/>
              <w:rPr>
                <w:rFonts w:cs="Tahoma"/>
                <w:b/>
                <w:sz w:val="18"/>
                <w:szCs w:val="18"/>
              </w:rPr>
            </w:pPr>
            <w:r w:rsidRPr="00821AF6">
              <w:rPr>
                <w:rFonts w:cs="Tahoma"/>
                <w:b/>
                <w:sz w:val="18"/>
                <w:szCs w:val="18"/>
              </w:rPr>
              <w:t>201</w:t>
            </w:r>
            <w:r w:rsidR="004173D6">
              <w:rPr>
                <w:rFonts w:cs="Tahoma"/>
                <w:b/>
                <w:sz w:val="18"/>
                <w:szCs w:val="18"/>
              </w:rPr>
              <w:t>2</w:t>
            </w:r>
          </w:p>
        </w:tc>
        <w:tc>
          <w:tcPr>
            <w:tcW w:w="709" w:type="dxa"/>
            <w:shd w:val="clear" w:color="auto" w:fill="FFFF99"/>
            <w:vAlign w:val="center"/>
          </w:tcPr>
          <w:p w14:paraId="1347F9DB" w14:textId="359CA456" w:rsidR="00362098" w:rsidRPr="00821AF6" w:rsidRDefault="004173D6" w:rsidP="00F52332">
            <w:pPr>
              <w:spacing w:before="60" w:after="40" w:line="288" w:lineRule="auto"/>
              <w:ind w:firstLine="0"/>
              <w:jc w:val="center"/>
              <w:rPr>
                <w:rFonts w:cs="Tahoma"/>
                <w:b/>
                <w:sz w:val="18"/>
                <w:szCs w:val="18"/>
              </w:rPr>
            </w:pPr>
            <w:r>
              <w:rPr>
                <w:rFonts w:cs="Tahoma"/>
                <w:b/>
                <w:sz w:val="18"/>
                <w:szCs w:val="18"/>
              </w:rPr>
              <w:t>2013</w:t>
            </w:r>
          </w:p>
        </w:tc>
        <w:tc>
          <w:tcPr>
            <w:tcW w:w="709" w:type="dxa"/>
            <w:shd w:val="clear" w:color="auto" w:fill="FFFF99"/>
            <w:vAlign w:val="center"/>
          </w:tcPr>
          <w:p w14:paraId="4B491130" w14:textId="5A7D92DB" w:rsidR="00362098" w:rsidRPr="00821AF6" w:rsidRDefault="004173D6" w:rsidP="00F52332">
            <w:pPr>
              <w:spacing w:before="60" w:after="40" w:line="288" w:lineRule="auto"/>
              <w:ind w:firstLine="0"/>
              <w:jc w:val="center"/>
              <w:rPr>
                <w:rFonts w:cs="Tahoma"/>
                <w:b/>
                <w:sz w:val="18"/>
                <w:szCs w:val="18"/>
              </w:rPr>
            </w:pPr>
            <w:r>
              <w:rPr>
                <w:rFonts w:cs="Tahoma"/>
                <w:b/>
                <w:sz w:val="18"/>
                <w:szCs w:val="18"/>
              </w:rPr>
              <w:t>2014</w:t>
            </w:r>
          </w:p>
        </w:tc>
        <w:tc>
          <w:tcPr>
            <w:tcW w:w="709" w:type="dxa"/>
            <w:shd w:val="clear" w:color="auto" w:fill="FFFF99"/>
            <w:vAlign w:val="center"/>
          </w:tcPr>
          <w:p w14:paraId="4D2534FB" w14:textId="75427003" w:rsidR="00362098" w:rsidRPr="00821AF6" w:rsidRDefault="004173D6" w:rsidP="00F52332">
            <w:pPr>
              <w:spacing w:before="60" w:after="40" w:line="288" w:lineRule="auto"/>
              <w:ind w:firstLine="0"/>
              <w:jc w:val="center"/>
              <w:rPr>
                <w:rFonts w:cs="Tahoma"/>
                <w:b/>
                <w:sz w:val="18"/>
                <w:szCs w:val="18"/>
              </w:rPr>
            </w:pPr>
            <w:r>
              <w:rPr>
                <w:rFonts w:cs="Tahoma"/>
                <w:b/>
                <w:sz w:val="18"/>
                <w:szCs w:val="18"/>
              </w:rPr>
              <w:t>2015</w:t>
            </w:r>
          </w:p>
        </w:tc>
        <w:tc>
          <w:tcPr>
            <w:tcW w:w="708" w:type="dxa"/>
            <w:shd w:val="clear" w:color="auto" w:fill="FFFF99"/>
            <w:vAlign w:val="center"/>
          </w:tcPr>
          <w:p w14:paraId="276E5328" w14:textId="1A0F5B34" w:rsidR="00362098" w:rsidRPr="00821AF6" w:rsidRDefault="004173D6" w:rsidP="00F52332">
            <w:pPr>
              <w:spacing w:before="60" w:after="40" w:line="288" w:lineRule="auto"/>
              <w:ind w:firstLine="0"/>
              <w:jc w:val="center"/>
              <w:rPr>
                <w:rFonts w:cs="Tahoma"/>
                <w:b/>
                <w:sz w:val="18"/>
                <w:szCs w:val="18"/>
              </w:rPr>
            </w:pPr>
            <w:r>
              <w:rPr>
                <w:rFonts w:cs="Tahoma"/>
                <w:b/>
                <w:sz w:val="18"/>
                <w:szCs w:val="18"/>
              </w:rPr>
              <w:t>2016</w:t>
            </w:r>
          </w:p>
        </w:tc>
        <w:tc>
          <w:tcPr>
            <w:tcW w:w="709" w:type="dxa"/>
            <w:shd w:val="clear" w:color="auto" w:fill="FFFF99"/>
            <w:vAlign w:val="center"/>
          </w:tcPr>
          <w:p w14:paraId="4E78F46E" w14:textId="32048CB4" w:rsidR="00362098" w:rsidRPr="00821AF6" w:rsidRDefault="004173D6" w:rsidP="00F52332">
            <w:pPr>
              <w:spacing w:before="60" w:after="40" w:line="288" w:lineRule="auto"/>
              <w:ind w:firstLine="0"/>
              <w:jc w:val="center"/>
              <w:rPr>
                <w:rFonts w:cs="Tahoma"/>
                <w:b/>
                <w:sz w:val="18"/>
                <w:szCs w:val="18"/>
              </w:rPr>
            </w:pPr>
            <w:r>
              <w:rPr>
                <w:rFonts w:cs="Tahoma"/>
                <w:b/>
                <w:sz w:val="18"/>
                <w:szCs w:val="18"/>
              </w:rPr>
              <w:t>2017</w:t>
            </w:r>
          </w:p>
        </w:tc>
        <w:tc>
          <w:tcPr>
            <w:tcW w:w="710" w:type="dxa"/>
            <w:shd w:val="clear" w:color="auto" w:fill="FFFF99"/>
            <w:vAlign w:val="center"/>
          </w:tcPr>
          <w:p w14:paraId="30F4E2E5" w14:textId="750FB026" w:rsidR="00362098" w:rsidRPr="00821AF6" w:rsidRDefault="004173D6" w:rsidP="00F52332">
            <w:pPr>
              <w:spacing w:before="60" w:after="40" w:line="288" w:lineRule="auto"/>
              <w:ind w:firstLine="0"/>
              <w:jc w:val="center"/>
              <w:rPr>
                <w:rFonts w:cs="Tahoma"/>
                <w:b/>
                <w:sz w:val="18"/>
                <w:szCs w:val="18"/>
              </w:rPr>
            </w:pPr>
            <w:r>
              <w:rPr>
                <w:rFonts w:cs="Tahoma"/>
                <w:b/>
                <w:sz w:val="18"/>
                <w:szCs w:val="18"/>
              </w:rPr>
              <w:t>2018</w:t>
            </w:r>
          </w:p>
        </w:tc>
        <w:tc>
          <w:tcPr>
            <w:tcW w:w="710" w:type="dxa"/>
            <w:shd w:val="clear" w:color="auto" w:fill="FFFF99"/>
            <w:vAlign w:val="center"/>
          </w:tcPr>
          <w:p w14:paraId="3DB13585" w14:textId="03741046" w:rsidR="00362098" w:rsidRPr="00821AF6" w:rsidRDefault="004173D6" w:rsidP="00F52332">
            <w:pPr>
              <w:spacing w:before="60" w:after="40" w:line="288" w:lineRule="auto"/>
              <w:ind w:firstLine="0"/>
              <w:jc w:val="center"/>
              <w:rPr>
                <w:rFonts w:cs="Tahoma"/>
                <w:b/>
                <w:sz w:val="18"/>
                <w:szCs w:val="18"/>
              </w:rPr>
            </w:pPr>
            <w:r>
              <w:rPr>
                <w:rFonts w:cs="Tahoma"/>
                <w:b/>
                <w:sz w:val="18"/>
                <w:szCs w:val="18"/>
              </w:rPr>
              <w:t>2019</w:t>
            </w:r>
          </w:p>
        </w:tc>
        <w:tc>
          <w:tcPr>
            <w:tcW w:w="711" w:type="dxa"/>
            <w:shd w:val="clear" w:color="auto" w:fill="FFFF99"/>
            <w:vAlign w:val="center"/>
          </w:tcPr>
          <w:p w14:paraId="11460411" w14:textId="39509A18" w:rsidR="00362098" w:rsidRPr="00821AF6" w:rsidRDefault="004173D6" w:rsidP="00F52332">
            <w:pPr>
              <w:spacing w:before="60" w:after="40" w:line="288" w:lineRule="auto"/>
              <w:ind w:firstLine="0"/>
              <w:jc w:val="center"/>
              <w:rPr>
                <w:rFonts w:cs="Tahoma"/>
                <w:b/>
                <w:sz w:val="18"/>
                <w:szCs w:val="18"/>
              </w:rPr>
            </w:pPr>
            <w:r>
              <w:rPr>
                <w:rFonts w:cs="Tahoma"/>
                <w:b/>
                <w:sz w:val="18"/>
                <w:szCs w:val="18"/>
              </w:rPr>
              <w:t>2020</w:t>
            </w:r>
          </w:p>
        </w:tc>
      </w:tr>
      <w:tr w:rsidR="00F52332" w:rsidRPr="00821AF6" w14:paraId="471C26D2" w14:textId="77777777" w:rsidTr="00F52332">
        <w:trPr>
          <w:cantSplit/>
          <w:jc w:val="center"/>
        </w:trPr>
        <w:tc>
          <w:tcPr>
            <w:tcW w:w="9072" w:type="dxa"/>
            <w:gridSpan w:val="12"/>
            <w:shd w:val="clear" w:color="auto" w:fill="C5E0B3" w:themeFill="accent6" w:themeFillTint="66"/>
            <w:vAlign w:val="center"/>
          </w:tcPr>
          <w:p w14:paraId="1D7FB3A9" w14:textId="42102AE8" w:rsidR="00F52332" w:rsidRPr="00F52332" w:rsidRDefault="00F52332" w:rsidP="00F52332">
            <w:pPr>
              <w:spacing w:before="60" w:after="40" w:line="288" w:lineRule="auto"/>
              <w:ind w:firstLine="0"/>
              <w:jc w:val="center"/>
              <w:rPr>
                <w:rFonts w:cs="Tahoma"/>
                <w:b/>
                <w:sz w:val="18"/>
                <w:szCs w:val="18"/>
              </w:rPr>
            </w:pPr>
            <w:r w:rsidRPr="00F52332">
              <w:rPr>
                <w:rFonts w:cs="Tahoma"/>
                <w:b/>
                <w:sz w:val="18"/>
                <w:szCs w:val="18"/>
              </w:rPr>
              <w:t>Miasto Rzeszów</w:t>
            </w:r>
          </w:p>
        </w:tc>
      </w:tr>
      <w:tr w:rsidR="004173D6" w:rsidRPr="00821AF6" w14:paraId="3B13EA6D" w14:textId="77777777" w:rsidTr="008F00F1">
        <w:trPr>
          <w:cantSplit/>
          <w:jc w:val="center"/>
        </w:trPr>
        <w:tc>
          <w:tcPr>
            <w:tcW w:w="1271" w:type="dxa"/>
            <w:vAlign w:val="center"/>
          </w:tcPr>
          <w:p w14:paraId="73D3B2D9" w14:textId="77777777" w:rsidR="004173D6" w:rsidRPr="00821AF6" w:rsidRDefault="004173D6" w:rsidP="00F52332">
            <w:pPr>
              <w:spacing w:before="60" w:after="40" w:line="288" w:lineRule="auto"/>
              <w:ind w:firstLine="0"/>
              <w:jc w:val="left"/>
              <w:rPr>
                <w:rFonts w:cs="Tahoma"/>
                <w:sz w:val="18"/>
                <w:szCs w:val="18"/>
              </w:rPr>
            </w:pPr>
            <w:r w:rsidRPr="00821AF6">
              <w:rPr>
                <w:rFonts w:cs="Tahoma"/>
                <w:sz w:val="18"/>
                <w:szCs w:val="18"/>
              </w:rPr>
              <w:t xml:space="preserve">Liczba </w:t>
            </w:r>
            <w:r w:rsidRPr="00821AF6">
              <w:rPr>
                <w:rFonts w:cs="Tahoma"/>
                <w:sz w:val="18"/>
                <w:szCs w:val="18"/>
              </w:rPr>
              <w:br/>
              <w:t>mieszkańców</w:t>
            </w:r>
          </w:p>
        </w:tc>
        <w:tc>
          <w:tcPr>
            <w:tcW w:w="709" w:type="dxa"/>
            <w:vAlign w:val="center"/>
          </w:tcPr>
          <w:p w14:paraId="1B813063" w14:textId="77777777" w:rsidR="004173D6" w:rsidRPr="00821AF6" w:rsidRDefault="004173D6" w:rsidP="00F52332">
            <w:pPr>
              <w:spacing w:before="60" w:after="40" w:line="288" w:lineRule="auto"/>
              <w:ind w:firstLine="0"/>
              <w:jc w:val="center"/>
              <w:rPr>
                <w:rFonts w:cs="Tahoma"/>
                <w:sz w:val="18"/>
                <w:szCs w:val="18"/>
              </w:rPr>
            </w:pPr>
            <w:r w:rsidRPr="00821AF6">
              <w:rPr>
                <w:rFonts w:cs="Tahoma"/>
                <w:sz w:val="18"/>
                <w:szCs w:val="18"/>
              </w:rPr>
              <w:t>[osób]</w:t>
            </w:r>
          </w:p>
        </w:tc>
        <w:tc>
          <w:tcPr>
            <w:tcW w:w="709" w:type="dxa"/>
            <w:vAlign w:val="center"/>
          </w:tcPr>
          <w:p w14:paraId="4629FBB0" w14:textId="2EB24A5B" w:rsidR="004173D6" w:rsidRPr="00821AF6" w:rsidRDefault="00F52332" w:rsidP="00F52332">
            <w:pPr>
              <w:spacing w:before="60" w:after="40" w:line="288" w:lineRule="auto"/>
              <w:ind w:firstLine="0"/>
              <w:jc w:val="right"/>
              <w:rPr>
                <w:rFonts w:cs="Tahoma"/>
                <w:sz w:val="18"/>
                <w:szCs w:val="18"/>
              </w:rPr>
            </w:pPr>
            <w:r>
              <w:rPr>
                <w:rFonts w:cs="Tahoma"/>
                <w:sz w:val="18"/>
                <w:szCs w:val="18"/>
              </w:rPr>
              <w:t>180031</w:t>
            </w:r>
          </w:p>
        </w:tc>
        <w:tc>
          <w:tcPr>
            <w:tcW w:w="708" w:type="dxa"/>
            <w:vAlign w:val="center"/>
          </w:tcPr>
          <w:p w14:paraId="53A971D8" w14:textId="08DB5280" w:rsidR="004173D6" w:rsidRPr="00821AF6" w:rsidRDefault="00F52332" w:rsidP="00F52332">
            <w:pPr>
              <w:spacing w:before="60" w:after="40" w:line="288" w:lineRule="auto"/>
              <w:ind w:firstLine="0"/>
              <w:jc w:val="right"/>
              <w:rPr>
                <w:rFonts w:cs="Tahoma"/>
                <w:sz w:val="18"/>
                <w:szCs w:val="18"/>
              </w:rPr>
            </w:pPr>
            <w:r>
              <w:rPr>
                <w:rFonts w:cs="Tahoma"/>
                <w:sz w:val="18"/>
                <w:szCs w:val="18"/>
              </w:rPr>
              <w:t>182028</w:t>
            </w:r>
          </w:p>
        </w:tc>
        <w:tc>
          <w:tcPr>
            <w:tcW w:w="709" w:type="dxa"/>
            <w:vAlign w:val="center"/>
          </w:tcPr>
          <w:p w14:paraId="26813C51" w14:textId="60F8B4A1" w:rsidR="004173D6" w:rsidRPr="00821AF6" w:rsidRDefault="00F52332" w:rsidP="00F52332">
            <w:pPr>
              <w:spacing w:before="60" w:after="40" w:line="288" w:lineRule="auto"/>
              <w:ind w:firstLine="0"/>
              <w:jc w:val="right"/>
              <w:rPr>
                <w:rFonts w:cs="Tahoma"/>
                <w:sz w:val="18"/>
                <w:szCs w:val="18"/>
              </w:rPr>
            </w:pPr>
            <w:r>
              <w:rPr>
                <w:rFonts w:cs="Tahoma"/>
                <w:sz w:val="18"/>
                <w:szCs w:val="18"/>
              </w:rPr>
              <w:t>183108</w:t>
            </w:r>
          </w:p>
        </w:tc>
        <w:tc>
          <w:tcPr>
            <w:tcW w:w="709" w:type="dxa"/>
            <w:vAlign w:val="center"/>
          </w:tcPr>
          <w:p w14:paraId="46F3C8E4" w14:textId="4036688E" w:rsidR="004173D6" w:rsidRPr="00821AF6" w:rsidRDefault="00F52332" w:rsidP="00F52332">
            <w:pPr>
              <w:spacing w:before="60" w:after="40" w:line="288" w:lineRule="auto"/>
              <w:ind w:firstLine="0"/>
              <w:jc w:val="right"/>
              <w:rPr>
                <w:rFonts w:cs="Tahoma"/>
                <w:sz w:val="18"/>
                <w:szCs w:val="18"/>
              </w:rPr>
            </w:pPr>
            <w:r>
              <w:rPr>
                <w:rFonts w:cs="Tahoma"/>
                <w:sz w:val="18"/>
                <w:szCs w:val="18"/>
              </w:rPr>
              <w:t>185123</w:t>
            </w:r>
          </w:p>
        </w:tc>
        <w:tc>
          <w:tcPr>
            <w:tcW w:w="709" w:type="dxa"/>
            <w:vAlign w:val="center"/>
          </w:tcPr>
          <w:p w14:paraId="116EA806" w14:textId="0255EC80" w:rsidR="004173D6" w:rsidRPr="00821AF6" w:rsidRDefault="00F52332" w:rsidP="00F52332">
            <w:pPr>
              <w:spacing w:before="60" w:after="40" w:line="288" w:lineRule="auto"/>
              <w:ind w:firstLine="0"/>
              <w:jc w:val="right"/>
              <w:rPr>
                <w:rFonts w:cs="Tahoma"/>
                <w:sz w:val="18"/>
                <w:szCs w:val="18"/>
              </w:rPr>
            </w:pPr>
            <w:r>
              <w:rPr>
                <w:rFonts w:cs="Tahoma"/>
                <w:sz w:val="18"/>
                <w:szCs w:val="18"/>
              </w:rPr>
              <w:t>185896</w:t>
            </w:r>
          </w:p>
        </w:tc>
        <w:tc>
          <w:tcPr>
            <w:tcW w:w="708" w:type="dxa"/>
            <w:vAlign w:val="center"/>
          </w:tcPr>
          <w:p w14:paraId="5D30B5CF" w14:textId="355EA6F8" w:rsidR="004173D6" w:rsidRPr="00821AF6" w:rsidRDefault="00F52332" w:rsidP="00F52332">
            <w:pPr>
              <w:spacing w:before="60" w:after="40" w:line="288" w:lineRule="auto"/>
              <w:ind w:firstLine="0"/>
              <w:jc w:val="right"/>
              <w:rPr>
                <w:rFonts w:cs="Tahoma"/>
                <w:sz w:val="18"/>
                <w:szCs w:val="18"/>
              </w:rPr>
            </w:pPr>
            <w:r>
              <w:rPr>
                <w:rFonts w:cs="Tahoma"/>
                <w:sz w:val="18"/>
                <w:szCs w:val="18"/>
              </w:rPr>
              <w:t>187422</w:t>
            </w:r>
          </w:p>
        </w:tc>
        <w:tc>
          <w:tcPr>
            <w:tcW w:w="709" w:type="dxa"/>
            <w:vAlign w:val="center"/>
          </w:tcPr>
          <w:p w14:paraId="30BBB8EA" w14:textId="0B3841FB" w:rsidR="004173D6" w:rsidRPr="00821AF6" w:rsidRDefault="00F52332" w:rsidP="00F52332">
            <w:pPr>
              <w:spacing w:before="60" w:after="40" w:line="288" w:lineRule="auto"/>
              <w:ind w:firstLine="0"/>
              <w:jc w:val="right"/>
              <w:rPr>
                <w:rFonts w:cs="Tahoma"/>
                <w:sz w:val="18"/>
                <w:szCs w:val="18"/>
              </w:rPr>
            </w:pPr>
            <w:r>
              <w:rPr>
                <w:rFonts w:cs="Tahoma"/>
                <w:sz w:val="18"/>
                <w:szCs w:val="18"/>
              </w:rPr>
              <w:t>189662</w:t>
            </w:r>
          </w:p>
        </w:tc>
        <w:tc>
          <w:tcPr>
            <w:tcW w:w="710" w:type="dxa"/>
            <w:vAlign w:val="center"/>
          </w:tcPr>
          <w:p w14:paraId="7199E60D" w14:textId="0847E20D" w:rsidR="004173D6" w:rsidRPr="00821AF6" w:rsidRDefault="00F52332" w:rsidP="00F52332">
            <w:pPr>
              <w:spacing w:before="60" w:after="40" w:line="288" w:lineRule="auto"/>
              <w:ind w:firstLine="0"/>
              <w:jc w:val="right"/>
              <w:rPr>
                <w:rFonts w:cs="Tahoma"/>
                <w:sz w:val="18"/>
                <w:szCs w:val="18"/>
              </w:rPr>
            </w:pPr>
            <w:r>
              <w:rPr>
                <w:rFonts w:cs="Tahoma"/>
                <w:sz w:val="18"/>
                <w:szCs w:val="18"/>
              </w:rPr>
              <w:t>191564</w:t>
            </w:r>
          </w:p>
        </w:tc>
        <w:tc>
          <w:tcPr>
            <w:tcW w:w="710" w:type="dxa"/>
            <w:vAlign w:val="center"/>
          </w:tcPr>
          <w:p w14:paraId="381B7BFB" w14:textId="48B7B21D" w:rsidR="004173D6" w:rsidRPr="00821AF6" w:rsidRDefault="00F52332" w:rsidP="00F52332">
            <w:pPr>
              <w:spacing w:before="60" w:after="40" w:line="288" w:lineRule="auto"/>
              <w:ind w:firstLine="0"/>
              <w:jc w:val="right"/>
              <w:rPr>
                <w:rFonts w:cs="Tahoma"/>
                <w:sz w:val="18"/>
                <w:szCs w:val="18"/>
              </w:rPr>
            </w:pPr>
            <w:r>
              <w:rPr>
                <w:rFonts w:cs="Tahoma"/>
                <w:sz w:val="18"/>
                <w:szCs w:val="18"/>
              </w:rPr>
              <w:t>196208</w:t>
            </w:r>
          </w:p>
        </w:tc>
        <w:tc>
          <w:tcPr>
            <w:tcW w:w="711" w:type="dxa"/>
            <w:vAlign w:val="center"/>
          </w:tcPr>
          <w:p w14:paraId="2CB1C65F" w14:textId="4A38CE83" w:rsidR="004173D6" w:rsidRPr="00821AF6" w:rsidRDefault="00F52332" w:rsidP="00F52332">
            <w:pPr>
              <w:spacing w:before="60" w:after="40" w:line="288" w:lineRule="auto"/>
              <w:ind w:firstLine="0"/>
              <w:jc w:val="right"/>
              <w:rPr>
                <w:rFonts w:cs="Tahoma"/>
                <w:sz w:val="18"/>
                <w:szCs w:val="18"/>
              </w:rPr>
            </w:pPr>
            <w:r>
              <w:rPr>
                <w:rFonts w:cs="Tahoma"/>
                <w:sz w:val="18"/>
                <w:szCs w:val="18"/>
              </w:rPr>
              <w:t>196638</w:t>
            </w:r>
          </w:p>
        </w:tc>
      </w:tr>
      <w:tr w:rsidR="00F52332" w:rsidRPr="00821AF6" w14:paraId="35BE3496" w14:textId="77777777" w:rsidTr="00F52332">
        <w:trPr>
          <w:cantSplit/>
          <w:jc w:val="center"/>
        </w:trPr>
        <w:tc>
          <w:tcPr>
            <w:tcW w:w="1271" w:type="dxa"/>
            <w:vAlign w:val="center"/>
          </w:tcPr>
          <w:p w14:paraId="06152F1E" w14:textId="77777777" w:rsidR="00F52332" w:rsidRPr="00821AF6" w:rsidRDefault="00F52332" w:rsidP="00F52332">
            <w:pPr>
              <w:spacing w:before="60" w:after="40" w:line="288" w:lineRule="auto"/>
              <w:ind w:firstLine="0"/>
              <w:jc w:val="left"/>
              <w:rPr>
                <w:rFonts w:cs="Tahoma"/>
                <w:sz w:val="18"/>
                <w:szCs w:val="18"/>
              </w:rPr>
            </w:pPr>
            <w:r w:rsidRPr="00821AF6">
              <w:rPr>
                <w:rFonts w:cs="Tahoma"/>
                <w:sz w:val="18"/>
                <w:szCs w:val="18"/>
              </w:rPr>
              <w:t>Powierzchnia</w:t>
            </w:r>
            <w:r w:rsidRPr="00821AF6">
              <w:rPr>
                <w:rFonts w:cs="Tahoma"/>
                <w:sz w:val="18"/>
                <w:szCs w:val="18"/>
              </w:rPr>
              <w:br/>
              <w:t>ogółem</w:t>
            </w:r>
          </w:p>
        </w:tc>
        <w:tc>
          <w:tcPr>
            <w:tcW w:w="709" w:type="dxa"/>
            <w:vAlign w:val="center"/>
          </w:tcPr>
          <w:p w14:paraId="75BD4B5E" w14:textId="77777777" w:rsidR="00F52332" w:rsidRPr="00821AF6" w:rsidRDefault="00F52332" w:rsidP="00F52332">
            <w:pPr>
              <w:spacing w:before="60" w:after="40" w:line="288" w:lineRule="auto"/>
              <w:ind w:firstLine="0"/>
              <w:jc w:val="center"/>
              <w:rPr>
                <w:rFonts w:cs="Tahoma"/>
                <w:sz w:val="18"/>
                <w:szCs w:val="18"/>
              </w:rPr>
            </w:pPr>
            <w:r w:rsidRPr="00821AF6">
              <w:rPr>
                <w:rFonts w:cs="Tahoma"/>
                <w:sz w:val="18"/>
                <w:szCs w:val="18"/>
              </w:rPr>
              <w:t>[ha]</w:t>
            </w:r>
          </w:p>
        </w:tc>
        <w:tc>
          <w:tcPr>
            <w:tcW w:w="709" w:type="dxa"/>
            <w:vAlign w:val="center"/>
          </w:tcPr>
          <w:p w14:paraId="7A013B33" w14:textId="0057587A" w:rsidR="00F52332" w:rsidRPr="00821AF6" w:rsidRDefault="00F52332" w:rsidP="00F52332">
            <w:pPr>
              <w:spacing w:before="60" w:after="40" w:line="288" w:lineRule="auto"/>
              <w:ind w:firstLine="0"/>
              <w:jc w:val="right"/>
              <w:rPr>
                <w:rFonts w:cs="Tahoma"/>
                <w:sz w:val="18"/>
                <w:szCs w:val="18"/>
              </w:rPr>
            </w:pPr>
            <w:r>
              <w:rPr>
                <w:rFonts w:cs="Tahoma"/>
                <w:sz w:val="18"/>
                <w:szCs w:val="18"/>
              </w:rPr>
              <w:t>11 363</w:t>
            </w:r>
          </w:p>
        </w:tc>
        <w:tc>
          <w:tcPr>
            <w:tcW w:w="708" w:type="dxa"/>
            <w:vAlign w:val="center"/>
          </w:tcPr>
          <w:p w14:paraId="1C48FCA7" w14:textId="4D949ADE" w:rsidR="00F52332" w:rsidRPr="00821AF6" w:rsidRDefault="00F52332" w:rsidP="00F52332">
            <w:pPr>
              <w:spacing w:before="60" w:after="40" w:line="288" w:lineRule="auto"/>
              <w:ind w:firstLine="0"/>
              <w:jc w:val="right"/>
              <w:rPr>
                <w:rFonts w:cs="Tahoma"/>
                <w:sz w:val="18"/>
                <w:szCs w:val="18"/>
              </w:rPr>
            </w:pPr>
            <w:r w:rsidRPr="0029158F">
              <w:rPr>
                <w:rFonts w:cs="Tahoma"/>
                <w:sz w:val="18"/>
                <w:szCs w:val="18"/>
              </w:rPr>
              <w:t>11 363</w:t>
            </w:r>
          </w:p>
        </w:tc>
        <w:tc>
          <w:tcPr>
            <w:tcW w:w="709" w:type="dxa"/>
            <w:vAlign w:val="center"/>
          </w:tcPr>
          <w:p w14:paraId="37116683" w14:textId="59061D86" w:rsidR="00F52332" w:rsidRPr="00821AF6" w:rsidRDefault="00F52332" w:rsidP="00F52332">
            <w:pPr>
              <w:spacing w:before="60" w:after="40" w:line="288" w:lineRule="auto"/>
              <w:ind w:firstLine="0"/>
              <w:jc w:val="right"/>
              <w:rPr>
                <w:rFonts w:cs="Tahoma"/>
                <w:sz w:val="18"/>
                <w:szCs w:val="18"/>
              </w:rPr>
            </w:pPr>
            <w:r w:rsidRPr="0029158F">
              <w:rPr>
                <w:rFonts w:cs="Tahoma"/>
                <w:sz w:val="18"/>
                <w:szCs w:val="18"/>
              </w:rPr>
              <w:t>11 363</w:t>
            </w:r>
          </w:p>
        </w:tc>
        <w:tc>
          <w:tcPr>
            <w:tcW w:w="709" w:type="dxa"/>
            <w:vAlign w:val="center"/>
          </w:tcPr>
          <w:p w14:paraId="3196933F" w14:textId="5AA78694" w:rsidR="00F52332" w:rsidRPr="00821AF6" w:rsidRDefault="00F52332" w:rsidP="00F52332">
            <w:pPr>
              <w:spacing w:before="60" w:after="40" w:line="288" w:lineRule="auto"/>
              <w:ind w:firstLine="0"/>
              <w:jc w:val="right"/>
              <w:rPr>
                <w:rFonts w:cs="Tahoma"/>
                <w:sz w:val="18"/>
                <w:szCs w:val="18"/>
              </w:rPr>
            </w:pPr>
            <w:r w:rsidRPr="0029158F">
              <w:rPr>
                <w:rFonts w:cs="Tahoma"/>
                <w:sz w:val="18"/>
                <w:szCs w:val="18"/>
              </w:rPr>
              <w:t>11 363</w:t>
            </w:r>
          </w:p>
        </w:tc>
        <w:tc>
          <w:tcPr>
            <w:tcW w:w="709" w:type="dxa"/>
            <w:vAlign w:val="center"/>
          </w:tcPr>
          <w:p w14:paraId="789BA1B0" w14:textId="67E2C0FE" w:rsidR="00F52332" w:rsidRPr="00821AF6" w:rsidRDefault="00F52332" w:rsidP="00F52332">
            <w:pPr>
              <w:spacing w:before="60" w:after="40" w:line="288" w:lineRule="auto"/>
              <w:ind w:firstLine="0"/>
              <w:jc w:val="right"/>
              <w:rPr>
                <w:rFonts w:cs="Tahoma"/>
                <w:sz w:val="18"/>
                <w:szCs w:val="18"/>
              </w:rPr>
            </w:pPr>
            <w:r w:rsidRPr="0029158F">
              <w:rPr>
                <w:rFonts w:cs="Tahoma"/>
                <w:sz w:val="18"/>
                <w:szCs w:val="18"/>
              </w:rPr>
              <w:t>11 363</w:t>
            </w:r>
          </w:p>
        </w:tc>
        <w:tc>
          <w:tcPr>
            <w:tcW w:w="708" w:type="dxa"/>
            <w:vAlign w:val="center"/>
          </w:tcPr>
          <w:p w14:paraId="0596D9EC" w14:textId="0112B954" w:rsidR="00F52332" w:rsidRPr="00821AF6" w:rsidRDefault="00F52332" w:rsidP="00F52332">
            <w:pPr>
              <w:spacing w:before="60" w:after="40" w:line="288" w:lineRule="auto"/>
              <w:ind w:firstLine="0"/>
              <w:jc w:val="right"/>
              <w:rPr>
                <w:rFonts w:cs="Tahoma"/>
                <w:sz w:val="18"/>
                <w:szCs w:val="18"/>
              </w:rPr>
            </w:pPr>
            <w:r w:rsidRPr="0029158F">
              <w:rPr>
                <w:rFonts w:cs="Tahoma"/>
                <w:sz w:val="18"/>
                <w:szCs w:val="18"/>
              </w:rPr>
              <w:t>11 363</w:t>
            </w:r>
          </w:p>
        </w:tc>
        <w:tc>
          <w:tcPr>
            <w:tcW w:w="709" w:type="dxa"/>
            <w:vAlign w:val="center"/>
          </w:tcPr>
          <w:p w14:paraId="0732E551" w14:textId="465C71F4" w:rsidR="00F52332" w:rsidRPr="00821AF6" w:rsidRDefault="00F52332" w:rsidP="00F52332">
            <w:pPr>
              <w:spacing w:before="60" w:after="40" w:line="288" w:lineRule="auto"/>
              <w:ind w:firstLine="0"/>
              <w:jc w:val="right"/>
              <w:rPr>
                <w:rFonts w:cs="Tahoma"/>
                <w:sz w:val="18"/>
                <w:szCs w:val="18"/>
              </w:rPr>
            </w:pPr>
            <w:r>
              <w:rPr>
                <w:rFonts w:cs="Tahoma"/>
                <w:sz w:val="18"/>
                <w:szCs w:val="18"/>
              </w:rPr>
              <w:t>12 041</w:t>
            </w:r>
          </w:p>
        </w:tc>
        <w:tc>
          <w:tcPr>
            <w:tcW w:w="710" w:type="dxa"/>
            <w:vAlign w:val="center"/>
          </w:tcPr>
          <w:p w14:paraId="6370E81A" w14:textId="638C7E73" w:rsidR="00F52332" w:rsidRPr="00821AF6" w:rsidRDefault="00F52332" w:rsidP="00F52332">
            <w:pPr>
              <w:spacing w:before="60" w:after="40" w:line="288" w:lineRule="auto"/>
              <w:ind w:firstLine="0"/>
              <w:jc w:val="right"/>
              <w:rPr>
                <w:rFonts w:cs="Tahoma"/>
                <w:sz w:val="18"/>
                <w:szCs w:val="18"/>
              </w:rPr>
            </w:pPr>
            <w:r>
              <w:rPr>
                <w:rFonts w:cs="Tahoma"/>
                <w:sz w:val="18"/>
                <w:szCs w:val="18"/>
              </w:rPr>
              <w:t>12 041</w:t>
            </w:r>
          </w:p>
        </w:tc>
        <w:tc>
          <w:tcPr>
            <w:tcW w:w="710" w:type="dxa"/>
            <w:vAlign w:val="center"/>
          </w:tcPr>
          <w:p w14:paraId="7D850F13" w14:textId="1FDBDACB" w:rsidR="00F52332" w:rsidRPr="00821AF6" w:rsidRDefault="00F52332" w:rsidP="00F52332">
            <w:pPr>
              <w:spacing w:before="60" w:after="40" w:line="288" w:lineRule="auto"/>
              <w:ind w:firstLine="0"/>
              <w:jc w:val="right"/>
              <w:rPr>
                <w:rFonts w:cs="Tahoma"/>
                <w:sz w:val="18"/>
                <w:szCs w:val="18"/>
              </w:rPr>
            </w:pPr>
            <w:r>
              <w:rPr>
                <w:rFonts w:cs="Tahoma"/>
                <w:sz w:val="18"/>
                <w:szCs w:val="18"/>
              </w:rPr>
              <w:t>12 661</w:t>
            </w:r>
          </w:p>
        </w:tc>
        <w:tc>
          <w:tcPr>
            <w:tcW w:w="711" w:type="dxa"/>
            <w:vAlign w:val="center"/>
          </w:tcPr>
          <w:p w14:paraId="4693F8D7" w14:textId="50656F7E" w:rsidR="00F52332" w:rsidRPr="00821AF6" w:rsidRDefault="00F52332" w:rsidP="00F52332">
            <w:pPr>
              <w:spacing w:before="60" w:after="40" w:line="288" w:lineRule="auto"/>
              <w:ind w:firstLine="0"/>
              <w:jc w:val="right"/>
              <w:rPr>
                <w:rFonts w:cs="Tahoma"/>
                <w:sz w:val="18"/>
                <w:szCs w:val="18"/>
              </w:rPr>
            </w:pPr>
            <w:r>
              <w:rPr>
                <w:rFonts w:cs="Tahoma"/>
                <w:sz w:val="18"/>
                <w:szCs w:val="18"/>
              </w:rPr>
              <w:t>12 661</w:t>
            </w:r>
          </w:p>
        </w:tc>
      </w:tr>
      <w:tr w:rsidR="004173D6" w:rsidRPr="00821AF6" w14:paraId="179F5462" w14:textId="77777777" w:rsidTr="008F00F1">
        <w:trPr>
          <w:cantSplit/>
          <w:jc w:val="center"/>
        </w:trPr>
        <w:tc>
          <w:tcPr>
            <w:tcW w:w="1271" w:type="dxa"/>
            <w:vAlign w:val="center"/>
          </w:tcPr>
          <w:p w14:paraId="5CF42838" w14:textId="41AF010C" w:rsidR="004173D6" w:rsidRPr="00821AF6" w:rsidRDefault="004173D6" w:rsidP="00F52332">
            <w:pPr>
              <w:spacing w:before="60" w:after="40" w:line="288" w:lineRule="auto"/>
              <w:ind w:firstLine="0"/>
              <w:jc w:val="left"/>
              <w:rPr>
                <w:rFonts w:cs="Tahoma"/>
                <w:sz w:val="18"/>
                <w:szCs w:val="18"/>
              </w:rPr>
            </w:pPr>
            <w:r w:rsidRPr="00821AF6">
              <w:rPr>
                <w:rFonts w:cs="Tahoma"/>
                <w:sz w:val="18"/>
                <w:szCs w:val="18"/>
              </w:rPr>
              <w:t>Gęstość</w:t>
            </w:r>
            <w:r w:rsidRPr="00821AF6">
              <w:rPr>
                <w:rFonts w:cs="Tahoma"/>
                <w:sz w:val="18"/>
                <w:szCs w:val="18"/>
              </w:rPr>
              <w:br/>
              <w:t>zaludnienia</w:t>
            </w:r>
          </w:p>
        </w:tc>
        <w:tc>
          <w:tcPr>
            <w:tcW w:w="709" w:type="dxa"/>
            <w:vAlign w:val="center"/>
          </w:tcPr>
          <w:p w14:paraId="1DB7E25C" w14:textId="77777777" w:rsidR="004173D6" w:rsidRPr="00821AF6" w:rsidRDefault="004173D6" w:rsidP="00F52332">
            <w:pPr>
              <w:spacing w:before="60" w:after="40" w:line="288" w:lineRule="auto"/>
              <w:ind w:firstLine="0"/>
              <w:jc w:val="center"/>
              <w:rPr>
                <w:rFonts w:cs="Tahoma"/>
                <w:sz w:val="18"/>
                <w:szCs w:val="18"/>
              </w:rPr>
            </w:pPr>
            <w:r w:rsidRPr="00821AF6">
              <w:rPr>
                <w:rFonts w:cs="Tahoma"/>
                <w:sz w:val="18"/>
                <w:szCs w:val="18"/>
              </w:rPr>
              <w:t>[osób/ km</w:t>
            </w:r>
            <w:r w:rsidRPr="00821AF6">
              <w:rPr>
                <w:rFonts w:cs="Tahoma"/>
                <w:sz w:val="18"/>
                <w:szCs w:val="18"/>
                <w:vertAlign w:val="superscript"/>
              </w:rPr>
              <w:t>2</w:t>
            </w:r>
            <w:r w:rsidRPr="00821AF6">
              <w:rPr>
                <w:rFonts w:cs="Tahoma"/>
                <w:sz w:val="18"/>
                <w:szCs w:val="18"/>
              </w:rPr>
              <w:t>]</w:t>
            </w:r>
          </w:p>
        </w:tc>
        <w:tc>
          <w:tcPr>
            <w:tcW w:w="709" w:type="dxa"/>
            <w:vAlign w:val="center"/>
          </w:tcPr>
          <w:p w14:paraId="32739A1F" w14:textId="62BFEA4D" w:rsidR="004173D6" w:rsidRPr="00821AF6" w:rsidRDefault="00F52332" w:rsidP="00F52332">
            <w:pPr>
              <w:spacing w:before="60" w:after="40" w:line="288" w:lineRule="auto"/>
              <w:ind w:firstLine="0"/>
              <w:jc w:val="right"/>
              <w:rPr>
                <w:rFonts w:cs="Tahoma"/>
                <w:sz w:val="18"/>
                <w:szCs w:val="18"/>
              </w:rPr>
            </w:pPr>
            <w:r>
              <w:rPr>
                <w:rFonts w:cs="Tahoma"/>
                <w:sz w:val="18"/>
                <w:szCs w:val="18"/>
              </w:rPr>
              <w:t>1547</w:t>
            </w:r>
          </w:p>
        </w:tc>
        <w:tc>
          <w:tcPr>
            <w:tcW w:w="708" w:type="dxa"/>
            <w:vAlign w:val="center"/>
          </w:tcPr>
          <w:p w14:paraId="17EC61AB" w14:textId="778C7F95" w:rsidR="004173D6" w:rsidRPr="00821AF6" w:rsidRDefault="00F52332" w:rsidP="00F52332">
            <w:pPr>
              <w:spacing w:before="60" w:after="40" w:line="288" w:lineRule="auto"/>
              <w:ind w:firstLine="0"/>
              <w:jc w:val="right"/>
              <w:rPr>
                <w:rFonts w:cs="Tahoma"/>
                <w:sz w:val="18"/>
                <w:szCs w:val="18"/>
              </w:rPr>
            </w:pPr>
            <w:r>
              <w:rPr>
                <w:rFonts w:cs="Tahoma"/>
                <w:sz w:val="18"/>
                <w:szCs w:val="18"/>
              </w:rPr>
              <w:t>1565</w:t>
            </w:r>
          </w:p>
        </w:tc>
        <w:tc>
          <w:tcPr>
            <w:tcW w:w="709" w:type="dxa"/>
            <w:vAlign w:val="center"/>
          </w:tcPr>
          <w:p w14:paraId="626B9EC2" w14:textId="640781BF" w:rsidR="004173D6" w:rsidRPr="00821AF6" w:rsidRDefault="00F52332" w:rsidP="00F52332">
            <w:pPr>
              <w:spacing w:before="60" w:after="40" w:line="288" w:lineRule="auto"/>
              <w:ind w:firstLine="0"/>
              <w:jc w:val="right"/>
              <w:rPr>
                <w:rFonts w:cs="Tahoma"/>
                <w:sz w:val="18"/>
                <w:szCs w:val="18"/>
              </w:rPr>
            </w:pPr>
            <w:r>
              <w:rPr>
                <w:rFonts w:cs="Tahoma"/>
                <w:sz w:val="18"/>
                <w:szCs w:val="18"/>
              </w:rPr>
              <w:t>1574</w:t>
            </w:r>
          </w:p>
        </w:tc>
        <w:tc>
          <w:tcPr>
            <w:tcW w:w="709" w:type="dxa"/>
            <w:vAlign w:val="center"/>
          </w:tcPr>
          <w:p w14:paraId="55B656CF" w14:textId="0F0957BA" w:rsidR="004173D6" w:rsidRPr="00821AF6" w:rsidRDefault="00F52332" w:rsidP="00F52332">
            <w:pPr>
              <w:spacing w:before="60" w:after="40" w:line="288" w:lineRule="auto"/>
              <w:ind w:firstLine="0"/>
              <w:jc w:val="right"/>
              <w:rPr>
                <w:rFonts w:cs="Tahoma"/>
                <w:sz w:val="18"/>
                <w:szCs w:val="18"/>
              </w:rPr>
            </w:pPr>
            <w:r>
              <w:rPr>
                <w:rFonts w:cs="Tahoma"/>
                <w:sz w:val="18"/>
                <w:szCs w:val="18"/>
              </w:rPr>
              <w:t>1591</w:t>
            </w:r>
          </w:p>
        </w:tc>
        <w:tc>
          <w:tcPr>
            <w:tcW w:w="709" w:type="dxa"/>
            <w:vAlign w:val="center"/>
          </w:tcPr>
          <w:p w14:paraId="4F2D3756" w14:textId="74773E27" w:rsidR="004173D6" w:rsidRPr="00821AF6" w:rsidRDefault="00F52332" w:rsidP="00F52332">
            <w:pPr>
              <w:spacing w:before="60" w:after="40" w:line="288" w:lineRule="auto"/>
              <w:ind w:firstLine="0"/>
              <w:jc w:val="right"/>
              <w:rPr>
                <w:rFonts w:cs="Tahoma"/>
                <w:sz w:val="18"/>
                <w:szCs w:val="18"/>
              </w:rPr>
            </w:pPr>
            <w:r>
              <w:rPr>
                <w:rFonts w:cs="Tahoma"/>
                <w:sz w:val="18"/>
                <w:szCs w:val="18"/>
              </w:rPr>
              <w:t>1598</w:t>
            </w:r>
          </w:p>
        </w:tc>
        <w:tc>
          <w:tcPr>
            <w:tcW w:w="708" w:type="dxa"/>
            <w:vAlign w:val="center"/>
          </w:tcPr>
          <w:p w14:paraId="14B0CCEA" w14:textId="1D98583B" w:rsidR="004173D6" w:rsidRPr="00821AF6" w:rsidRDefault="00F52332" w:rsidP="00F52332">
            <w:pPr>
              <w:spacing w:before="60" w:after="40" w:line="288" w:lineRule="auto"/>
              <w:ind w:firstLine="0"/>
              <w:jc w:val="right"/>
              <w:rPr>
                <w:rFonts w:cs="Tahoma"/>
                <w:sz w:val="18"/>
                <w:szCs w:val="18"/>
              </w:rPr>
            </w:pPr>
            <w:r>
              <w:rPr>
                <w:rFonts w:cs="Tahoma"/>
                <w:sz w:val="18"/>
                <w:szCs w:val="18"/>
              </w:rPr>
              <w:t>1611</w:t>
            </w:r>
          </w:p>
        </w:tc>
        <w:tc>
          <w:tcPr>
            <w:tcW w:w="709" w:type="dxa"/>
            <w:vAlign w:val="center"/>
          </w:tcPr>
          <w:p w14:paraId="5DB1EB59" w14:textId="787D7EDC" w:rsidR="004173D6" w:rsidRPr="00821AF6" w:rsidRDefault="00F52332" w:rsidP="00F52332">
            <w:pPr>
              <w:spacing w:before="60" w:after="40" w:line="288" w:lineRule="auto"/>
              <w:ind w:firstLine="0"/>
              <w:jc w:val="right"/>
              <w:rPr>
                <w:rFonts w:cs="Tahoma"/>
                <w:sz w:val="18"/>
                <w:szCs w:val="18"/>
              </w:rPr>
            </w:pPr>
            <w:r>
              <w:rPr>
                <w:rFonts w:cs="Tahoma"/>
                <w:sz w:val="18"/>
                <w:szCs w:val="18"/>
              </w:rPr>
              <w:t>1575</w:t>
            </w:r>
          </w:p>
        </w:tc>
        <w:tc>
          <w:tcPr>
            <w:tcW w:w="710" w:type="dxa"/>
            <w:vAlign w:val="center"/>
          </w:tcPr>
          <w:p w14:paraId="09AADD20" w14:textId="0178BD4E" w:rsidR="004173D6" w:rsidRPr="00821AF6" w:rsidRDefault="00F52332" w:rsidP="00F52332">
            <w:pPr>
              <w:spacing w:before="60" w:after="40" w:line="288" w:lineRule="auto"/>
              <w:ind w:firstLine="0"/>
              <w:jc w:val="right"/>
              <w:rPr>
                <w:rFonts w:cs="Tahoma"/>
                <w:sz w:val="18"/>
                <w:szCs w:val="18"/>
              </w:rPr>
            </w:pPr>
            <w:r>
              <w:rPr>
                <w:rFonts w:cs="Tahoma"/>
                <w:sz w:val="18"/>
                <w:szCs w:val="18"/>
              </w:rPr>
              <w:t>1591</w:t>
            </w:r>
          </w:p>
        </w:tc>
        <w:tc>
          <w:tcPr>
            <w:tcW w:w="710" w:type="dxa"/>
            <w:vAlign w:val="center"/>
          </w:tcPr>
          <w:p w14:paraId="7AF1BE5B" w14:textId="100304B9" w:rsidR="004173D6" w:rsidRPr="00821AF6" w:rsidRDefault="00F52332" w:rsidP="00F52332">
            <w:pPr>
              <w:spacing w:before="60" w:after="40" w:line="288" w:lineRule="auto"/>
              <w:ind w:firstLine="0"/>
              <w:jc w:val="right"/>
              <w:rPr>
                <w:rFonts w:cs="Tahoma"/>
                <w:sz w:val="18"/>
                <w:szCs w:val="18"/>
              </w:rPr>
            </w:pPr>
            <w:r>
              <w:rPr>
                <w:rFonts w:cs="Tahoma"/>
                <w:sz w:val="18"/>
                <w:szCs w:val="18"/>
              </w:rPr>
              <w:t>1548</w:t>
            </w:r>
          </w:p>
        </w:tc>
        <w:tc>
          <w:tcPr>
            <w:tcW w:w="711" w:type="dxa"/>
            <w:vAlign w:val="center"/>
          </w:tcPr>
          <w:p w14:paraId="0D9E93F8" w14:textId="5ED8E733" w:rsidR="004173D6" w:rsidRPr="00821AF6" w:rsidRDefault="00F52332" w:rsidP="00F52332">
            <w:pPr>
              <w:spacing w:before="60" w:after="40" w:line="288" w:lineRule="auto"/>
              <w:ind w:firstLine="0"/>
              <w:jc w:val="right"/>
              <w:rPr>
                <w:rFonts w:cs="Tahoma"/>
                <w:sz w:val="18"/>
                <w:szCs w:val="18"/>
              </w:rPr>
            </w:pPr>
            <w:r>
              <w:rPr>
                <w:rFonts w:cs="Tahoma"/>
                <w:sz w:val="18"/>
                <w:szCs w:val="18"/>
              </w:rPr>
              <w:t>1553</w:t>
            </w:r>
          </w:p>
        </w:tc>
      </w:tr>
      <w:tr w:rsidR="00F52332" w:rsidRPr="00821AF6" w14:paraId="58701B3D" w14:textId="77777777" w:rsidTr="00F52332">
        <w:trPr>
          <w:cantSplit/>
          <w:jc w:val="center"/>
        </w:trPr>
        <w:tc>
          <w:tcPr>
            <w:tcW w:w="9072" w:type="dxa"/>
            <w:gridSpan w:val="12"/>
            <w:shd w:val="clear" w:color="auto" w:fill="BDD6EE" w:themeFill="accent1" w:themeFillTint="66"/>
            <w:vAlign w:val="center"/>
          </w:tcPr>
          <w:p w14:paraId="05ACFCEF" w14:textId="2853B778" w:rsidR="00F52332" w:rsidRPr="00F52332" w:rsidRDefault="00F52332" w:rsidP="00712355">
            <w:pPr>
              <w:spacing w:before="60" w:after="40" w:line="288" w:lineRule="auto"/>
              <w:ind w:firstLine="0"/>
              <w:jc w:val="center"/>
              <w:rPr>
                <w:rFonts w:cs="Tahoma"/>
                <w:b/>
                <w:sz w:val="18"/>
                <w:szCs w:val="18"/>
              </w:rPr>
            </w:pPr>
            <w:r>
              <w:rPr>
                <w:rFonts w:cs="Tahoma"/>
                <w:b/>
                <w:sz w:val="18"/>
                <w:szCs w:val="18"/>
              </w:rPr>
              <w:t>Obszar obsługiwany rzeszowską komunikacją miejską</w:t>
            </w:r>
          </w:p>
        </w:tc>
      </w:tr>
      <w:tr w:rsidR="00F52332" w:rsidRPr="00821AF6" w14:paraId="24BB352A" w14:textId="77777777" w:rsidTr="00712355">
        <w:trPr>
          <w:cantSplit/>
          <w:jc w:val="center"/>
        </w:trPr>
        <w:tc>
          <w:tcPr>
            <w:tcW w:w="1271" w:type="dxa"/>
            <w:vAlign w:val="center"/>
          </w:tcPr>
          <w:p w14:paraId="5FD1D8C3" w14:textId="77777777" w:rsidR="00F52332" w:rsidRPr="00821AF6" w:rsidRDefault="00F52332" w:rsidP="00712355">
            <w:pPr>
              <w:spacing w:before="60" w:after="40" w:line="288" w:lineRule="auto"/>
              <w:ind w:firstLine="0"/>
              <w:jc w:val="left"/>
              <w:rPr>
                <w:rFonts w:cs="Tahoma"/>
                <w:sz w:val="18"/>
                <w:szCs w:val="18"/>
              </w:rPr>
            </w:pPr>
            <w:r w:rsidRPr="00821AF6">
              <w:rPr>
                <w:rFonts w:cs="Tahoma"/>
                <w:sz w:val="18"/>
                <w:szCs w:val="18"/>
              </w:rPr>
              <w:t xml:space="preserve">Liczba </w:t>
            </w:r>
            <w:r w:rsidRPr="00821AF6">
              <w:rPr>
                <w:rFonts w:cs="Tahoma"/>
                <w:sz w:val="18"/>
                <w:szCs w:val="18"/>
              </w:rPr>
              <w:br/>
              <w:t>mieszkańców</w:t>
            </w:r>
          </w:p>
        </w:tc>
        <w:tc>
          <w:tcPr>
            <w:tcW w:w="709" w:type="dxa"/>
            <w:vAlign w:val="center"/>
          </w:tcPr>
          <w:p w14:paraId="1075965F" w14:textId="77777777" w:rsidR="00F52332" w:rsidRPr="00821AF6" w:rsidRDefault="00F52332" w:rsidP="00712355">
            <w:pPr>
              <w:spacing w:before="60" w:after="40" w:line="288" w:lineRule="auto"/>
              <w:ind w:firstLine="0"/>
              <w:jc w:val="center"/>
              <w:rPr>
                <w:rFonts w:cs="Tahoma"/>
                <w:sz w:val="18"/>
                <w:szCs w:val="18"/>
              </w:rPr>
            </w:pPr>
            <w:r w:rsidRPr="00821AF6">
              <w:rPr>
                <w:rFonts w:cs="Tahoma"/>
                <w:sz w:val="18"/>
                <w:szCs w:val="18"/>
              </w:rPr>
              <w:t>[osób]</w:t>
            </w:r>
          </w:p>
        </w:tc>
        <w:tc>
          <w:tcPr>
            <w:tcW w:w="709" w:type="dxa"/>
            <w:vAlign w:val="center"/>
          </w:tcPr>
          <w:p w14:paraId="0A1672B6" w14:textId="753661F2" w:rsidR="00F52332" w:rsidRPr="00821AF6" w:rsidRDefault="00F52332" w:rsidP="00712355">
            <w:pPr>
              <w:spacing w:before="60" w:after="40" w:line="288" w:lineRule="auto"/>
              <w:ind w:firstLine="0"/>
              <w:jc w:val="right"/>
              <w:rPr>
                <w:rFonts w:cs="Tahoma"/>
                <w:sz w:val="18"/>
                <w:szCs w:val="18"/>
              </w:rPr>
            </w:pPr>
            <w:r>
              <w:rPr>
                <w:rFonts w:cs="Tahoma"/>
                <w:sz w:val="18"/>
                <w:szCs w:val="18"/>
              </w:rPr>
              <w:t>232791</w:t>
            </w:r>
          </w:p>
        </w:tc>
        <w:tc>
          <w:tcPr>
            <w:tcW w:w="708" w:type="dxa"/>
            <w:vAlign w:val="center"/>
          </w:tcPr>
          <w:p w14:paraId="1A3B6C70" w14:textId="425886D0" w:rsidR="00F52332" w:rsidRPr="00821AF6" w:rsidRDefault="00F52332" w:rsidP="00712355">
            <w:pPr>
              <w:spacing w:before="60" w:after="40" w:line="288" w:lineRule="auto"/>
              <w:ind w:firstLine="0"/>
              <w:jc w:val="right"/>
              <w:rPr>
                <w:rFonts w:cs="Tahoma"/>
                <w:sz w:val="18"/>
                <w:szCs w:val="18"/>
              </w:rPr>
            </w:pPr>
            <w:r>
              <w:rPr>
                <w:rFonts w:cs="Tahoma"/>
                <w:sz w:val="18"/>
                <w:szCs w:val="18"/>
              </w:rPr>
              <w:t>235175</w:t>
            </w:r>
          </w:p>
        </w:tc>
        <w:tc>
          <w:tcPr>
            <w:tcW w:w="709" w:type="dxa"/>
            <w:vAlign w:val="center"/>
          </w:tcPr>
          <w:p w14:paraId="74BBC0A1" w14:textId="5938A3D1" w:rsidR="00F52332" w:rsidRPr="00821AF6" w:rsidRDefault="00F52332" w:rsidP="00712355">
            <w:pPr>
              <w:spacing w:before="60" w:after="40" w:line="288" w:lineRule="auto"/>
              <w:ind w:firstLine="0"/>
              <w:jc w:val="right"/>
              <w:rPr>
                <w:rFonts w:cs="Tahoma"/>
                <w:sz w:val="18"/>
                <w:szCs w:val="18"/>
              </w:rPr>
            </w:pPr>
            <w:r>
              <w:rPr>
                <w:rFonts w:cs="Tahoma"/>
                <w:sz w:val="18"/>
                <w:szCs w:val="18"/>
              </w:rPr>
              <w:t>236727</w:t>
            </w:r>
          </w:p>
        </w:tc>
        <w:tc>
          <w:tcPr>
            <w:tcW w:w="709" w:type="dxa"/>
            <w:vAlign w:val="center"/>
          </w:tcPr>
          <w:p w14:paraId="61D9C650" w14:textId="6CF162FD" w:rsidR="00F52332" w:rsidRPr="00821AF6" w:rsidRDefault="00F52332" w:rsidP="00712355">
            <w:pPr>
              <w:spacing w:before="60" w:after="40" w:line="288" w:lineRule="auto"/>
              <w:ind w:firstLine="0"/>
              <w:jc w:val="right"/>
              <w:rPr>
                <w:rFonts w:cs="Tahoma"/>
                <w:sz w:val="18"/>
                <w:szCs w:val="18"/>
              </w:rPr>
            </w:pPr>
            <w:r>
              <w:rPr>
                <w:rFonts w:cs="Tahoma"/>
                <w:sz w:val="18"/>
                <w:szCs w:val="18"/>
              </w:rPr>
              <w:t>239102</w:t>
            </w:r>
          </w:p>
        </w:tc>
        <w:tc>
          <w:tcPr>
            <w:tcW w:w="709" w:type="dxa"/>
            <w:vAlign w:val="center"/>
          </w:tcPr>
          <w:p w14:paraId="7A99E591" w14:textId="036F6A7E" w:rsidR="00F52332" w:rsidRPr="00821AF6" w:rsidRDefault="00F52332" w:rsidP="00712355">
            <w:pPr>
              <w:spacing w:before="60" w:after="40" w:line="288" w:lineRule="auto"/>
              <w:ind w:firstLine="0"/>
              <w:jc w:val="right"/>
              <w:rPr>
                <w:rFonts w:cs="Tahoma"/>
                <w:sz w:val="18"/>
                <w:szCs w:val="18"/>
              </w:rPr>
            </w:pPr>
            <w:r>
              <w:rPr>
                <w:rFonts w:cs="Tahoma"/>
                <w:sz w:val="18"/>
                <w:szCs w:val="18"/>
              </w:rPr>
              <w:t>240134</w:t>
            </w:r>
          </w:p>
        </w:tc>
        <w:tc>
          <w:tcPr>
            <w:tcW w:w="708" w:type="dxa"/>
            <w:vAlign w:val="center"/>
          </w:tcPr>
          <w:p w14:paraId="7D08EB33" w14:textId="7325C305" w:rsidR="00F52332" w:rsidRPr="00821AF6" w:rsidRDefault="00F52332" w:rsidP="00712355">
            <w:pPr>
              <w:spacing w:before="60" w:after="40" w:line="288" w:lineRule="auto"/>
              <w:ind w:firstLine="0"/>
              <w:jc w:val="right"/>
              <w:rPr>
                <w:rFonts w:cs="Tahoma"/>
                <w:sz w:val="18"/>
                <w:szCs w:val="18"/>
              </w:rPr>
            </w:pPr>
            <w:r>
              <w:rPr>
                <w:rFonts w:cs="Tahoma"/>
                <w:sz w:val="18"/>
                <w:szCs w:val="18"/>
              </w:rPr>
              <w:t>242249</w:t>
            </w:r>
          </w:p>
        </w:tc>
        <w:tc>
          <w:tcPr>
            <w:tcW w:w="709" w:type="dxa"/>
            <w:vAlign w:val="center"/>
          </w:tcPr>
          <w:p w14:paraId="5A3409B9" w14:textId="0AB78EA1" w:rsidR="00F52332" w:rsidRPr="00821AF6" w:rsidRDefault="00F52332" w:rsidP="00712355">
            <w:pPr>
              <w:spacing w:before="60" w:after="40" w:line="288" w:lineRule="auto"/>
              <w:ind w:firstLine="0"/>
              <w:jc w:val="right"/>
              <w:rPr>
                <w:rFonts w:cs="Tahoma"/>
                <w:sz w:val="18"/>
                <w:szCs w:val="18"/>
              </w:rPr>
            </w:pPr>
            <w:r>
              <w:rPr>
                <w:rFonts w:cs="Tahoma"/>
                <w:sz w:val="18"/>
                <w:szCs w:val="18"/>
              </w:rPr>
              <w:t>244479</w:t>
            </w:r>
          </w:p>
        </w:tc>
        <w:tc>
          <w:tcPr>
            <w:tcW w:w="710" w:type="dxa"/>
            <w:vAlign w:val="center"/>
          </w:tcPr>
          <w:p w14:paraId="1965E456" w14:textId="3EE77B0C" w:rsidR="00F52332" w:rsidRPr="00821AF6" w:rsidRDefault="00F52332" w:rsidP="00712355">
            <w:pPr>
              <w:spacing w:before="60" w:after="40" w:line="288" w:lineRule="auto"/>
              <w:ind w:firstLine="0"/>
              <w:jc w:val="right"/>
              <w:rPr>
                <w:rFonts w:cs="Tahoma"/>
                <w:sz w:val="18"/>
                <w:szCs w:val="18"/>
              </w:rPr>
            </w:pPr>
            <w:r>
              <w:rPr>
                <w:rFonts w:cs="Tahoma"/>
                <w:sz w:val="18"/>
                <w:szCs w:val="18"/>
              </w:rPr>
              <w:t>246674</w:t>
            </w:r>
          </w:p>
        </w:tc>
        <w:tc>
          <w:tcPr>
            <w:tcW w:w="710" w:type="dxa"/>
            <w:vAlign w:val="center"/>
          </w:tcPr>
          <w:p w14:paraId="74F580D2" w14:textId="51685CEA" w:rsidR="00F52332" w:rsidRPr="00821AF6" w:rsidRDefault="00F52332" w:rsidP="00712355">
            <w:pPr>
              <w:spacing w:before="60" w:after="40" w:line="288" w:lineRule="auto"/>
              <w:ind w:firstLine="0"/>
              <w:jc w:val="right"/>
              <w:rPr>
                <w:rFonts w:cs="Tahoma"/>
                <w:sz w:val="18"/>
                <w:szCs w:val="18"/>
              </w:rPr>
            </w:pPr>
            <w:r>
              <w:rPr>
                <w:rFonts w:cs="Tahoma"/>
                <w:sz w:val="18"/>
                <w:szCs w:val="18"/>
              </w:rPr>
              <w:t>250177</w:t>
            </w:r>
          </w:p>
        </w:tc>
        <w:tc>
          <w:tcPr>
            <w:tcW w:w="711" w:type="dxa"/>
            <w:vAlign w:val="center"/>
          </w:tcPr>
          <w:p w14:paraId="095BE05E" w14:textId="2BC169E1" w:rsidR="00F52332" w:rsidRPr="00821AF6" w:rsidRDefault="00F52332" w:rsidP="00712355">
            <w:pPr>
              <w:spacing w:before="60" w:after="40" w:line="288" w:lineRule="auto"/>
              <w:ind w:firstLine="0"/>
              <w:jc w:val="right"/>
              <w:rPr>
                <w:rFonts w:cs="Tahoma"/>
                <w:sz w:val="18"/>
                <w:szCs w:val="18"/>
              </w:rPr>
            </w:pPr>
            <w:r>
              <w:rPr>
                <w:rFonts w:cs="Tahoma"/>
                <w:sz w:val="18"/>
                <w:szCs w:val="18"/>
              </w:rPr>
              <w:t>250947</w:t>
            </w:r>
          </w:p>
        </w:tc>
      </w:tr>
      <w:tr w:rsidR="00F52332" w:rsidRPr="00821AF6" w14:paraId="04773231" w14:textId="77777777" w:rsidTr="00F52332">
        <w:trPr>
          <w:cantSplit/>
          <w:jc w:val="center"/>
        </w:trPr>
        <w:tc>
          <w:tcPr>
            <w:tcW w:w="1271" w:type="dxa"/>
            <w:vAlign w:val="center"/>
          </w:tcPr>
          <w:p w14:paraId="3CF35CE2" w14:textId="77777777" w:rsidR="00F52332" w:rsidRPr="00821AF6" w:rsidRDefault="00F52332" w:rsidP="00F52332">
            <w:pPr>
              <w:spacing w:before="60" w:after="40" w:line="288" w:lineRule="auto"/>
              <w:ind w:firstLine="0"/>
              <w:jc w:val="left"/>
              <w:rPr>
                <w:rFonts w:cs="Tahoma"/>
                <w:sz w:val="18"/>
                <w:szCs w:val="18"/>
              </w:rPr>
            </w:pPr>
            <w:r w:rsidRPr="00821AF6">
              <w:rPr>
                <w:rFonts w:cs="Tahoma"/>
                <w:sz w:val="18"/>
                <w:szCs w:val="18"/>
              </w:rPr>
              <w:t>Powierzchnia</w:t>
            </w:r>
            <w:r w:rsidRPr="00821AF6">
              <w:rPr>
                <w:rFonts w:cs="Tahoma"/>
                <w:sz w:val="18"/>
                <w:szCs w:val="18"/>
              </w:rPr>
              <w:br/>
              <w:t>ogółem</w:t>
            </w:r>
          </w:p>
        </w:tc>
        <w:tc>
          <w:tcPr>
            <w:tcW w:w="709" w:type="dxa"/>
            <w:vAlign w:val="center"/>
          </w:tcPr>
          <w:p w14:paraId="5F3F0EA9" w14:textId="77777777" w:rsidR="00F52332" w:rsidRPr="00821AF6" w:rsidRDefault="00F52332" w:rsidP="00F52332">
            <w:pPr>
              <w:spacing w:before="60" w:after="40" w:line="288" w:lineRule="auto"/>
              <w:ind w:firstLine="0"/>
              <w:jc w:val="center"/>
              <w:rPr>
                <w:rFonts w:cs="Tahoma"/>
                <w:sz w:val="18"/>
                <w:szCs w:val="18"/>
              </w:rPr>
            </w:pPr>
            <w:r w:rsidRPr="00821AF6">
              <w:rPr>
                <w:rFonts w:cs="Tahoma"/>
                <w:sz w:val="18"/>
                <w:szCs w:val="18"/>
              </w:rPr>
              <w:t>[ha]</w:t>
            </w:r>
          </w:p>
        </w:tc>
        <w:tc>
          <w:tcPr>
            <w:tcW w:w="709" w:type="dxa"/>
            <w:vAlign w:val="center"/>
          </w:tcPr>
          <w:p w14:paraId="11224AF4" w14:textId="64550A82" w:rsidR="00F52332" w:rsidRPr="00821AF6" w:rsidRDefault="00F52332" w:rsidP="00F52332">
            <w:pPr>
              <w:spacing w:before="60" w:after="40" w:line="288" w:lineRule="auto"/>
              <w:ind w:firstLine="0"/>
              <w:jc w:val="right"/>
              <w:rPr>
                <w:rFonts w:cs="Tahoma"/>
                <w:sz w:val="18"/>
                <w:szCs w:val="18"/>
              </w:rPr>
            </w:pPr>
            <w:r>
              <w:rPr>
                <w:rFonts w:cs="Tahoma"/>
                <w:sz w:val="18"/>
                <w:szCs w:val="18"/>
              </w:rPr>
              <w:t>43 148</w:t>
            </w:r>
          </w:p>
        </w:tc>
        <w:tc>
          <w:tcPr>
            <w:tcW w:w="708" w:type="dxa"/>
            <w:vAlign w:val="center"/>
          </w:tcPr>
          <w:p w14:paraId="6BA23925" w14:textId="60EF6C4A" w:rsidR="00F52332" w:rsidRPr="00821AF6" w:rsidRDefault="00F52332" w:rsidP="00F52332">
            <w:pPr>
              <w:spacing w:before="60" w:after="40" w:line="288" w:lineRule="auto"/>
              <w:ind w:firstLine="0"/>
              <w:jc w:val="right"/>
              <w:rPr>
                <w:rFonts w:cs="Tahoma"/>
                <w:sz w:val="18"/>
                <w:szCs w:val="18"/>
              </w:rPr>
            </w:pPr>
            <w:r w:rsidRPr="005736CC">
              <w:rPr>
                <w:rFonts w:cs="Tahoma"/>
                <w:sz w:val="18"/>
                <w:szCs w:val="18"/>
              </w:rPr>
              <w:t>43 148</w:t>
            </w:r>
          </w:p>
        </w:tc>
        <w:tc>
          <w:tcPr>
            <w:tcW w:w="709" w:type="dxa"/>
            <w:vAlign w:val="center"/>
          </w:tcPr>
          <w:p w14:paraId="49773DB9" w14:textId="5C1A4D64" w:rsidR="00F52332" w:rsidRPr="00821AF6" w:rsidRDefault="00F52332" w:rsidP="00F52332">
            <w:pPr>
              <w:spacing w:before="60" w:after="40" w:line="288" w:lineRule="auto"/>
              <w:ind w:firstLine="0"/>
              <w:jc w:val="right"/>
              <w:rPr>
                <w:rFonts w:cs="Tahoma"/>
                <w:sz w:val="18"/>
                <w:szCs w:val="18"/>
              </w:rPr>
            </w:pPr>
            <w:r w:rsidRPr="005736CC">
              <w:rPr>
                <w:rFonts w:cs="Tahoma"/>
                <w:sz w:val="18"/>
                <w:szCs w:val="18"/>
              </w:rPr>
              <w:t>43 148</w:t>
            </w:r>
          </w:p>
        </w:tc>
        <w:tc>
          <w:tcPr>
            <w:tcW w:w="709" w:type="dxa"/>
            <w:vAlign w:val="center"/>
          </w:tcPr>
          <w:p w14:paraId="7E87B0A7" w14:textId="7817CE7D" w:rsidR="00F52332" w:rsidRPr="00821AF6" w:rsidRDefault="00F52332" w:rsidP="00F52332">
            <w:pPr>
              <w:spacing w:before="60" w:after="40" w:line="288" w:lineRule="auto"/>
              <w:ind w:firstLine="0"/>
              <w:jc w:val="right"/>
              <w:rPr>
                <w:rFonts w:cs="Tahoma"/>
                <w:sz w:val="18"/>
                <w:szCs w:val="18"/>
              </w:rPr>
            </w:pPr>
            <w:r w:rsidRPr="005736CC">
              <w:rPr>
                <w:rFonts w:cs="Tahoma"/>
                <w:sz w:val="18"/>
                <w:szCs w:val="18"/>
              </w:rPr>
              <w:t>43 148</w:t>
            </w:r>
          </w:p>
        </w:tc>
        <w:tc>
          <w:tcPr>
            <w:tcW w:w="709" w:type="dxa"/>
            <w:vAlign w:val="center"/>
          </w:tcPr>
          <w:p w14:paraId="3690FDB1" w14:textId="44599775" w:rsidR="00F52332" w:rsidRPr="00821AF6" w:rsidRDefault="00F52332" w:rsidP="00F52332">
            <w:pPr>
              <w:spacing w:before="60" w:after="40" w:line="288" w:lineRule="auto"/>
              <w:ind w:firstLine="0"/>
              <w:jc w:val="right"/>
              <w:rPr>
                <w:rFonts w:cs="Tahoma"/>
                <w:sz w:val="18"/>
                <w:szCs w:val="18"/>
              </w:rPr>
            </w:pPr>
            <w:r w:rsidRPr="005736CC">
              <w:rPr>
                <w:rFonts w:cs="Tahoma"/>
                <w:sz w:val="18"/>
                <w:szCs w:val="18"/>
              </w:rPr>
              <w:t>43 148</w:t>
            </w:r>
          </w:p>
        </w:tc>
        <w:tc>
          <w:tcPr>
            <w:tcW w:w="708" w:type="dxa"/>
            <w:vAlign w:val="center"/>
          </w:tcPr>
          <w:p w14:paraId="73612F10" w14:textId="3C143BB2" w:rsidR="00F52332" w:rsidRPr="00821AF6" w:rsidRDefault="00F52332" w:rsidP="00F52332">
            <w:pPr>
              <w:spacing w:before="60" w:after="40" w:line="288" w:lineRule="auto"/>
              <w:ind w:firstLine="0"/>
              <w:jc w:val="right"/>
              <w:rPr>
                <w:rFonts w:cs="Tahoma"/>
                <w:sz w:val="18"/>
                <w:szCs w:val="18"/>
              </w:rPr>
            </w:pPr>
            <w:r w:rsidRPr="005736CC">
              <w:rPr>
                <w:rFonts w:cs="Tahoma"/>
                <w:sz w:val="18"/>
                <w:szCs w:val="18"/>
              </w:rPr>
              <w:t>43 148</w:t>
            </w:r>
          </w:p>
        </w:tc>
        <w:tc>
          <w:tcPr>
            <w:tcW w:w="709" w:type="dxa"/>
            <w:vAlign w:val="center"/>
          </w:tcPr>
          <w:p w14:paraId="725768C1" w14:textId="6F42ED7C" w:rsidR="00F52332" w:rsidRPr="00821AF6" w:rsidRDefault="00F52332" w:rsidP="00F52332">
            <w:pPr>
              <w:spacing w:before="60" w:after="40" w:line="288" w:lineRule="auto"/>
              <w:ind w:firstLine="0"/>
              <w:jc w:val="right"/>
              <w:rPr>
                <w:rFonts w:cs="Tahoma"/>
                <w:sz w:val="18"/>
                <w:szCs w:val="18"/>
              </w:rPr>
            </w:pPr>
            <w:r w:rsidRPr="005736CC">
              <w:rPr>
                <w:rFonts w:cs="Tahoma"/>
                <w:sz w:val="18"/>
                <w:szCs w:val="18"/>
              </w:rPr>
              <w:t>43 148</w:t>
            </w:r>
          </w:p>
        </w:tc>
        <w:tc>
          <w:tcPr>
            <w:tcW w:w="710" w:type="dxa"/>
            <w:vAlign w:val="center"/>
          </w:tcPr>
          <w:p w14:paraId="1E5A9C57" w14:textId="759D955F" w:rsidR="00F52332" w:rsidRPr="00821AF6" w:rsidRDefault="00F52332" w:rsidP="00F52332">
            <w:pPr>
              <w:spacing w:before="60" w:after="40" w:line="288" w:lineRule="auto"/>
              <w:ind w:firstLine="0"/>
              <w:jc w:val="right"/>
              <w:rPr>
                <w:rFonts w:cs="Tahoma"/>
                <w:sz w:val="18"/>
                <w:szCs w:val="18"/>
              </w:rPr>
            </w:pPr>
            <w:r w:rsidRPr="005736CC">
              <w:rPr>
                <w:rFonts w:cs="Tahoma"/>
                <w:sz w:val="18"/>
                <w:szCs w:val="18"/>
              </w:rPr>
              <w:t>43 148</w:t>
            </w:r>
          </w:p>
        </w:tc>
        <w:tc>
          <w:tcPr>
            <w:tcW w:w="710" w:type="dxa"/>
            <w:vAlign w:val="center"/>
          </w:tcPr>
          <w:p w14:paraId="152C828F" w14:textId="397849EF" w:rsidR="00F52332" w:rsidRPr="00821AF6" w:rsidRDefault="00F52332" w:rsidP="00F52332">
            <w:pPr>
              <w:spacing w:before="60" w:after="40" w:line="288" w:lineRule="auto"/>
              <w:ind w:firstLine="0"/>
              <w:jc w:val="right"/>
              <w:rPr>
                <w:rFonts w:cs="Tahoma"/>
                <w:sz w:val="18"/>
                <w:szCs w:val="18"/>
              </w:rPr>
            </w:pPr>
            <w:r w:rsidRPr="005736CC">
              <w:rPr>
                <w:rFonts w:cs="Tahoma"/>
                <w:sz w:val="18"/>
                <w:szCs w:val="18"/>
              </w:rPr>
              <w:t>43 148</w:t>
            </w:r>
          </w:p>
        </w:tc>
        <w:tc>
          <w:tcPr>
            <w:tcW w:w="711" w:type="dxa"/>
            <w:vAlign w:val="center"/>
          </w:tcPr>
          <w:p w14:paraId="67997054" w14:textId="56B9295E" w:rsidR="00F52332" w:rsidRPr="00821AF6" w:rsidRDefault="00F52332" w:rsidP="00F52332">
            <w:pPr>
              <w:spacing w:before="60" w:after="40" w:line="288" w:lineRule="auto"/>
              <w:ind w:firstLine="0"/>
              <w:jc w:val="right"/>
              <w:rPr>
                <w:rFonts w:cs="Tahoma"/>
                <w:sz w:val="18"/>
                <w:szCs w:val="18"/>
              </w:rPr>
            </w:pPr>
            <w:r w:rsidRPr="005736CC">
              <w:rPr>
                <w:rFonts w:cs="Tahoma"/>
                <w:sz w:val="18"/>
                <w:szCs w:val="18"/>
              </w:rPr>
              <w:t>43 148</w:t>
            </w:r>
          </w:p>
        </w:tc>
      </w:tr>
      <w:tr w:rsidR="00F52332" w:rsidRPr="00821AF6" w14:paraId="038C7C06" w14:textId="77777777" w:rsidTr="00712355">
        <w:trPr>
          <w:cantSplit/>
          <w:jc w:val="center"/>
        </w:trPr>
        <w:tc>
          <w:tcPr>
            <w:tcW w:w="1271" w:type="dxa"/>
            <w:vAlign w:val="center"/>
          </w:tcPr>
          <w:p w14:paraId="6BCD35F3" w14:textId="77777777" w:rsidR="00F52332" w:rsidRPr="00821AF6" w:rsidRDefault="00F52332" w:rsidP="00712355">
            <w:pPr>
              <w:spacing w:before="60" w:after="40" w:line="288" w:lineRule="auto"/>
              <w:ind w:firstLine="0"/>
              <w:jc w:val="left"/>
              <w:rPr>
                <w:rFonts w:cs="Tahoma"/>
                <w:sz w:val="18"/>
                <w:szCs w:val="18"/>
              </w:rPr>
            </w:pPr>
            <w:r w:rsidRPr="00821AF6">
              <w:rPr>
                <w:rFonts w:cs="Tahoma"/>
                <w:sz w:val="18"/>
                <w:szCs w:val="18"/>
              </w:rPr>
              <w:t>Gęstość</w:t>
            </w:r>
            <w:r w:rsidRPr="00821AF6">
              <w:rPr>
                <w:rFonts w:cs="Tahoma"/>
                <w:sz w:val="18"/>
                <w:szCs w:val="18"/>
              </w:rPr>
              <w:br/>
              <w:t>zaludnienia</w:t>
            </w:r>
          </w:p>
        </w:tc>
        <w:tc>
          <w:tcPr>
            <w:tcW w:w="709" w:type="dxa"/>
            <w:vAlign w:val="center"/>
          </w:tcPr>
          <w:p w14:paraId="3A9B954D" w14:textId="77777777" w:rsidR="00F52332" w:rsidRPr="00821AF6" w:rsidRDefault="00F52332" w:rsidP="00712355">
            <w:pPr>
              <w:spacing w:before="60" w:after="40" w:line="288" w:lineRule="auto"/>
              <w:ind w:firstLine="0"/>
              <w:jc w:val="center"/>
              <w:rPr>
                <w:rFonts w:cs="Tahoma"/>
                <w:sz w:val="18"/>
                <w:szCs w:val="18"/>
              </w:rPr>
            </w:pPr>
            <w:r w:rsidRPr="00821AF6">
              <w:rPr>
                <w:rFonts w:cs="Tahoma"/>
                <w:sz w:val="18"/>
                <w:szCs w:val="18"/>
              </w:rPr>
              <w:t>[osób/ km</w:t>
            </w:r>
            <w:r w:rsidRPr="00821AF6">
              <w:rPr>
                <w:rFonts w:cs="Tahoma"/>
                <w:sz w:val="18"/>
                <w:szCs w:val="18"/>
                <w:vertAlign w:val="superscript"/>
              </w:rPr>
              <w:t>2</w:t>
            </w:r>
            <w:r w:rsidRPr="00821AF6">
              <w:rPr>
                <w:rFonts w:cs="Tahoma"/>
                <w:sz w:val="18"/>
                <w:szCs w:val="18"/>
              </w:rPr>
              <w:t>]</w:t>
            </w:r>
          </w:p>
        </w:tc>
        <w:tc>
          <w:tcPr>
            <w:tcW w:w="709" w:type="dxa"/>
            <w:vAlign w:val="center"/>
          </w:tcPr>
          <w:p w14:paraId="7DBB85B5" w14:textId="1874E94C" w:rsidR="00F52332" w:rsidRPr="00821AF6" w:rsidRDefault="00F52332" w:rsidP="00712355">
            <w:pPr>
              <w:spacing w:before="60" w:after="40" w:line="288" w:lineRule="auto"/>
              <w:ind w:firstLine="0"/>
              <w:jc w:val="right"/>
              <w:rPr>
                <w:rFonts w:cs="Tahoma"/>
                <w:sz w:val="18"/>
                <w:szCs w:val="18"/>
              </w:rPr>
            </w:pPr>
            <w:r>
              <w:rPr>
                <w:rFonts w:cs="Tahoma"/>
                <w:sz w:val="18"/>
                <w:szCs w:val="18"/>
              </w:rPr>
              <w:t>540</w:t>
            </w:r>
          </w:p>
        </w:tc>
        <w:tc>
          <w:tcPr>
            <w:tcW w:w="708" w:type="dxa"/>
            <w:vAlign w:val="center"/>
          </w:tcPr>
          <w:p w14:paraId="1E056FAF" w14:textId="5826BC89" w:rsidR="00F52332" w:rsidRPr="00821AF6" w:rsidRDefault="00F52332" w:rsidP="00712355">
            <w:pPr>
              <w:spacing w:before="60" w:after="40" w:line="288" w:lineRule="auto"/>
              <w:ind w:firstLine="0"/>
              <w:jc w:val="right"/>
              <w:rPr>
                <w:rFonts w:cs="Tahoma"/>
                <w:sz w:val="18"/>
                <w:szCs w:val="18"/>
              </w:rPr>
            </w:pPr>
            <w:r>
              <w:rPr>
                <w:rFonts w:cs="Tahoma"/>
                <w:sz w:val="18"/>
                <w:szCs w:val="18"/>
              </w:rPr>
              <w:t>545</w:t>
            </w:r>
          </w:p>
        </w:tc>
        <w:tc>
          <w:tcPr>
            <w:tcW w:w="709" w:type="dxa"/>
            <w:vAlign w:val="center"/>
          </w:tcPr>
          <w:p w14:paraId="519A5B06" w14:textId="611BA8E3" w:rsidR="00F52332" w:rsidRPr="00821AF6" w:rsidRDefault="00F52332" w:rsidP="00712355">
            <w:pPr>
              <w:spacing w:before="60" w:after="40" w:line="288" w:lineRule="auto"/>
              <w:ind w:firstLine="0"/>
              <w:jc w:val="right"/>
              <w:rPr>
                <w:rFonts w:cs="Tahoma"/>
                <w:sz w:val="18"/>
                <w:szCs w:val="18"/>
              </w:rPr>
            </w:pPr>
            <w:r>
              <w:rPr>
                <w:rFonts w:cs="Tahoma"/>
                <w:sz w:val="18"/>
                <w:szCs w:val="18"/>
              </w:rPr>
              <w:t>549</w:t>
            </w:r>
          </w:p>
        </w:tc>
        <w:tc>
          <w:tcPr>
            <w:tcW w:w="709" w:type="dxa"/>
            <w:vAlign w:val="center"/>
          </w:tcPr>
          <w:p w14:paraId="29A2D5D7" w14:textId="7D2AF37D" w:rsidR="00F52332" w:rsidRPr="00821AF6" w:rsidRDefault="00F52332" w:rsidP="00712355">
            <w:pPr>
              <w:spacing w:before="60" w:after="40" w:line="288" w:lineRule="auto"/>
              <w:ind w:firstLine="0"/>
              <w:jc w:val="right"/>
              <w:rPr>
                <w:rFonts w:cs="Tahoma"/>
                <w:sz w:val="18"/>
                <w:szCs w:val="18"/>
              </w:rPr>
            </w:pPr>
            <w:r>
              <w:rPr>
                <w:rFonts w:cs="Tahoma"/>
                <w:sz w:val="18"/>
                <w:szCs w:val="18"/>
              </w:rPr>
              <w:t>554</w:t>
            </w:r>
          </w:p>
        </w:tc>
        <w:tc>
          <w:tcPr>
            <w:tcW w:w="709" w:type="dxa"/>
            <w:vAlign w:val="center"/>
          </w:tcPr>
          <w:p w14:paraId="66F258B8" w14:textId="73CBF93E" w:rsidR="00F52332" w:rsidRPr="00821AF6" w:rsidRDefault="00F52332" w:rsidP="00712355">
            <w:pPr>
              <w:spacing w:before="60" w:after="40" w:line="288" w:lineRule="auto"/>
              <w:ind w:firstLine="0"/>
              <w:jc w:val="right"/>
              <w:rPr>
                <w:rFonts w:cs="Tahoma"/>
                <w:sz w:val="18"/>
                <w:szCs w:val="18"/>
              </w:rPr>
            </w:pPr>
            <w:r>
              <w:rPr>
                <w:rFonts w:cs="Tahoma"/>
                <w:sz w:val="18"/>
                <w:szCs w:val="18"/>
              </w:rPr>
              <w:t>557</w:t>
            </w:r>
          </w:p>
        </w:tc>
        <w:tc>
          <w:tcPr>
            <w:tcW w:w="708" w:type="dxa"/>
            <w:vAlign w:val="center"/>
          </w:tcPr>
          <w:p w14:paraId="7A426CD9" w14:textId="072A7257" w:rsidR="00F52332" w:rsidRPr="00821AF6" w:rsidRDefault="00724F82" w:rsidP="00712355">
            <w:pPr>
              <w:spacing w:before="60" w:after="40" w:line="288" w:lineRule="auto"/>
              <w:ind w:firstLine="0"/>
              <w:jc w:val="right"/>
              <w:rPr>
                <w:rFonts w:cs="Tahoma"/>
                <w:sz w:val="18"/>
                <w:szCs w:val="18"/>
              </w:rPr>
            </w:pPr>
            <w:r>
              <w:rPr>
                <w:rFonts w:cs="Tahoma"/>
                <w:sz w:val="18"/>
                <w:szCs w:val="18"/>
              </w:rPr>
              <w:t>561</w:t>
            </w:r>
          </w:p>
        </w:tc>
        <w:tc>
          <w:tcPr>
            <w:tcW w:w="709" w:type="dxa"/>
            <w:vAlign w:val="center"/>
          </w:tcPr>
          <w:p w14:paraId="6156B126" w14:textId="027125BD" w:rsidR="00F52332" w:rsidRPr="00821AF6" w:rsidRDefault="00724F82" w:rsidP="00712355">
            <w:pPr>
              <w:spacing w:before="60" w:after="40" w:line="288" w:lineRule="auto"/>
              <w:ind w:firstLine="0"/>
              <w:jc w:val="right"/>
              <w:rPr>
                <w:rFonts w:cs="Tahoma"/>
                <w:sz w:val="18"/>
                <w:szCs w:val="18"/>
              </w:rPr>
            </w:pPr>
            <w:r>
              <w:rPr>
                <w:rFonts w:cs="Tahoma"/>
                <w:sz w:val="18"/>
                <w:szCs w:val="18"/>
              </w:rPr>
              <w:t>567</w:t>
            </w:r>
          </w:p>
        </w:tc>
        <w:tc>
          <w:tcPr>
            <w:tcW w:w="710" w:type="dxa"/>
            <w:vAlign w:val="center"/>
          </w:tcPr>
          <w:p w14:paraId="55D6E36F" w14:textId="49C164A1" w:rsidR="00F52332" w:rsidRPr="00821AF6" w:rsidRDefault="00724F82" w:rsidP="00712355">
            <w:pPr>
              <w:spacing w:before="60" w:after="40" w:line="288" w:lineRule="auto"/>
              <w:ind w:firstLine="0"/>
              <w:jc w:val="right"/>
              <w:rPr>
                <w:rFonts w:cs="Tahoma"/>
                <w:sz w:val="18"/>
                <w:szCs w:val="18"/>
              </w:rPr>
            </w:pPr>
            <w:r>
              <w:rPr>
                <w:rFonts w:cs="Tahoma"/>
                <w:sz w:val="18"/>
                <w:szCs w:val="18"/>
              </w:rPr>
              <w:t>572</w:t>
            </w:r>
          </w:p>
        </w:tc>
        <w:tc>
          <w:tcPr>
            <w:tcW w:w="710" w:type="dxa"/>
            <w:vAlign w:val="center"/>
          </w:tcPr>
          <w:p w14:paraId="2FDFF0FE" w14:textId="1B3E4B56" w:rsidR="00F52332" w:rsidRPr="00821AF6" w:rsidRDefault="00724F82" w:rsidP="00712355">
            <w:pPr>
              <w:spacing w:before="60" w:after="40" w:line="288" w:lineRule="auto"/>
              <w:ind w:firstLine="0"/>
              <w:jc w:val="right"/>
              <w:rPr>
                <w:rFonts w:cs="Tahoma"/>
                <w:sz w:val="18"/>
                <w:szCs w:val="18"/>
              </w:rPr>
            </w:pPr>
            <w:r>
              <w:rPr>
                <w:rFonts w:cs="Tahoma"/>
                <w:sz w:val="18"/>
                <w:szCs w:val="18"/>
              </w:rPr>
              <w:t>579</w:t>
            </w:r>
          </w:p>
        </w:tc>
        <w:tc>
          <w:tcPr>
            <w:tcW w:w="711" w:type="dxa"/>
            <w:vAlign w:val="center"/>
          </w:tcPr>
          <w:p w14:paraId="3D2D07AE" w14:textId="3FDCDA5D" w:rsidR="00F52332" w:rsidRPr="00821AF6" w:rsidRDefault="00724F82" w:rsidP="00712355">
            <w:pPr>
              <w:spacing w:before="60" w:after="40" w:line="288" w:lineRule="auto"/>
              <w:ind w:firstLine="0"/>
              <w:jc w:val="right"/>
              <w:rPr>
                <w:rFonts w:cs="Tahoma"/>
                <w:sz w:val="18"/>
                <w:szCs w:val="18"/>
              </w:rPr>
            </w:pPr>
            <w:r>
              <w:rPr>
                <w:rFonts w:cs="Tahoma"/>
                <w:sz w:val="18"/>
                <w:szCs w:val="18"/>
              </w:rPr>
              <w:t>580</w:t>
            </w:r>
          </w:p>
        </w:tc>
      </w:tr>
    </w:tbl>
    <w:p w14:paraId="611B5F18" w14:textId="77777777" w:rsidR="001A76D2" w:rsidRPr="00821AF6" w:rsidRDefault="001A76D2" w:rsidP="00F52332">
      <w:pPr>
        <w:spacing w:before="120" w:after="240"/>
        <w:ind w:firstLine="0"/>
        <w:jc w:val="left"/>
        <w:rPr>
          <w:rFonts w:cs="Tahoma"/>
          <w:sz w:val="20"/>
          <w:szCs w:val="20"/>
        </w:rPr>
      </w:pPr>
      <w:r w:rsidRPr="00821AF6">
        <w:rPr>
          <w:rFonts w:cs="Tahoma"/>
          <w:sz w:val="20"/>
          <w:szCs w:val="20"/>
        </w:rPr>
        <w:t>Źródło: Bank Danych Lokalnych GUS.</w:t>
      </w:r>
    </w:p>
    <w:p w14:paraId="127C403F" w14:textId="77777777" w:rsidR="00AC519B" w:rsidRPr="00AC519B" w:rsidRDefault="00AC519B" w:rsidP="00AC519B">
      <w:pPr>
        <w:rPr>
          <w:rFonts w:cs="Tahoma"/>
          <w:szCs w:val="22"/>
        </w:rPr>
      </w:pPr>
      <w:r w:rsidRPr="00AC519B">
        <w:rPr>
          <w:rFonts w:cs="Tahoma"/>
          <w:szCs w:val="22"/>
        </w:rPr>
        <w:t xml:space="preserve">Według stanu na dzień 31 grudnia 2020 r., miasto Rzeszów zajmowało 16. miejsce w kraju pod względem liczby ludności oraz 20. miejsce wśród miast pod względem zajmowanej </w:t>
      </w:r>
      <w:r w:rsidRPr="00AC519B">
        <w:rPr>
          <w:rFonts w:cs="Tahoma"/>
          <w:szCs w:val="22"/>
        </w:rPr>
        <w:lastRenderedPageBreak/>
        <w:t>powierzchni. Gęstość zaludnienia w Rzeszowie była wyższa od przeciętnej miast w Polsce, przyjmując wartość o około 55% większą od średniej krajowej dla miast.</w:t>
      </w:r>
    </w:p>
    <w:p w14:paraId="4744FE44" w14:textId="77777777" w:rsidR="00AC519B" w:rsidRPr="00AC519B" w:rsidRDefault="00AC519B" w:rsidP="00AC519B">
      <w:pPr>
        <w:rPr>
          <w:rFonts w:cs="Tahoma"/>
        </w:rPr>
      </w:pPr>
      <w:r w:rsidRPr="00AC519B">
        <w:rPr>
          <w:rFonts w:cs="Tahoma"/>
        </w:rPr>
        <w:t>W mieście Rzeszów oraz w gminach objętych rzeszowską komunikacją miejską – według Banku Danych Lokalnych GUS, na koniec 2020 r. zamieszkiwało łącznie niemal 250,9 tys. osób.</w:t>
      </w:r>
    </w:p>
    <w:p w14:paraId="3CDB4454" w14:textId="77777777" w:rsidR="00AC519B" w:rsidRPr="00AC519B" w:rsidRDefault="00AC519B" w:rsidP="00AC519B">
      <w:pPr>
        <w:rPr>
          <w:rFonts w:cs="Tahoma"/>
          <w:szCs w:val="22"/>
        </w:rPr>
      </w:pPr>
      <w:r w:rsidRPr="00AC519B">
        <w:rPr>
          <w:rFonts w:cs="Tahoma"/>
          <w:szCs w:val="22"/>
        </w:rPr>
        <w:t xml:space="preserve">Jak już zasygnalizowano wcześniej, linie rzeszowskiej komunikacji miejskiej obsługują poza miastem Rzeszów także miejscowości w gminach ościennych. Są to: Boguchwała, Bratkowice, Głogów Małopolski, Hermanowa, Jasionka, Kamyszyn, Kielanówka, </w:t>
      </w:r>
      <w:proofErr w:type="spellStart"/>
      <w:r w:rsidRPr="00AC519B">
        <w:rPr>
          <w:rFonts w:cs="Tahoma"/>
          <w:szCs w:val="22"/>
        </w:rPr>
        <w:t>Lutoryż</w:t>
      </w:r>
      <w:proofErr w:type="spellEnd"/>
      <w:r w:rsidRPr="00AC519B">
        <w:rPr>
          <w:rFonts w:cs="Tahoma"/>
          <w:szCs w:val="22"/>
        </w:rPr>
        <w:t xml:space="preserve">, Mogielnica, Mrowla, Mrowla Otoka, Nowa Wieś, Racławówka, Rudna Wielka, Siedliska, Świlcza, </w:t>
      </w:r>
      <w:proofErr w:type="spellStart"/>
      <w:r w:rsidRPr="00AC519B">
        <w:rPr>
          <w:rFonts w:cs="Tahoma"/>
          <w:szCs w:val="22"/>
        </w:rPr>
        <w:t>Tajęczyna</w:t>
      </w:r>
      <w:proofErr w:type="spellEnd"/>
      <w:r w:rsidRPr="00AC519B">
        <w:rPr>
          <w:rFonts w:cs="Tahoma"/>
          <w:szCs w:val="22"/>
        </w:rPr>
        <w:t>, Tyczyn, Trzciana, Trzebownisko, Zabierzów, Zaczernie i Zarzecze.</w:t>
      </w:r>
    </w:p>
    <w:p w14:paraId="2A5C5544" w14:textId="77777777" w:rsidR="00AC519B" w:rsidRPr="00AC519B" w:rsidRDefault="00AC519B" w:rsidP="00AC519B">
      <w:pPr>
        <w:rPr>
          <w:rFonts w:cs="Tahoma"/>
          <w:szCs w:val="22"/>
        </w:rPr>
      </w:pPr>
      <w:r w:rsidRPr="00AC519B">
        <w:rPr>
          <w:rFonts w:cs="Tahoma"/>
          <w:szCs w:val="22"/>
        </w:rPr>
        <w:t xml:space="preserve">Organizatorem rzeszowskiej komunikacji miejskiej jest Prezydent Miasta Rzeszowa. </w:t>
      </w:r>
      <w:bookmarkStart w:id="27" w:name="_Hlk527394053"/>
      <w:r w:rsidRPr="00AC519B">
        <w:rPr>
          <w:rFonts w:cs="Tahoma"/>
          <w:szCs w:val="22"/>
        </w:rPr>
        <w:t>Zadania organizatora wypełnia jednostka budżetowa Miasta – Zarząd Transportu Miejskiego w</w:t>
      </w:r>
      <w:bookmarkEnd w:id="27"/>
      <w:r w:rsidRPr="00AC519B">
        <w:rPr>
          <w:rFonts w:cs="Tahoma"/>
          <w:szCs w:val="22"/>
        </w:rPr>
        <w:t> Rzeszowie, której zadania to m.in.: planowanie, organizowanie i zarządzanie transportem zbiorowym w mieście, w tym w szczególności: ustalanie rozkładów jazdy, emisja i sprzedaż biletów komunikacji miejskiej, zawieranie umów z operatorami i kontrola ich wykonywania oraz zarządzanie dworcami i przystankami.</w:t>
      </w:r>
    </w:p>
    <w:p w14:paraId="333FDC08" w14:textId="77777777" w:rsidR="00AC519B" w:rsidRPr="00AC519B" w:rsidRDefault="00AC519B" w:rsidP="00AC519B">
      <w:pPr>
        <w:rPr>
          <w:rFonts w:cs="Tahoma"/>
        </w:rPr>
      </w:pPr>
      <w:r w:rsidRPr="00AC519B">
        <w:rPr>
          <w:rFonts w:cs="Tahoma"/>
        </w:rPr>
        <w:t>Wg stanu na dzień 30 listopada 2021 r., Miasto wykorzystywało do realizacji usług przewozowych tylko jednego operatora – Miejskie Przedsiębiorstwo Komunikacyjne – Rzeszów sp. z o.o., ul. Lubelska 54, 35-233 Rzeszów. Przewozy pasażerów w komunikacji miejskiej odbywały się na podstawie umowy zawartej z Miastem w dniu 29 listopada 2019 r., określającej szczegółowy zakres zobowiązania Spółki do świadczenia usług przewozów w zakresie lokalnego transportu zbiorowego oraz przewozów dodatkowych, w zakresie ustalonym przez Organizatora. Przywołana umowa potwierdza, że MPK-Rzeszów sp. z o.o. jest podmiotem wewnętrznym Miasta w rozumieniu Rozporządzenia 1370/2007. Umowa stanowi, że Spółka prowadzi usługi przewozu w ramach komunikacji miejskiej, na terenie Miasta i gmin, które zawarły z Miastem porozumienia, z wykorzystaniem taboru własnego oraz wydzierżawionego przez Miasto.</w:t>
      </w:r>
    </w:p>
    <w:p w14:paraId="7A77D437" w14:textId="0B76BAD5" w:rsidR="009070BB" w:rsidRPr="009070BB" w:rsidRDefault="009070BB" w:rsidP="00874E0B">
      <w:pPr>
        <w:rPr>
          <w:rFonts w:cs="Tahoma"/>
        </w:rPr>
      </w:pPr>
      <w:r w:rsidRPr="009070BB">
        <w:rPr>
          <w:rFonts w:cs="Tahoma"/>
        </w:rPr>
        <w:t xml:space="preserve">Wpływy ze sprzedaży biletów stanowią przychód </w:t>
      </w:r>
      <w:r w:rsidR="00874E0B">
        <w:rPr>
          <w:rFonts w:cs="Tahoma"/>
        </w:rPr>
        <w:t>Miasta</w:t>
      </w:r>
      <w:r w:rsidR="003859F3">
        <w:rPr>
          <w:rFonts w:cs="Tahoma"/>
        </w:rPr>
        <w:t xml:space="preserve">. </w:t>
      </w:r>
      <w:r w:rsidR="00C73F5E">
        <w:rPr>
          <w:rFonts w:cs="Tahoma"/>
        </w:rPr>
        <w:t>MPK</w:t>
      </w:r>
      <w:r w:rsidR="00874E0B">
        <w:rPr>
          <w:rFonts w:cs="Tahoma"/>
        </w:rPr>
        <w:t>-Rzeszów</w:t>
      </w:r>
      <w:r w:rsidR="00C73F5E">
        <w:rPr>
          <w:rFonts w:cs="Tahoma"/>
        </w:rPr>
        <w:t xml:space="preserve"> </w:t>
      </w:r>
      <w:r w:rsidR="00C12531">
        <w:rPr>
          <w:rFonts w:cs="Tahoma"/>
        </w:rPr>
        <w:t xml:space="preserve">sp. z o.o. otrzymuje rekompensatę </w:t>
      </w:r>
      <w:r w:rsidR="005F7D77">
        <w:rPr>
          <w:rFonts w:cs="Tahoma"/>
        </w:rPr>
        <w:t xml:space="preserve">wyliczoną zgodnie z </w:t>
      </w:r>
      <w:r w:rsidR="00874E0B">
        <w:rPr>
          <w:rFonts w:cs="Tahoma"/>
        </w:rPr>
        <w:t>zasadami określonymi w</w:t>
      </w:r>
      <w:r w:rsidR="005F7D77">
        <w:rPr>
          <w:rFonts w:cs="Tahoma"/>
        </w:rPr>
        <w:t xml:space="preserve"> </w:t>
      </w:r>
      <w:r w:rsidR="00874E0B">
        <w:rPr>
          <w:rFonts w:cs="Tahoma"/>
        </w:rPr>
        <w:t xml:space="preserve">Umowie, lecz nie wyższą niż wyliczona na podstawie postanowień </w:t>
      </w:r>
      <w:r w:rsidR="005F7D77">
        <w:rPr>
          <w:rFonts w:cs="Tahoma"/>
        </w:rPr>
        <w:t>Rozporządzenia 1370/2007</w:t>
      </w:r>
      <w:r>
        <w:rPr>
          <w:rFonts w:cs="Tahoma"/>
        </w:rPr>
        <w:t xml:space="preserve">. </w:t>
      </w:r>
    </w:p>
    <w:p w14:paraId="121A62CD" w14:textId="7E502766" w:rsidR="00AC519B" w:rsidRPr="00AC519B" w:rsidRDefault="00AC519B" w:rsidP="00AC519B">
      <w:pPr>
        <w:rPr>
          <w:rFonts w:cs="Tahoma"/>
          <w:bCs/>
          <w:szCs w:val="22"/>
        </w:rPr>
      </w:pPr>
      <w:r w:rsidRPr="00AC519B">
        <w:rPr>
          <w:rFonts w:cs="Tahoma"/>
          <w:bCs/>
          <w:szCs w:val="22"/>
        </w:rPr>
        <w:t xml:space="preserve">Wg </w:t>
      </w:r>
      <w:r w:rsidR="00A27FE8">
        <w:rPr>
          <w:rFonts w:cs="Tahoma"/>
          <w:bCs/>
          <w:szCs w:val="22"/>
        </w:rPr>
        <w:t>stanu na dzień 30 listopada 2021</w:t>
      </w:r>
      <w:r w:rsidRPr="00AC519B">
        <w:rPr>
          <w:rFonts w:cs="Tahoma"/>
          <w:bCs/>
          <w:szCs w:val="22"/>
        </w:rPr>
        <w:t xml:space="preserve"> r., w ramach rzeszowskiej komunikacji miejskiej funkcjonowały 64 całoroczne linie autobusowe, oznaczone handlowo numerami: 0A, 0B, 1, 2, 3, 4, 5, 6, 7, 8, 9, 10, 11, 12, 13, 14, 15, 16, 17, 18, 19, 20, 22, 23, 24, 25, 26, 27, 28, 29, 30, 31, 32, 33, 34, 35, 36, 37, 38, 39, 40, 41, 42, 43, 44, 45, 46, 47, 48, 49, 51, 52, 53, 54, 55, 56, 57, 58, 59, 60, 61, N1, N2 i N3 – organizowane przez ZTM w Rzeszowie i obsługiwane przez MPK </w:t>
      </w:r>
      <w:r w:rsidR="007F019A">
        <w:rPr>
          <w:rFonts w:cs="Tahoma"/>
          <w:bCs/>
          <w:szCs w:val="22"/>
        </w:rPr>
        <w:t>–</w:t>
      </w:r>
      <w:r w:rsidRPr="00AC519B">
        <w:rPr>
          <w:rFonts w:cs="Tahoma"/>
          <w:bCs/>
          <w:szCs w:val="22"/>
        </w:rPr>
        <w:t xml:space="preserve"> Rzeszów sp. z o.o. Poza tymi liniami uruchamiane są także w miarę potrzeb linie </w:t>
      </w:r>
      <w:r w:rsidRPr="00AC519B">
        <w:rPr>
          <w:rFonts w:cs="Tahoma"/>
          <w:bCs/>
          <w:szCs w:val="22"/>
        </w:rPr>
        <w:lastRenderedPageBreak/>
        <w:t>okresowe, w szczególności oznaczone literami linie specjalne dowożące corocznie pasażerów do cmentarzy w okresie Wszystkich Świętych.</w:t>
      </w:r>
    </w:p>
    <w:p w14:paraId="1CC806B0" w14:textId="77777777" w:rsidR="00AC5CB9" w:rsidRPr="00EE759E" w:rsidRDefault="00AC5CB9" w:rsidP="00AC519B">
      <w:pPr>
        <w:rPr>
          <w:rFonts w:cs="Tahoma"/>
          <w:bCs/>
        </w:rPr>
      </w:pPr>
      <w:r w:rsidRPr="00EE759E">
        <w:rPr>
          <w:rFonts w:cs="Tahoma"/>
          <w:bCs/>
        </w:rPr>
        <w:t>Kryterium zakresu funkcjonowania podzieliło linie rzeszowskiej komunikacji miejskiej na trzy kategorie:</w:t>
      </w:r>
    </w:p>
    <w:p w14:paraId="40B53C52" w14:textId="1D305EB2" w:rsidR="00AC5CB9" w:rsidRPr="00EE759E" w:rsidRDefault="00AC519B" w:rsidP="00AC519B">
      <w:pPr>
        <w:pStyle w:val="Akapitzlist"/>
        <w:numPr>
          <w:ilvl w:val="0"/>
          <w:numId w:val="25"/>
        </w:numPr>
        <w:spacing w:after="0" w:line="360" w:lineRule="auto"/>
        <w:ind w:left="357" w:hanging="357"/>
        <w:jc w:val="both"/>
        <w:rPr>
          <w:rFonts w:ascii="Tahoma" w:hAnsi="Tahoma" w:cs="Tahoma"/>
          <w:color w:val="000000" w:themeColor="text1"/>
        </w:rPr>
      </w:pPr>
      <w:r w:rsidRPr="00AC519B">
        <w:rPr>
          <w:rFonts w:ascii="Tahoma" w:hAnsi="Tahoma" w:cs="Tahoma"/>
          <w:color w:val="000000" w:themeColor="text1"/>
        </w:rPr>
        <w:t>czterdzieści cztery linie całotygodniowe – 0A, 0B, 1, 2, 3, 4, 5, 6, 7, 8, 9, 10, 11, 12, 13, 14, 15, 16, 17, 18, 19, 22, 25, 26, 27, 28, 30, 31, 32, 33, 34, 35, 37, 38, 44, 47, 48, 53, 57, 58, 59, N1, N2 i N3;</w:t>
      </w:r>
    </w:p>
    <w:p w14:paraId="03D7D9FA" w14:textId="00B467F2" w:rsidR="00AC5CB9" w:rsidRPr="00EE759E" w:rsidRDefault="00AC519B" w:rsidP="00AC519B">
      <w:pPr>
        <w:pStyle w:val="Akapitzlist"/>
        <w:numPr>
          <w:ilvl w:val="0"/>
          <w:numId w:val="25"/>
        </w:numPr>
        <w:spacing w:after="0" w:line="360" w:lineRule="auto"/>
        <w:ind w:left="357" w:hanging="357"/>
        <w:jc w:val="both"/>
        <w:rPr>
          <w:rFonts w:ascii="Tahoma" w:hAnsi="Tahoma" w:cs="Tahoma"/>
          <w:color w:val="000000" w:themeColor="text1"/>
        </w:rPr>
      </w:pPr>
      <w:r w:rsidRPr="00AC519B">
        <w:rPr>
          <w:rFonts w:ascii="Tahoma" w:hAnsi="Tahoma" w:cs="Tahoma"/>
          <w:color w:val="000000" w:themeColor="text1"/>
        </w:rPr>
        <w:t>dwie linie funkcjonujące w dni powszednie od poniedziałku do piątku oraz w soboty – 20 i 36;</w:t>
      </w:r>
    </w:p>
    <w:p w14:paraId="0AD20A8A" w14:textId="00168555" w:rsidR="00AC5CB9" w:rsidRDefault="00AC519B" w:rsidP="00AC519B">
      <w:pPr>
        <w:pStyle w:val="Akapitzlist"/>
        <w:numPr>
          <w:ilvl w:val="0"/>
          <w:numId w:val="25"/>
        </w:numPr>
        <w:spacing w:after="0" w:line="360" w:lineRule="auto"/>
        <w:ind w:left="357" w:hanging="357"/>
        <w:jc w:val="both"/>
        <w:rPr>
          <w:rFonts w:ascii="Tahoma" w:hAnsi="Tahoma" w:cs="Tahoma"/>
          <w:color w:val="000000" w:themeColor="text1"/>
        </w:rPr>
      </w:pPr>
      <w:r w:rsidRPr="00AC519B">
        <w:rPr>
          <w:rFonts w:ascii="Tahoma" w:hAnsi="Tahoma" w:cs="Tahoma"/>
          <w:color w:val="000000" w:themeColor="text1"/>
        </w:rPr>
        <w:t>szesnaście linii funkcjonujących tylko w dni powszednie – 23, 24, 29, 39, 40, 41, 42, 43, 45, 46, 49, 51, 52, 54, 55 i 56;</w:t>
      </w:r>
    </w:p>
    <w:p w14:paraId="39E78A89" w14:textId="7C392CAE" w:rsidR="00AF6A8F" w:rsidRPr="00EE759E" w:rsidRDefault="00AC519B" w:rsidP="00AC519B">
      <w:pPr>
        <w:pStyle w:val="Akapitzlist"/>
        <w:numPr>
          <w:ilvl w:val="0"/>
          <w:numId w:val="25"/>
        </w:numPr>
        <w:spacing w:after="0" w:line="360" w:lineRule="auto"/>
        <w:ind w:left="357" w:hanging="357"/>
        <w:jc w:val="both"/>
        <w:rPr>
          <w:rFonts w:ascii="Tahoma" w:hAnsi="Tahoma" w:cs="Tahoma"/>
          <w:color w:val="000000" w:themeColor="text1"/>
        </w:rPr>
      </w:pPr>
      <w:r w:rsidRPr="00AC519B">
        <w:rPr>
          <w:rFonts w:ascii="Tahoma" w:hAnsi="Tahoma" w:cs="Tahoma"/>
          <w:color w:val="000000" w:themeColor="text1"/>
        </w:rPr>
        <w:t>dwie linie funkcjonujące tylko w dni powszednie szkolne – 60 i 61.</w:t>
      </w:r>
    </w:p>
    <w:p w14:paraId="198973DA" w14:textId="77777777" w:rsidR="00AC519B" w:rsidRPr="00AC519B" w:rsidRDefault="00AC519B" w:rsidP="00AC519B">
      <w:r w:rsidRPr="00AC519B">
        <w:rPr>
          <w:rFonts w:cs="Tahoma"/>
          <w:bCs/>
          <w:szCs w:val="22"/>
        </w:rPr>
        <w:t xml:space="preserve">Trasy trzydziestu jeden linii autobusowych z segmentu połączeń całotygodniowych: 0A, 0B, 1, 2, 5, 6, 9, 10, 11, 13, 14, 15, 16, 17, 18, 19, 25, 26, 27, 30, 31, 32, 33, 38, 47, 48, 57, 59, N1, N2 i N3 </w:t>
      </w:r>
      <w:r w:rsidRPr="00AC519B">
        <w:rPr>
          <w:rFonts w:cs="Tahoma"/>
          <w:szCs w:val="22"/>
        </w:rPr>
        <w:t>zawierały się w całości w granicach miasta Rzeszowa. Trasy pozostałych trzynastu linii całotygodniowych obsługiwały także pasażerów z obszaru podmiejskiego. Sześć z tych linii, tj. 4, 7, 8, 12, 34 i 37, odgrywała jednak także istotne znaczenie na obszarze miasta Rzeszowa, a obsługa obszaru podmiejskiego była dla nich rolą drugorzędną. Pozostałe siedem linii obsługiwało zaś przede wszystkim pasażerów obszaru podmiejskiego, choć większość na terenie miasta także odgrywało dość znaczącą rolę.</w:t>
      </w:r>
    </w:p>
    <w:p w14:paraId="0E7E5A16" w14:textId="77777777" w:rsidR="00AC519B" w:rsidRPr="00AC519B" w:rsidRDefault="00AC519B" w:rsidP="00AC519B">
      <w:pPr>
        <w:rPr>
          <w:rFonts w:cs="Tahoma"/>
          <w:szCs w:val="22"/>
        </w:rPr>
      </w:pPr>
      <w:r w:rsidRPr="00AC519B">
        <w:rPr>
          <w:rFonts w:cs="Tahoma"/>
          <w:szCs w:val="22"/>
        </w:rPr>
        <w:t xml:space="preserve">Trasy wszystkich linii rzeszowskiej komunikacji zawierają się w gminach należących do Rzeszowskiego Obszaru Funkcjonalnego (ROF) – graniczących z Rzeszowem, który stanowi rdzeń ROF. Autobusy komunikacji miejskiej obsługują, na podstawie zawartych porozumień komunalnych, miejscowości w gminach miejsko-wiejskich Boguchwała i Tyczyn oraz w gminach wiejskich: Lubenia i Świlcza. Autobusy zatrzymują się także na obszarze trzech innych gmin, które nie są objęte porozumieniami międzygminnymi, tj. Krasne, Głogów Małopolski i Trzebownisko. Przystanek na terenie gminy Krasne znajduje się tuż przy granicy miasta, na terenie Centrum Handlowego Auchan, a jego lokalizacja uwarunkowana jest przyczynami technicznymi – brakiem pętli umożliwiającej nawrót na obszarze miasta. </w:t>
      </w:r>
    </w:p>
    <w:p w14:paraId="1EC861C5" w14:textId="77777777" w:rsidR="00AC519B" w:rsidRPr="00AC519B" w:rsidRDefault="00AC519B" w:rsidP="00AC519B">
      <w:pPr>
        <w:rPr>
          <w:rFonts w:cs="Tahoma"/>
          <w:szCs w:val="22"/>
        </w:rPr>
      </w:pPr>
      <w:r w:rsidRPr="00AC519B">
        <w:rPr>
          <w:rFonts w:cs="Tahoma"/>
          <w:szCs w:val="22"/>
        </w:rPr>
        <w:t>Częściowa obsługa przez ZTM Rzeszów terenu gmin Głogów Małopolski i Trzebownisko wynika z potrzeby zorganizowania dojazdu z Rzeszowa do Portu Lotniczego Rzeszów-Jasionka (znajdującego się na terenie gminy Trzebownisko), Parku Naukowo-Technologicznego oraz terenów Specjalnej Strefy Ekonomicznej. Linie 51 i 53 obsługują port lotniczy oraz strefy przemysłowe w Trzebownisku, linia 52 – tereny Podkarpackiego Parku Naukowo-Technologicznego przyległego do lotniska, zaś linia 54 – dojazdy do SSE w Rogoźnicy.</w:t>
      </w:r>
    </w:p>
    <w:p w14:paraId="390E472F" w14:textId="77777777" w:rsidR="00AC519B" w:rsidRPr="00AC519B" w:rsidRDefault="00AC519B" w:rsidP="00AC519B">
      <w:pPr>
        <w:rPr>
          <w:rFonts w:cs="Tahoma"/>
          <w:szCs w:val="22"/>
        </w:rPr>
      </w:pPr>
      <w:r w:rsidRPr="00AC519B">
        <w:rPr>
          <w:rFonts w:cs="Tahoma"/>
          <w:szCs w:val="22"/>
        </w:rPr>
        <w:lastRenderedPageBreak/>
        <w:t>Trasy trzynastu linii funkcjonujących tylko w wybrane dni tygodnia zawierały się w całości w granicach miasta, są to linie: 23, 24, 29, 36, 39, 40, 41, 42, 43, 46, 49, 55 i 61. Pozostałe linie z tego segmentu połączeń przekraczały granice miasta i miały charakter podmiejskich.</w:t>
      </w:r>
    </w:p>
    <w:p w14:paraId="34A33887" w14:textId="77777777" w:rsidR="00AC519B" w:rsidRPr="00AC519B" w:rsidRDefault="00AC519B" w:rsidP="00AC519B">
      <w:pPr>
        <w:rPr>
          <w:rFonts w:cs="Tahoma"/>
          <w:szCs w:val="22"/>
        </w:rPr>
      </w:pPr>
      <w:r w:rsidRPr="00AC519B">
        <w:rPr>
          <w:rFonts w:cs="Tahoma"/>
          <w:szCs w:val="22"/>
        </w:rPr>
        <w:t>Oferta przewozowa rzeszowskiej komunikacji miejskiej jest mocno zróżnicowana. Niektóre linie charakteryzuje dość wysoka częstotliwość kursowania pojazdów, najczęściej jednak nierytmiczna, inne pełnią natomiast funkcję uzupełniającą lub są dedykowane obsłudze konkretnych grup pasażerów. Tę grupę linii charakteryzuje również nierytmiczna, ale i zarazem dość niska częstotliwość kursów.</w:t>
      </w:r>
    </w:p>
    <w:p w14:paraId="025C8AA5" w14:textId="77777777" w:rsidR="00BA0B66" w:rsidRPr="00BA0B66" w:rsidRDefault="00BA0B66" w:rsidP="00BA0B66">
      <w:pPr>
        <w:rPr>
          <w:rFonts w:cs="Tahoma"/>
          <w:szCs w:val="22"/>
        </w:rPr>
      </w:pPr>
      <w:r w:rsidRPr="00BA0B66">
        <w:rPr>
          <w:rFonts w:cs="Tahoma"/>
          <w:szCs w:val="22"/>
        </w:rPr>
        <w:t>Największą częstotliwością kursowania – co ok. 12 minut w szczytach przewozowych – charakteryzują się przeciwbieżne, jednokierunkowe linie okólne 0A i 0B oraz dwie linie o charakterze średnicowym – 18 i 19. Do połączeń o wysokiej częstotliwości kursowania można także zaliczyć linie: 4, 12, 13, 17 i 30 i 34.</w:t>
      </w:r>
    </w:p>
    <w:p w14:paraId="452806BF" w14:textId="1A482689" w:rsidR="00E27B6A" w:rsidRPr="00394267" w:rsidRDefault="006A3406" w:rsidP="006A3406">
      <w:pPr>
        <w:rPr>
          <w:rFonts w:cs="Tahoma"/>
          <w:szCs w:val="22"/>
        </w:rPr>
      </w:pPr>
      <w:r w:rsidRPr="006A3406">
        <w:rPr>
          <w:rFonts w:cs="Tahoma"/>
          <w:szCs w:val="22"/>
        </w:rPr>
        <w:t>Biorąc pod uwagę intensywność funkcjonowania, linie rzeszowskiej komunikacji miejskiej można podzielić na połączenia z odpowiednio:</w:t>
      </w:r>
    </w:p>
    <w:p w14:paraId="2B979C70" w14:textId="318FEF94" w:rsidR="00E27B6A" w:rsidRPr="00394267" w:rsidRDefault="006A3406" w:rsidP="006A3406">
      <w:pPr>
        <w:numPr>
          <w:ilvl w:val="0"/>
          <w:numId w:val="22"/>
        </w:numPr>
        <w:ind w:left="357" w:hanging="357"/>
        <w:contextualSpacing/>
      </w:pPr>
      <w:r w:rsidRPr="006A3406">
        <w:t xml:space="preserve">ponad siedemdziesięcioma kursami w jednym kierunku w skali dnia powszedniego, które funkcjonują w tym rodzaju dnia całodziennie i w miarę rytmicznie, z częstotliwością kursów co ok. 12 minut w szczytach przewozowych i co 20-30 minut w porach międzyszczytowych; są to cztery linie: </w:t>
      </w:r>
      <w:r w:rsidRPr="006A3406">
        <w:rPr>
          <w:b/>
        </w:rPr>
        <w:t>0A</w:t>
      </w:r>
      <w:r w:rsidRPr="006A3406">
        <w:t xml:space="preserve">, </w:t>
      </w:r>
      <w:r w:rsidRPr="006A3406">
        <w:rPr>
          <w:b/>
        </w:rPr>
        <w:t>0B</w:t>
      </w:r>
      <w:r w:rsidRPr="006A3406">
        <w:t xml:space="preserve">, </w:t>
      </w:r>
      <w:r w:rsidRPr="006A3406">
        <w:rPr>
          <w:b/>
          <w:bCs/>
        </w:rPr>
        <w:t>18</w:t>
      </w:r>
      <w:r w:rsidRPr="006A3406">
        <w:t xml:space="preserve"> i </w:t>
      </w:r>
      <w:r w:rsidRPr="006A3406">
        <w:rPr>
          <w:b/>
          <w:bCs/>
        </w:rPr>
        <w:t>19</w:t>
      </w:r>
      <w:r w:rsidRPr="006A3406">
        <w:t xml:space="preserve">; </w:t>
      </w:r>
      <w:r w:rsidRPr="006A3406">
        <w:rPr>
          <w:b/>
          <w:bCs/>
        </w:rPr>
        <w:t>linie te wyłącznie dla potrzeb analizy kosztów i korzyści nazwano priorytetowymi</w:t>
      </w:r>
      <w:r w:rsidRPr="006A3406">
        <w:t>;</w:t>
      </w:r>
    </w:p>
    <w:p w14:paraId="7259405D" w14:textId="57FB8971" w:rsidR="00E27B6A" w:rsidRPr="00394267" w:rsidRDefault="006A3406" w:rsidP="006A3406">
      <w:pPr>
        <w:numPr>
          <w:ilvl w:val="0"/>
          <w:numId w:val="22"/>
        </w:numPr>
        <w:ind w:left="357" w:hanging="357"/>
        <w:contextualSpacing/>
      </w:pPr>
      <w:r w:rsidRPr="006A3406">
        <w:t xml:space="preserve">przynajmniej czterdziestoma parami kursów w skali dnia powszedniego – są to linie: </w:t>
      </w:r>
      <w:r w:rsidRPr="006A3406">
        <w:rPr>
          <w:b/>
          <w:bCs/>
        </w:rPr>
        <w:t>4</w:t>
      </w:r>
      <w:r w:rsidRPr="006A3406">
        <w:t xml:space="preserve">, </w:t>
      </w:r>
      <w:r w:rsidRPr="006A3406">
        <w:rPr>
          <w:b/>
          <w:bCs/>
        </w:rPr>
        <w:t>12</w:t>
      </w:r>
      <w:r w:rsidRPr="006A3406">
        <w:rPr>
          <w:bCs/>
        </w:rPr>
        <w:t xml:space="preserve">, </w:t>
      </w:r>
      <w:r w:rsidRPr="006A3406">
        <w:rPr>
          <w:b/>
          <w:bCs/>
        </w:rPr>
        <w:t>13</w:t>
      </w:r>
      <w:r w:rsidRPr="006A3406">
        <w:rPr>
          <w:bCs/>
        </w:rPr>
        <w:t xml:space="preserve">, </w:t>
      </w:r>
      <w:r w:rsidRPr="006A3406">
        <w:rPr>
          <w:b/>
          <w:bCs/>
        </w:rPr>
        <w:t xml:space="preserve">17, </w:t>
      </w:r>
      <w:r w:rsidRPr="006A3406">
        <w:rPr>
          <w:b/>
        </w:rPr>
        <w:t xml:space="preserve">30 </w:t>
      </w:r>
      <w:r w:rsidRPr="006A3406">
        <w:t xml:space="preserve">i </w:t>
      </w:r>
      <w:r w:rsidRPr="006A3406">
        <w:rPr>
          <w:b/>
        </w:rPr>
        <w:t xml:space="preserve">34 – </w:t>
      </w:r>
      <w:r w:rsidRPr="006A3406">
        <w:t xml:space="preserve">z częstotliwościami kursów w tym rodzaju dnia tygodnia zawierającymi się w przedziale pomiędzy 20 i 30 minut; </w:t>
      </w:r>
      <w:r w:rsidRPr="006A3406">
        <w:rPr>
          <w:b/>
          <w:bCs/>
        </w:rPr>
        <w:t>linie te wyłącznie dla potrzeb analizy kosztów i korzyści nazwano podstawowymi</w:t>
      </w:r>
      <w:r w:rsidRPr="006A3406">
        <w:t>;</w:t>
      </w:r>
    </w:p>
    <w:p w14:paraId="65071B28" w14:textId="16B18E5A" w:rsidR="00E27B6A" w:rsidRPr="00C01625" w:rsidRDefault="006A3406" w:rsidP="006A3406">
      <w:pPr>
        <w:numPr>
          <w:ilvl w:val="0"/>
          <w:numId w:val="22"/>
        </w:numPr>
        <w:ind w:left="357" w:hanging="357"/>
        <w:contextualSpacing/>
      </w:pPr>
      <w:r w:rsidRPr="006A3406">
        <w:t xml:space="preserve">o liczbie par kursów powyżej dziesięciu i nieprzekraczającej czterdziestu w dniu powszednim – to największa grupa linii: 1, 2, 3, 5, 6, 7, 8, 9, 10, 11, 14, 15, 16, 22, 23, 24, 25, 26, 27, 28, 31, 32, 33, 35, 36, 37, 38, 40, 42, 44, 45, 47, 51, 52, 53, 57, 58, 59, 61; </w:t>
      </w:r>
      <w:r w:rsidRPr="006A3406">
        <w:rPr>
          <w:b/>
          <w:bCs/>
        </w:rPr>
        <w:t>linie te nazwano uzupełniającymi</w:t>
      </w:r>
      <w:r w:rsidR="00E27B6A" w:rsidRPr="00C01625">
        <w:t>;</w:t>
      </w:r>
    </w:p>
    <w:p w14:paraId="5CA9B29C" w14:textId="711444F7" w:rsidR="00E27B6A" w:rsidRPr="00C01625" w:rsidRDefault="006A3406" w:rsidP="006A3406">
      <w:pPr>
        <w:numPr>
          <w:ilvl w:val="0"/>
          <w:numId w:val="22"/>
        </w:numPr>
        <w:ind w:left="357" w:hanging="357"/>
        <w:contextualSpacing/>
      </w:pPr>
      <w:r w:rsidRPr="006A3406">
        <w:t>z jedynie kilkoma parami kursów w dniu powszednim: 20, 29, 39, 41, 43, 46, 48, 49, 50, 54, 55, 56 i 60 oraz nocne N1, N2 i N3.</w:t>
      </w:r>
    </w:p>
    <w:p w14:paraId="5C4E209A" w14:textId="4BA16523" w:rsidR="00CF3F18" w:rsidRDefault="006A3406" w:rsidP="006A3406">
      <w:pPr>
        <w:rPr>
          <w:rFonts w:cs="Tahoma"/>
          <w:szCs w:val="22"/>
        </w:rPr>
      </w:pPr>
      <w:r w:rsidRPr="006A3406">
        <w:rPr>
          <w:rFonts w:cs="Tahoma"/>
          <w:szCs w:val="22"/>
        </w:rPr>
        <w:t>Dwie linie – 60 i 61 – mają charakter dowożących dzieci do szkół.</w:t>
      </w:r>
    </w:p>
    <w:p w14:paraId="41FD2457" w14:textId="77777777" w:rsidR="006A3406" w:rsidRPr="006A3406" w:rsidRDefault="006A3406" w:rsidP="006A3406">
      <w:pPr>
        <w:rPr>
          <w:rFonts w:cs="Tahoma"/>
          <w:szCs w:val="22"/>
        </w:rPr>
      </w:pPr>
      <w:r w:rsidRPr="006A3406">
        <w:rPr>
          <w:rFonts w:cs="Tahoma"/>
          <w:szCs w:val="22"/>
        </w:rPr>
        <w:t>Układ tras większości linii rzeszowskiej komunikacji miejskiej ma charakter średnicowy, tylko kilka z nich omija ścisłe centrum miasta, a niektóre (o charakterze podmiejskim) kończą w nim swoje trasy, mając przebieg promienisty.</w:t>
      </w:r>
    </w:p>
    <w:p w14:paraId="5AE5BE13" w14:textId="77777777" w:rsidR="006A3406" w:rsidRPr="006A3406" w:rsidRDefault="006A3406" w:rsidP="006A3406">
      <w:pPr>
        <w:rPr>
          <w:rFonts w:cs="Tahoma"/>
          <w:szCs w:val="22"/>
        </w:rPr>
      </w:pPr>
      <w:r w:rsidRPr="006A3406">
        <w:rPr>
          <w:rFonts w:cs="Tahoma"/>
          <w:szCs w:val="22"/>
        </w:rPr>
        <w:lastRenderedPageBreak/>
        <w:t>Największa koncentracja połączeń komunikacji miejskiej występuje w bezpośrednim sąsiedztwie dworca kolejowego – w al. Piłsudskiego, na rondzie Dmowskiego i w al. Cieplińskiego (prowadzą tamtędy trasy aż 31 linii autobusowych).</w:t>
      </w:r>
    </w:p>
    <w:p w14:paraId="457E4535" w14:textId="77777777" w:rsidR="006A3406" w:rsidRPr="006A3406" w:rsidRDefault="006A3406" w:rsidP="006A3406">
      <w:pPr>
        <w:rPr>
          <w:rFonts w:cs="Tahoma"/>
          <w:szCs w:val="22"/>
        </w:rPr>
      </w:pPr>
      <w:r w:rsidRPr="006A3406">
        <w:rPr>
          <w:rFonts w:cs="Tahoma"/>
          <w:szCs w:val="22"/>
        </w:rPr>
        <w:t>Część rzeszowskich linii posiada więcej niż jeden wariant trasy dla każdego z kierunków ruchu. Na ogół wynika to z wydłużania niektórych kursów albo też ze skracania niektórych kursów do przystanków w centrum.</w:t>
      </w:r>
    </w:p>
    <w:p w14:paraId="1831DBA5" w14:textId="77777777" w:rsidR="006A3406" w:rsidRPr="006A3406" w:rsidRDefault="006A3406" w:rsidP="006A3406">
      <w:pPr>
        <w:rPr>
          <w:rFonts w:cs="Tahoma"/>
          <w:szCs w:val="22"/>
        </w:rPr>
      </w:pPr>
      <w:r w:rsidRPr="006A3406">
        <w:rPr>
          <w:rFonts w:cs="Tahoma"/>
          <w:szCs w:val="22"/>
        </w:rPr>
        <w:t>Trasy licznych linii miejskich mają charakter mocno skomplikowany, meandrując przez osiedla lub co najmniej na nie zajeżdżając, co zdecydowanie wydłuża czas przejazdu pomiędzy głównymi celami podróży.</w:t>
      </w:r>
    </w:p>
    <w:p w14:paraId="3CB99860" w14:textId="77777777" w:rsidR="006A3406" w:rsidRPr="006A3406" w:rsidRDefault="006A3406" w:rsidP="006A3406">
      <w:r w:rsidRPr="006A3406">
        <w:t>Aktualnie taborem zeroemisyjnym obsługiwane są tylko linie 0A i 0B. Trasa obydwu linii obejmuje główne ulice miasta o bardzo intensywnym ruchu miejskim i gęstej sieci przystanków – w obszarze intensywnej zabudowy śródmiejskiej. Linie 0A i 0B łączą wiele źródeł podróży i są jednocześnie głównymi liniami priorytetowymi o najwyższej częstotliwości kursowania pojazdów w skali całej sieci komunikacyjnej. Para przeciwbieżnych linii 0A i 0B obsługiwana jest autobusami elektrycznymi o standardowej długości 12 metrów, czego rezultatem jest dość duże zatłoczenie pojazdów – wskazywane jako niedogodność przez mieszkańców miasta – co ma szczególne znaczenie w okresie pandemii SARS-CoV-19. Operator rzeszowskiej komunikacji miejskiej nie dysponuje aktualnie taborem zeroemisyjnym o większej długości.</w:t>
      </w:r>
    </w:p>
    <w:p w14:paraId="5F10C5C8" w14:textId="77777777" w:rsidR="006A3406" w:rsidRPr="006A3406" w:rsidRDefault="006A3406" w:rsidP="006A3406">
      <w:r w:rsidRPr="006A3406">
        <w:t>Liniami uznanymi za priorytetowe, o bardzo wysokiej częstotliwości kursowania, są poza wyżej wymienionymi 0A i 0B, także 18 i 19. Na liniach tych realizuje się najwięcej kursów w każdym rodzaju dnia tygodnia.</w:t>
      </w:r>
    </w:p>
    <w:p w14:paraId="218085AA" w14:textId="77777777" w:rsidR="006A3406" w:rsidRPr="006A3406" w:rsidRDefault="006A3406" w:rsidP="006A3406">
      <w:r w:rsidRPr="006A3406">
        <w:t xml:space="preserve">Trasa linii 18 prowadzi z osiedla Baranówka (pętla przy ul. Obrońców Poczty Gdańskiej), al. Wyzwolenia i ul. Marszałkowską do śródmieścia, następnie ulicami Cieplińskiego, Lisa Kuli, Dąbrowskiego i al. Powstańców Warszawy – obok obiektów Politechniki Rzeszowskiej oraz centrów handlowych przy skrzyżowaniu z ul. Rejtana – a dalej al. Sikorskiego i ul. Łukasiewicza do osiedla Zalesie (pętla Łukasiewicza) i jednego z kampusów Uniwersytetu Rzeszowskiego. Linia 19 ma te same obydwa krańce co linia 18, z tym że jej trasa prowadzi z os. Baranówka do śródmieścia al. Okulickiego i ul. Krakowską, a ze śródmieścia do os. Zalesie – al. Piłsudskiego i al. Rejtana. Wybrane kursy linii 18 i 19 zostały wydłużone z pętli przy ul. Obrońców na os. Baranówka ul. Poczty Gdańskiej do ul. </w:t>
      </w:r>
      <w:proofErr w:type="spellStart"/>
      <w:r w:rsidRPr="006A3406">
        <w:t>Miłocińskiej</w:t>
      </w:r>
      <w:proofErr w:type="spellEnd"/>
      <w:r w:rsidRPr="006A3406">
        <w:t>.</w:t>
      </w:r>
    </w:p>
    <w:p w14:paraId="11450CBC" w14:textId="77777777" w:rsidR="006A3406" w:rsidRPr="006A3406" w:rsidRDefault="006A3406" w:rsidP="006A3406">
      <w:r w:rsidRPr="006A3406">
        <w:t xml:space="preserve">Trasę linii 4 wytyczono z centrum handlowego w Krasnem – zlokalizowanego tuż przy wschodniej granicy miasta Rzeszowa – ul. Lwowską przez osiedle Wilkowyja i </w:t>
      </w:r>
      <w:proofErr w:type="spellStart"/>
      <w:r w:rsidRPr="006A3406">
        <w:t>Pobitno</w:t>
      </w:r>
      <w:proofErr w:type="spellEnd"/>
      <w:r w:rsidRPr="006A3406">
        <w:t xml:space="preserve">, następnie najprostszą drogą do centrum miasta – al. Piłsudskiego. Od ronda Dmowskiego trasa linii </w:t>
      </w:r>
      <w:r w:rsidRPr="006A3406">
        <w:lastRenderedPageBreak/>
        <w:t xml:space="preserve">4 prowadzi na os. Staromieście – ulicami Marszałkowską i Warszawską do nowo wybudowanych osiedli przy ul. </w:t>
      </w:r>
      <w:proofErr w:type="spellStart"/>
      <w:r w:rsidRPr="006A3406">
        <w:t>Krogulskiego</w:t>
      </w:r>
      <w:proofErr w:type="spellEnd"/>
      <w:r w:rsidRPr="006A3406">
        <w:t xml:space="preserve"> i ul. Lubelskiej, kończąc bieg przy zajezdni autobusowej MPK, położonej przy północnej granicy miasta.</w:t>
      </w:r>
    </w:p>
    <w:p w14:paraId="7FC282EA" w14:textId="77777777" w:rsidR="006A3406" w:rsidRPr="006A3406" w:rsidRDefault="006A3406" w:rsidP="006A3406">
      <w:r w:rsidRPr="006A3406">
        <w:t>Trasa linii 12 prowadzi z osiedla Budziwój (a w wybranych kursach także z sołectwa Siedliska w gminie Lubenia) w południowej części miasta – ulicami: Budziwojską, Jana Pawła II i Kwiatkowskiego do al. Powstańców Warszawy i ul. Hetmańskiej, a dalej w centrum miasta ulicami: Kilara, Szopena i Targową. Ze względu na przebudowę infrastruktury drogowej po wschodniej stronie stacji Rzeszów Główny, trasa linii 12 aktualnie wytyczona jest objazdem: zamiast ulicami Batorego i Żółkiewskiego, prowadzi al. Piłsudskiego oraz ulicami: Marszałkowską, Lubelską i Maczka do ul. Siemieńskiego i dalej do ul. Trembeckiego na osiedlu Staromieście.</w:t>
      </w:r>
    </w:p>
    <w:p w14:paraId="02988CD7" w14:textId="77777777" w:rsidR="006A3406" w:rsidRPr="006A3406" w:rsidRDefault="006A3406" w:rsidP="006A3406">
      <w:r w:rsidRPr="006A3406">
        <w:t xml:space="preserve">Trasa linii 13 stanowi najbardziej osobliwy i jaskrawy przykład tego, jak mocno linie autobusowe w Rzeszowie meandrują – aby obsłużyć dużą liczbę źródeł i celów podróży znacznie wydłużoną trasą. Autobusy tej linii rozpoczynają bieg na pętli przy szpitalu przy ul. Lwowskiej, dalej przejeżdżając al. Armii Krajowej i al. Niepodległości do al. Rejtana – na tym odcinku trasy kompleksowo obsługując liczne obiekty handlowe w tej części Rzeszowa – obok osiedla Nowe Miasto. Dalej trasa linii prowadzi al. Powstańców Warszawy i ul. Hetmańską, dopiero w tym momencie obsługując obszar centralny – wokół ulic Kilara, Szopena, Targowej i al. Piłsudskiego. Następnie autobusy linii 13 obsługują północno-zachodnie osiedla (m.in. Tysiąclecia, Baranówka i Andersa), kursując ulicami: Marszałkowską, Lubelską, al. Wyzwolenia, Ofiar Katynia – aby obsłużyć kolejne osiedla w zachodniej części miasta: Kotuli (w tym penetrując Wzgórza </w:t>
      </w:r>
      <w:proofErr w:type="spellStart"/>
      <w:r w:rsidRPr="006A3406">
        <w:t>Staroniwskie</w:t>
      </w:r>
      <w:proofErr w:type="spellEnd"/>
      <w:r w:rsidRPr="006A3406">
        <w:t>), Krakowska-Południe i Kmity.</w:t>
      </w:r>
    </w:p>
    <w:p w14:paraId="3F61F45E" w14:textId="77777777" w:rsidR="006A3406" w:rsidRPr="006A3406" w:rsidRDefault="006A3406" w:rsidP="006A3406">
      <w:r w:rsidRPr="006A3406">
        <w:t>Trasa linii 17 prowadzi po wschodniej stronie miasta od Szpitala Wojewódzkiego nr 2 – przy którym znajduje się duży przystanek krańcowy – ul. Lwowską, przez osiedla: Mieszka I, Paderewskiego i Nowe Miasto, następnie al. Rejtana – obok centrów handlowych i obiektów Uniwersytetu Rzeszowskiego – do al. Piłsudskiego w śródmieściu. Kolejny odcinek trasy tej linii prowadzi ul. Krakowską i al. Witosa na osiedle Kmity, a wybranymi kursami – do strefy zindustrializowanej przy ul. Przemysłowej. Wschodni odcinek trasy linii 17 charakteryzuje znaczące wydłużenie trasy.</w:t>
      </w:r>
    </w:p>
    <w:p w14:paraId="27919626" w14:textId="77777777" w:rsidR="006A3406" w:rsidRPr="006A3406" w:rsidRDefault="006A3406" w:rsidP="006A3406">
      <w:r w:rsidRPr="006A3406">
        <w:t>Trasa linii 30 rozpoczyna się na osiedlu Andersa – na pętli przy ul. Mikołajczyka – i następnie prowadzi al. Wyzwolenia, al. Okulickiego i ul. Krakowską do śródmieścia oraz dalej al. Cieplińskiego, al. Dąbrowskiego i ul. Podkarpacką – do pętli przy ul. Matuszczaka przy wiodącym obszarze przemysłowym, skupiającym głównie przedsiębiorstwa z branży lotniczej.</w:t>
      </w:r>
    </w:p>
    <w:p w14:paraId="26158D32" w14:textId="77777777" w:rsidR="006A3406" w:rsidRPr="006A3406" w:rsidRDefault="006A3406" w:rsidP="006A3406">
      <w:r w:rsidRPr="006A3406">
        <w:t xml:space="preserve">Trasa linii 34 rozpoczyna się na pograniczu Rzeszowa przy ul. Błękitne Wzgórze i sołectwa Kielanówka w gminie Boguchwała, prowadząc przez to sołectwo do granic rzeszowskiego </w:t>
      </w:r>
      <w:r w:rsidRPr="006A3406">
        <w:lastRenderedPageBreak/>
        <w:t xml:space="preserve">osiedla </w:t>
      </w:r>
      <w:proofErr w:type="spellStart"/>
      <w:r w:rsidRPr="006A3406">
        <w:t>Staroniwa</w:t>
      </w:r>
      <w:proofErr w:type="spellEnd"/>
      <w:r w:rsidRPr="006A3406">
        <w:t xml:space="preserve">, a następnie przez osiedle Kmity i ulicami: </w:t>
      </w:r>
      <w:proofErr w:type="spellStart"/>
      <w:r w:rsidRPr="006A3406">
        <w:t>Staroniwską</w:t>
      </w:r>
      <w:proofErr w:type="spellEnd"/>
      <w:r w:rsidRPr="006A3406">
        <w:t>, Wita Stwosza, Wyspiańskiego, al. Witosa i ul. Krakowską – do centrum miasta. Kolejny odcinek trasy linii – w centrum – prowadzi al. Cieplińskiego i ul. Lisa Kuli, po czym dalej ulicami: Hetmańską, al. Powstańców Warszawy i al. Rejtana, następnie przez os. Paderewskiego i Mieszka I – ulicami: Paderewskiego, Krzyżanowskiego, al. Niepodległości i Mieszka I – do szpitala przy ul. Lwowskiej.</w:t>
      </w:r>
    </w:p>
    <w:p w14:paraId="31B9DF0A" w14:textId="77777777" w:rsidR="006A3406" w:rsidRPr="006A3406" w:rsidRDefault="006A3406" w:rsidP="006A3406">
      <w:pPr>
        <w:rPr>
          <w:rFonts w:cs="Tahoma"/>
          <w:szCs w:val="22"/>
        </w:rPr>
      </w:pPr>
      <w:r w:rsidRPr="006A3406">
        <w:rPr>
          <w:rFonts w:cs="Tahoma"/>
          <w:szCs w:val="22"/>
        </w:rPr>
        <w:t>Linie z największą liczbą kursów w ciągu dnia, obsługujące główne rejony zabudowy mieszkaniowej (w tym intensywnej – wielorodzinnej) i przemysłowej oraz centrum miasta, mogą być docelowo przeznaczone do obsługi taborem zeroemisyjnym. Autobusy elektryczne w szczególności byłyby pożądane na ulicach centrum miasta oraz wewnątrz osiedli z zabudową wielorodzinną, przyczyniając się do redukcji hałasu emitowanego przez pojazdy komunikacji miejskiej. Autobusy elektryczne obsługujące linie 0A i 0B pełnią już obecnie dokładnie taką rolę.</w:t>
      </w:r>
    </w:p>
    <w:p w14:paraId="42AE4CE3" w14:textId="065E5EE0" w:rsidR="006A3406" w:rsidRPr="006A3406" w:rsidRDefault="006A3406" w:rsidP="006A3406">
      <w:pPr>
        <w:rPr>
          <w:rFonts w:cs="Tahoma"/>
          <w:szCs w:val="22"/>
        </w:rPr>
      </w:pPr>
      <w:r w:rsidRPr="006A3406">
        <w:rPr>
          <w:rFonts w:cs="Tahoma"/>
          <w:szCs w:val="22"/>
        </w:rPr>
        <w:t>Maksymalna liczba autobusów niezbędna do wykonania wszystkich zadań przewozowych zaplanowanych w sieci stałych linii autobusowych rzeszowskiej komunikacji</w:t>
      </w:r>
      <w:r w:rsidR="00D4666B">
        <w:rPr>
          <w:rFonts w:cs="Tahoma"/>
          <w:szCs w:val="22"/>
        </w:rPr>
        <w:t xml:space="preserve"> miejskiej w dniu powszednim – </w:t>
      </w:r>
      <w:r w:rsidRPr="006A3406">
        <w:rPr>
          <w:rFonts w:cs="Tahoma"/>
          <w:szCs w:val="22"/>
        </w:rPr>
        <w:t>według stanu na dzień 20 listopada 2021 r. – wyniosła 183 pojazdy.</w:t>
      </w:r>
    </w:p>
    <w:p w14:paraId="64D8107C" w14:textId="77777777" w:rsidR="006A3406" w:rsidRPr="006A3406" w:rsidRDefault="006A3406" w:rsidP="006A3406">
      <w:pPr>
        <w:rPr>
          <w:rFonts w:cs="Tahoma"/>
        </w:rPr>
      </w:pPr>
      <w:r w:rsidRPr="006A3406">
        <w:rPr>
          <w:rFonts w:cs="Tahoma"/>
        </w:rPr>
        <w:t>Operator przewozów, w celu zoptymalizowania pracy kierowców i wykorzystania taboru, może układać zadania przewozowe ze zmianą dziennego przypisania pojazdów do obsługiwanych linii. Rozwiązanie takie można dowolnie stosować w przypadku wykorzystywania taboru zasilanego olejem napędowym, czyli paliwa uzupełnianego tylko jeden raz dziennie, w zajezdni operatora. W przypadku zastosowania taboru zeroemisyjnego doładowywanego także na pętlach, układ zadań przewozowych wymagałby dokonania pewnej przebudowy, uwzględniającej ten fakt – w celu wygospodarowania czasu postoju na doładowywanie autobusów. Ewentualna rotacja taboru byłaby natomiast możliwa wyłącznie pomiędzy liniami ze wspólną pętlą z ładowarką.</w:t>
      </w:r>
    </w:p>
    <w:p w14:paraId="4FFD4016" w14:textId="77777777" w:rsidR="006A3406" w:rsidRPr="006A3406" w:rsidRDefault="006A3406" w:rsidP="006A3406">
      <w:pPr>
        <w:rPr>
          <w:rFonts w:cs="Tahoma"/>
        </w:rPr>
      </w:pPr>
      <w:r w:rsidRPr="006A3406">
        <w:rPr>
          <w:rFonts w:cs="Tahoma"/>
        </w:rPr>
        <w:t xml:space="preserve">Część pętli autobusowych lub przystanków krańcowych połączeń rzeszowskiej komunikacji miejskiej – wg stanu na dzień 20 listopada 2021 r. – skupiała po kilka linii. </w:t>
      </w:r>
    </w:p>
    <w:p w14:paraId="391B9908" w14:textId="524F70ED" w:rsidR="00E27B6A" w:rsidRPr="00117435" w:rsidRDefault="006A3406" w:rsidP="006A3406">
      <w:pPr>
        <w:rPr>
          <w:rFonts w:cs="Tahoma"/>
        </w:rPr>
      </w:pPr>
      <w:bookmarkStart w:id="28" w:name="_Hlk90028016"/>
      <w:r w:rsidRPr="008546E8">
        <w:rPr>
          <w:rFonts w:cs="Tahoma"/>
        </w:rPr>
        <w:t>W szczególności</w:t>
      </w:r>
      <w:r>
        <w:rPr>
          <w:rFonts w:cs="Tahoma"/>
        </w:rPr>
        <w:t>,</w:t>
      </w:r>
      <w:r w:rsidRPr="008546E8">
        <w:rPr>
          <w:rFonts w:cs="Tahoma"/>
        </w:rPr>
        <w:t xml:space="preserve"> cztery lub więcej linii skupiały</w:t>
      </w:r>
      <w:r>
        <w:rPr>
          <w:rFonts w:cs="Tahoma"/>
        </w:rPr>
        <w:t xml:space="preserve"> pętle</w:t>
      </w:r>
      <w:r w:rsidR="00E27B6A" w:rsidRPr="00117435">
        <w:rPr>
          <w:rFonts w:cs="Tahoma"/>
        </w:rPr>
        <w:t>:</w:t>
      </w:r>
    </w:p>
    <w:p w14:paraId="6C5E205B" w14:textId="4C64863B" w:rsidR="00D23F6D" w:rsidRPr="00117435" w:rsidRDefault="006A3406" w:rsidP="006A3406">
      <w:pPr>
        <w:numPr>
          <w:ilvl w:val="0"/>
          <w:numId w:val="21"/>
        </w:numPr>
        <w:tabs>
          <w:tab w:val="num" w:pos="426"/>
        </w:tabs>
        <w:ind w:left="357" w:hanging="357"/>
        <w:rPr>
          <w:color w:val="000000" w:themeColor="text1"/>
        </w:rPr>
      </w:pPr>
      <w:bookmarkStart w:id="29" w:name="_Hlk85013495"/>
      <w:r w:rsidRPr="006A3406">
        <w:rPr>
          <w:color w:val="000000" w:themeColor="text1"/>
        </w:rPr>
        <w:t>Bardowskiego – w centrum miasta, blisko dworca kolejowego, składająca się z trzech peronów – dziesięć linii: 20, 22, 29, 35, 41, 45, 51, 52, 54 i 55;</w:t>
      </w:r>
    </w:p>
    <w:p w14:paraId="555F807E" w14:textId="681B3DAD" w:rsidR="002704FF" w:rsidRPr="00117435" w:rsidRDefault="006A3406" w:rsidP="006A3406">
      <w:pPr>
        <w:numPr>
          <w:ilvl w:val="0"/>
          <w:numId w:val="21"/>
        </w:numPr>
        <w:tabs>
          <w:tab w:val="num" w:pos="426"/>
        </w:tabs>
        <w:ind w:left="357" w:hanging="357"/>
        <w:rPr>
          <w:color w:val="000000" w:themeColor="text1"/>
        </w:rPr>
      </w:pPr>
      <w:r w:rsidRPr="006A3406">
        <w:rPr>
          <w:color w:val="000000" w:themeColor="text1"/>
        </w:rPr>
        <w:t xml:space="preserve">Lubelska </w:t>
      </w:r>
      <w:r w:rsidR="008348DF">
        <w:rPr>
          <w:color w:val="000000" w:themeColor="text1"/>
        </w:rPr>
        <w:t xml:space="preserve">Zajezdnia </w:t>
      </w:r>
      <w:r w:rsidRPr="006A3406">
        <w:rPr>
          <w:color w:val="000000" w:themeColor="text1"/>
        </w:rPr>
        <w:t>MPK – w północnej części miasta, w sąsiedztwie zajezdni operatora – osiem linii: 4, 5, 23, 28, 31, 33, N1 i N3;</w:t>
      </w:r>
    </w:p>
    <w:p w14:paraId="29DF1C21" w14:textId="4FFA77D7" w:rsidR="004C029A" w:rsidRPr="00117435" w:rsidRDefault="008348DF" w:rsidP="008348DF">
      <w:pPr>
        <w:numPr>
          <w:ilvl w:val="0"/>
          <w:numId w:val="21"/>
        </w:numPr>
        <w:tabs>
          <w:tab w:val="num" w:pos="426"/>
        </w:tabs>
        <w:ind w:left="357" w:hanging="357"/>
        <w:rPr>
          <w:color w:val="000000" w:themeColor="text1"/>
        </w:rPr>
      </w:pPr>
      <w:r w:rsidRPr="008348DF">
        <w:rPr>
          <w:color w:val="000000" w:themeColor="text1"/>
        </w:rPr>
        <w:t>Bł. Karoliny – przystanek krańcowy w zachodniej części miasta, na skraju osiedla Słoneczny Stok – siedem linii: 10, 27, 36, 40, 42, 60 i N2;</w:t>
      </w:r>
    </w:p>
    <w:p w14:paraId="7F1B1C22" w14:textId="7B87236E" w:rsidR="002704FF" w:rsidRDefault="008348DF" w:rsidP="008348DF">
      <w:pPr>
        <w:numPr>
          <w:ilvl w:val="0"/>
          <w:numId w:val="21"/>
        </w:numPr>
        <w:tabs>
          <w:tab w:val="num" w:pos="426"/>
        </w:tabs>
        <w:ind w:left="357" w:hanging="357"/>
        <w:rPr>
          <w:color w:val="000000" w:themeColor="text1"/>
        </w:rPr>
      </w:pPr>
      <w:r w:rsidRPr="008348DF">
        <w:rPr>
          <w:color w:val="000000" w:themeColor="text1"/>
        </w:rPr>
        <w:lastRenderedPageBreak/>
        <w:t>Przemysłowa Urząd Celny – w południowej części miasta w obszarze zindustrializowanym – sześć linii: 17, 29, 39, 43, 49 i 59;</w:t>
      </w:r>
    </w:p>
    <w:p w14:paraId="0EF0030D" w14:textId="1788F754" w:rsidR="002704FF" w:rsidRDefault="008348DF" w:rsidP="008348DF">
      <w:pPr>
        <w:numPr>
          <w:ilvl w:val="0"/>
          <w:numId w:val="21"/>
        </w:numPr>
        <w:tabs>
          <w:tab w:val="num" w:pos="426"/>
        </w:tabs>
        <w:ind w:left="357" w:hanging="357"/>
        <w:rPr>
          <w:color w:val="000000" w:themeColor="text1"/>
        </w:rPr>
      </w:pPr>
      <w:r w:rsidRPr="008348DF">
        <w:rPr>
          <w:color w:val="000000" w:themeColor="text1"/>
        </w:rPr>
        <w:t>Cienista Cmentarz – we wschodniej części miasta, przy cmentarzu komunalnym Wilkowyja – pięć linii: 15, 25, 26, 27 i 48;</w:t>
      </w:r>
    </w:p>
    <w:p w14:paraId="145D3CAF" w14:textId="50CCC241" w:rsidR="004C029A" w:rsidRDefault="008348DF" w:rsidP="008348DF">
      <w:pPr>
        <w:numPr>
          <w:ilvl w:val="0"/>
          <w:numId w:val="21"/>
        </w:numPr>
        <w:tabs>
          <w:tab w:val="num" w:pos="426"/>
        </w:tabs>
        <w:ind w:left="357" w:hanging="357"/>
        <w:rPr>
          <w:color w:val="000000" w:themeColor="text1"/>
        </w:rPr>
      </w:pPr>
      <w:r w:rsidRPr="008348DF">
        <w:rPr>
          <w:color w:val="000000" w:themeColor="text1"/>
        </w:rPr>
        <w:t>Dworzec Lokalny – w centrum miasta, przy dworcu autobusowym zarządzanym przez Organizatora – pięć linii: 7, 14, 16, 46 i 53;</w:t>
      </w:r>
    </w:p>
    <w:p w14:paraId="30942739" w14:textId="475776CE" w:rsidR="002D08D4" w:rsidRDefault="008348DF" w:rsidP="008348DF">
      <w:pPr>
        <w:numPr>
          <w:ilvl w:val="0"/>
          <w:numId w:val="21"/>
        </w:numPr>
        <w:tabs>
          <w:tab w:val="num" w:pos="426"/>
        </w:tabs>
        <w:ind w:left="357" w:hanging="357"/>
        <w:rPr>
          <w:color w:val="000000" w:themeColor="text1"/>
        </w:rPr>
      </w:pPr>
      <w:r w:rsidRPr="008348DF">
        <w:rPr>
          <w:color w:val="000000" w:themeColor="text1"/>
        </w:rPr>
        <w:t>Łukasiewicza – w południowej części miasta, w pobliżu obiektów Uniwersytetu Rzeszowskiego – pięć linii: 10, 18, 40, 61 i N1;</w:t>
      </w:r>
      <w:r w:rsidR="002D08D4">
        <w:rPr>
          <w:color w:val="000000" w:themeColor="text1"/>
        </w:rPr>
        <w:t xml:space="preserve"> </w:t>
      </w:r>
    </w:p>
    <w:p w14:paraId="61DCA7FD" w14:textId="7CD2F5BE" w:rsidR="002704FF" w:rsidRDefault="008348DF" w:rsidP="008348DF">
      <w:pPr>
        <w:numPr>
          <w:ilvl w:val="0"/>
          <w:numId w:val="21"/>
        </w:numPr>
        <w:tabs>
          <w:tab w:val="num" w:pos="426"/>
        </w:tabs>
        <w:ind w:left="357" w:hanging="357"/>
        <w:rPr>
          <w:color w:val="000000" w:themeColor="text1"/>
        </w:rPr>
      </w:pPr>
      <w:r w:rsidRPr="008348DF">
        <w:rPr>
          <w:color w:val="000000" w:themeColor="text1"/>
        </w:rPr>
        <w:t xml:space="preserve">Obr. Poczty Gdańskiej – położona w północnej części miasta, przy os. Baranówka – pięć linii: 18, 19, 24, 32 i N1, z tym że część kursów niektórych z ww. linii przedłużona została do pętli </w:t>
      </w:r>
      <w:proofErr w:type="spellStart"/>
      <w:r w:rsidRPr="008348DF">
        <w:rPr>
          <w:color w:val="000000" w:themeColor="text1"/>
        </w:rPr>
        <w:t>Miłocińska</w:t>
      </w:r>
      <w:proofErr w:type="spellEnd"/>
      <w:r w:rsidRPr="008348DF">
        <w:rPr>
          <w:color w:val="000000" w:themeColor="text1"/>
        </w:rPr>
        <w:t>;</w:t>
      </w:r>
    </w:p>
    <w:p w14:paraId="467985C4" w14:textId="16978C74" w:rsidR="002704FF" w:rsidRPr="00117435" w:rsidRDefault="008348DF" w:rsidP="008348DF">
      <w:pPr>
        <w:numPr>
          <w:ilvl w:val="0"/>
          <w:numId w:val="21"/>
        </w:numPr>
        <w:tabs>
          <w:tab w:val="num" w:pos="426"/>
        </w:tabs>
        <w:ind w:left="357" w:hanging="357"/>
        <w:rPr>
          <w:color w:val="000000" w:themeColor="text1"/>
        </w:rPr>
      </w:pPr>
      <w:r w:rsidRPr="008348DF">
        <w:rPr>
          <w:color w:val="000000" w:themeColor="text1"/>
        </w:rPr>
        <w:t>Trembeckiego – w północnej części miasta, obok siedziby Organizatora – cztery linie: 12, 29, 37 i 59;</w:t>
      </w:r>
    </w:p>
    <w:p w14:paraId="3C2F97EA" w14:textId="1F7221C6" w:rsidR="004C029A" w:rsidRDefault="008348DF" w:rsidP="008348DF">
      <w:pPr>
        <w:numPr>
          <w:ilvl w:val="0"/>
          <w:numId w:val="21"/>
        </w:numPr>
        <w:tabs>
          <w:tab w:val="num" w:pos="426"/>
        </w:tabs>
        <w:ind w:left="357" w:hanging="357"/>
        <w:rPr>
          <w:color w:val="000000" w:themeColor="text1"/>
        </w:rPr>
      </w:pPr>
      <w:r w:rsidRPr="008348DF">
        <w:rPr>
          <w:color w:val="000000" w:themeColor="text1"/>
        </w:rPr>
        <w:t xml:space="preserve">Matuszczaka – w południowej części miasta, w pobliżu obszaru przemysłowego z zakładami lotniczymi </w:t>
      </w:r>
      <w:r>
        <w:rPr>
          <w:color w:val="000000" w:themeColor="text1"/>
        </w:rPr>
        <w:t>– cztery linie: 11, 23, 24 i 30.</w:t>
      </w:r>
    </w:p>
    <w:bookmarkEnd w:id="28"/>
    <w:bookmarkEnd w:id="29"/>
    <w:p w14:paraId="5C081D14" w14:textId="61DA8915" w:rsidR="00E27B6A" w:rsidRPr="00E521F6" w:rsidRDefault="008348DF" w:rsidP="008348DF">
      <w:pPr>
        <w:rPr>
          <w:rFonts w:cs="Tahoma"/>
          <w:color w:val="000000" w:themeColor="text1"/>
        </w:rPr>
      </w:pPr>
      <w:r w:rsidRPr="008348DF">
        <w:rPr>
          <w:rFonts w:cs="Tahoma"/>
          <w:color w:val="000000" w:themeColor="text1"/>
        </w:rPr>
        <w:t>Wspólne pętle dla wielu linii autobusowych stanowią okoliczność umożliwiającą nie tylko opisane wyżej stosowanie nowoczesnych technik zarządzania ofertą przewozową – zmian w przypisaniu pojazdów do linii w ciągu dnia, przeprowadzanych w celu zoptymalizowania liczby użytkowanych w ruchu autobusów, ale i ułatwiającą ewentualną eksploatację autobusów zeroemisyjnych – elektrycznych z zasilaniem bateryjnym.</w:t>
      </w:r>
    </w:p>
    <w:p w14:paraId="3E5075E3" w14:textId="09B195D1" w:rsidR="00E27B6A" w:rsidRPr="00E521F6" w:rsidRDefault="00E27B6A" w:rsidP="00775934">
      <w:pPr>
        <w:rPr>
          <w:rFonts w:cs="Tahoma"/>
          <w:szCs w:val="22"/>
        </w:rPr>
      </w:pPr>
      <w:r w:rsidRPr="00E521F6">
        <w:rPr>
          <w:rFonts w:cs="Tahoma"/>
          <w:szCs w:val="22"/>
        </w:rPr>
        <w:t xml:space="preserve">W tabeli 2 przedstawiono następujące dane charakteryzujące </w:t>
      </w:r>
      <w:r w:rsidR="00F1258F">
        <w:rPr>
          <w:rFonts w:cs="Tahoma"/>
          <w:szCs w:val="22"/>
        </w:rPr>
        <w:t xml:space="preserve">rzeszowską </w:t>
      </w:r>
      <w:r w:rsidRPr="00E521F6">
        <w:rPr>
          <w:rFonts w:cs="Tahoma"/>
          <w:szCs w:val="22"/>
        </w:rPr>
        <w:t xml:space="preserve">komunikację </w:t>
      </w:r>
      <w:r>
        <w:rPr>
          <w:rFonts w:cs="Tahoma"/>
          <w:szCs w:val="22"/>
        </w:rPr>
        <w:t>miejską (wykonanie w latach 2018</w:t>
      </w:r>
      <w:r w:rsidRPr="00E521F6">
        <w:rPr>
          <w:rFonts w:cs="Tahoma"/>
          <w:szCs w:val="22"/>
        </w:rPr>
        <w:t xml:space="preserve">-2020 oraz plan na 2021 r.): </w:t>
      </w:r>
    </w:p>
    <w:p w14:paraId="2FC75557" w14:textId="25B97679" w:rsidR="00E27B6A" w:rsidRPr="00E521F6" w:rsidRDefault="00E27B6A" w:rsidP="00775934">
      <w:pPr>
        <w:numPr>
          <w:ilvl w:val="0"/>
          <w:numId w:val="14"/>
        </w:numPr>
        <w:tabs>
          <w:tab w:val="clear" w:pos="360"/>
          <w:tab w:val="num" w:pos="426"/>
        </w:tabs>
        <w:ind w:left="357" w:hanging="357"/>
      </w:pPr>
      <w:r w:rsidRPr="00E521F6">
        <w:t xml:space="preserve">liczbę wozokilometrów – w podziale na </w:t>
      </w:r>
      <w:r>
        <w:t xml:space="preserve">miasto </w:t>
      </w:r>
      <w:r w:rsidR="00C73F5E">
        <w:t xml:space="preserve">Rzeszów </w:t>
      </w:r>
      <w:r w:rsidR="00775934">
        <w:t>i gminy ościenne obsługiwane komunikacją miejską</w:t>
      </w:r>
      <w:r w:rsidRPr="00E521F6">
        <w:t>;</w:t>
      </w:r>
    </w:p>
    <w:p w14:paraId="0D21B636" w14:textId="4E133198" w:rsidR="00E27B6A" w:rsidRPr="00823863" w:rsidRDefault="00E27B6A" w:rsidP="00775934">
      <w:pPr>
        <w:numPr>
          <w:ilvl w:val="0"/>
          <w:numId w:val="14"/>
        </w:numPr>
        <w:tabs>
          <w:tab w:val="clear" w:pos="360"/>
          <w:tab w:val="num" w:pos="426"/>
        </w:tabs>
        <w:ind w:left="357" w:hanging="357"/>
      </w:pPr>
      <w:r w:rsidRPr="00E521F6">
        <w:t xml:space="preserve">średnią liczbę autobusów </w:t>
      </w:r>
      <w:r>
        <w:t xml:space="preserve">komunikacji miejskiej </w:t>
      </w:r>
      <w:r w:rsidR="00C73F5E">
        <w:t xml:space="preserve">MPK </w:t>
      </w:r>
      <w:r w:rsidRPr="00E521F6">
        <w:t>w inwentarzu i w ruchu</w:t>
      </w:r>
      <w:r w:rsidRPr="00823863">
        <w:t>;</w:t>
      </w:r>
    </w:p>
    <w:p w14:paraId="6157F3A8" w14:textId="77777777" w:rsidR="00E27B6A" w:rsidRPr="00823863" w:rsidRDefault="00E27B6A" w:rsidP="00775934">
      <w:pPr>
        <w:numPr>
          <w:ilvl w:val="0"/>
          <w:numId w:val="14"/>
        </w:numPr>
        <w:tabs>
          <w:tab w:val="clear" w:pos="360"/>
          <w:tab w:val="num" w:pos="426"/>
        </w:tabs>
        <w:ind w:left="357" w:hanging="357"/>
      </w:pPr>
      <w:r w:rsidRPr="00823863">
        <w:t>szacunkową liczbę pasażerów;</w:t>
      </w:r>
    </w:p>
    <w:p w14:paraId="062B5D29" w14:textId="77777777" w:rsidR="00E27B6A" w:rsidRDefault="00E27B6A" w:rsidP="00775934">
      <w:pPr>
        <w:numPr>
          <w:ilvl w:val="0"/>
          <w:numId w:val="14"/>
        </w:numPr>
        <w:tabs>
          <w:tab w:val="clear" w:pos="360"/>
          <w:tab w:val="num" w:pos="426"/>
        </w:tabs>
        <w:ind w:left="357" w:hanging="357"/>
      </w:pPr>
      <w:r w:rsidRPr="00821AF6">
        <w:t>przychody z biletów.</w:t>
      </w:r>
    </w:p>
    <w:p w14:paraId="0259ADB6" w14:textId="77777777" w:rsidR="00187723" w:rsidRDefault="00187723" w:rsidP="00187723">
      <w:pPr>
        <w:rPr>
          <w:rFonts w:cs="Tahoma"/>
          <w:szCs w:val="22"/>
        </w:rPr>
      </w:pPr>
      <w:r w:rsidRPr="008348DF">
        <w:rPr>
          <w:rFonts w:cs="Tahoma"/>
          <w:szCs w:val="22"/>
        </w:rPr>
        <w:t>Jak wynika z tabeli 2, w latach 2018-2021 wielkość oferty przewozowej, wyrażona liczbą wozokilometrów, gdyby nie ograniczenia pandemiczne w 2020 r., stale by wzrastała.</w:t>
      </w:r>
    </w:p>
    <w:p w14:paraId="166A069A" w14:textId="77777777" w:rsidR="008348DF" w:rsidRDefault="008348DF" w:rsidP="008348DF">
      <w:pPr>
        <w:ind w:left="357" w:firstLine="0"/>
      </w:pPr>
    </w:p>
    <w:p w14:paraId="4569DE35" w14:textId="77777777" w:rsidR="00187723" w:rsidRDefault="00187723" w:rsidP="008348DF">
      <w:pPr>
        <w:ind w:left="357" w:firstLine="0"/>
      </w:pPr>
    </w:p>
    <w:p w14:paraId="097E6EDA" w14:textId="77777777" w:rsidR="00187723" w:rsidRDefault="00187723" w:rsidP="008348DF">
      <w:pPr>
        <w:ind w:left="357" w:firstLine="0"/>
      </w:pPr>
    </w:p>
    <w:p w14:paraId="526F5246" w14:textId="77777777" w:rsidR="00187723" w:rsidRPr="00821AF6" w:rsidRDefault="00187723" w:rsidP="008348DF">
      <w:pPr>
        <w:ind w:left="357" w:firstLine="0"/>
      </w:pPr>
    </w:p>
    <w:p w14:paraId="7FE6BDFC" w14:textId="338CCA96" w:rsidR="000C512A" w:rsidRPr="00821AF6" w:rsidRDefault="000C512A" w:rsidP="00775934">
      <w:pPr>
        <w:pStyle w:val="Legenda"/>
        <w:spacing w:before="240" w:after="0"/>
        <w:ind w:firstLine="0"/>
        <w:jc w:val="left"/>
        <w:rPr>
          <w:color w:val="000000"/>
          <w:sz w:val="22"/>
          <w:szCs w:val="22"/>
        </w:rPr>
      </w:pPr>
      <w:r w:rsidRPr="00821AF6">
        <w:rPr>
          <w:color w:val="000000"/>
          <w:sz w:val="22"/>
          <w:szCs w:val="22"/>
        </w:rPr>
        <w:lastRenderedPageBreak/>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2</w:t>
      </w:r>
      <w:r w:rsidR="00B60ABE" w:rsidRPr="00821AF6">
        <w:rPr>
          <w:color w:val="000000"/>
          <w:sz w:val="22"/>
          <w:szCs w:val="22"/>
        </w:rPr>
        <w:fldChar w:fldCharType="end"/>
      </w:r>
      <w:r w:rsidRPr="00821AF6">
        <w:rPr>
          <w:color w:val="000000"/>
          <w:sz w:val="22"/>
          <w:szCs w:val="22"/>
        </w:rPr>
        <w:t xml:space="preserve">. </w:t>
      </w:r>
      <w:r w:rsidR="005B5662" w:rsidRPr="00821AF6">
        <w:rPr>
          <w:color w:val="000000"/>
          <w:sz w:val="22"/>
          <w:szCs w:val="22"/>
        </w:rPr>
        <w:t>Podstawowe p</w:t>
      </w:r>
      <w:r w:rsidR="002943FB" w:rsidRPr="00821AF6">
        <w:rPr>
          <w:color w:val="000000"/>
          <w:sz w:val="22"/>
          <w:szCs w:val="22"/>
        </w:rPr>
        <w:t>arametry</w:t>
      </w:r>
      <w:r w:rsidRPr="00821AF6">
        <w:rPr>
          <w:color w:val="000000"/>
          <w:sz w:val="22"/>
          <w:szCs w:val="22"/>
        </w:rPr>
        <w:t xml:space="preserve"> </w:t>
      </w:r>
      <w:r w:rsidR="000A0D00" w:rsidRPr="00821AF6">
        <w:rPr>
          <w:color w:val="000000"/>
          <w:sz w:val="22"/>
          <w:szCs w:val="22"/>
        </w:rPr>
        <w:t xml:space="preserve">charakteryzujące </w:t>
      </w:r>
      <w:r w:rsidR="00F1258F">
        <w:rPr>
          <w:color w:val="000000"/>
          <w:sz w:val="22"/>
          <w:szCs w:val="22"/>
        </w:rPr>
        <w:t xml:space="preserve">rzeszowską </w:t>
      </w:r>
      <w:r w:rsidRPr="00821AF6">
        <w:rPr>
          <w:color w:val="000000"/>
          <w:sz w:val="22"/>
          <w:szCs w:val="22"/>
        </w:rPr>
        <w:t>komunika</w:t>
      </w:r>
      <w:r w:rsidR="002943FB" w:rsidRPr="00821AF6">
        <w:rPr>
          <w:color w:val="000000"/>
          <w:sz w:val="22"/>
          <w:szCs w:val="22"/>
        </w:rPr>
        <w:t>cj</w:t>
      </w:r>
      <w:r w:rsidR="000A0D00" w:rsidRPr="00821AF6">
        <w:rPr>
          <w:color w:val="000000"/>
          <w:sz w:val="22"/>
          <w:szCs w:val="22"/>
        </w:rPr>
        <w:t>ę</w:t>
      </w:r>
      <w:r w:rsidR="005B5662" w:rsidRPr="00821AF6">
        <w:rPr>
          <w:color w:val="000000"/>
          <w:sz w:val="22"/>
          <w:szCs w:val="22"/>
        </w:rPr>
        <w:br/>
      </w:r>
      <w:r w:rsidR="002943FB" w:rsidRPr="00821AF6">
        <w:rPr>
          <w:color w:val="000000"/>
          <w:sz w:val="22"/>
          <w:szCs w:val="22"/>
        </w:rPr>
        <w:t>miejsk</w:t>
      </w:r>
      <w:r w:rsidR="000A0D00" w:rsidRPr="00821AF6">
        <w:rPr>
          <w:color w:val="000000"/>
          <w:sz w:val="22"/>
          <w:szCs w:val="22"/>
        </w:rPr>
        <w:t>ą</w:t>
      </w:r>
      <w:r w:rsidR="005B5662" w:rsidRPr="00821AF6">
        <w:rPr>
          <w:color w:val="000000"/>
          <w:sz w:val="22"/>
          <w:szCs w:val="22"/>
        </w:rPr>
        <w:t xml:space="preserve"> </w:t>
      </w:r>
      <w:r w:rsidR="002943FB" w:rsidRPr="00821AF6">
        <w:rPr>
          <w:color w:val="000000"/>
          <w:sz w:val="22"/>
          <w:szCs w:val="22"/>
        </w:rPr>
        <w:t xml:space="preserve">w latach </w:t>
      </w:r>
      <w:r w:rsidR="00FA2348">
        <w:rPr>
          <w:color w:val="000000"/>
          <w:sz w:val="22"/>
          <w:szCs w:val="22"/>
        </w:rPr>
        <w:t>2018</w:t>
      </w:r>
      <w:r w:rsidR="00F72B62">
        <w:rPr>
          <w:color w:val="000000"/>
          <w:sz w:val="22"/>
          <w:szCs w:val="22"/>
        </w:rPr>
        <w:t>-2020 oraz plan na 2021 r.</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678"/>
        <w:gridCol w:w="1134"/>
        <w:gridCol w:w="1065"/>
        <w:gridCol w:w="1065"/>
        <w:gridCol w:w="1065"/>
        <w:gridCol w:w="1065"/>
      </w:tblGrid>
      <w:tr w:rsidR="00314144" w:rsidRPr="00821AF6" w14:paraId="7B0E8AFC" w14:textId="77777777" w:rsidTr="00341078">
        <w:trPr>
          <w:cantSplit/>
          <w:tblHeader/>
          <w:jc w:val="center"/>
        </w:trPr>
        <w:tc>
          <w:tcPr>
            <w:tcW w:w="3678" w:type="dxa"/>
            <w:vMerge w:val="restart"/>
            <w:shd w:val="clear" w:color="auto" w:fill="FFFF99"/>
            <w:vAlign w:val="center"/>
          </w:tcPr>
          <w:p w14:paraId="4D9EDABD" w14:textId="77777777" w:rsidR="00314144" w:rsidRPr="00821AF6" w:rsidRDefault="00314144" w:rsidP="00775934">
            <w:pPr>
              <w:spacing w:before="60" w:after="20" w:line="288" w:lineRule="auto"/>
              <w:ind w:firstLine="0"/>
              <w:jc w:val="center"/>
              <w:rPr>
                <w:rFonts w:cs="Tahoma"/>
                <w:b/>
                <w:sz w:val="20"/>
                <w:szCs w:val="20"/>
              </w:rPr>
            </w:pPr>
            <w:r w:rsidRPr="00821AF6">
              <w:rPr>
                <w:rFonts w:cs="Tahoma"/>
                <w:b/>
                <w:sz w:val="20"/>
                <w:szCs w:val="20"/>
              </w:rPr>
              <w:t>Wyszczególnienie</w:t>
            </w:r>
          </w:p>
        </w:tc>
        <w:tc>
          <w:tcPr>
            <w:tcW w:w="1134" w:type="dxa"/>
            <w:vMerge w:val="restart"/>
            <w:shd w:val="clear" w:color="auto" w:fill="FFFF99"/>
            <w:vAlign w:val="center"/>
          </w:tcPr>
          <w:p w14:paraId="623A659E" w14:textId="77777777" w:rsidR="00314144" w:rsidRPr="00821AF6" w:rsidRDefault="00314144" w:rsidP="00775934">
            <w:pPr>
              <w:spacing w:before="60" w:after="20" w:line="288" w:lineRule="auto"/>
              <w:ind w:firstLine="0"/>
              <w:jc w:val="center"/>
              <w:rPr>
                <w:rFonts w:cs="Tahoma"/>
                <w:b/>
                <w:sz w:val="20"/>
                <w:szCs w:val="20"/>
              </w:rPr>
            </w:pPr>
            <w:r w:rsidRPr="00821AF6">
              <w:rPr>
                <w:rFonts w:cs="Tahoma"/>
                <w:b/>
                <w:sz w:val="20"/>
                <w:szCs w:val="20"/>
              </w:rPr>
              <w:t>Jedn.</w:t>
            </w:r>
          </w:p>
        </w:tc>
        <w:tc>
          <w:tcPr>
            <w:tcW w:w="4260" w:type="dxa"/>
            <w:gridSpan w:val="4"/>
            <w:shd w:val="clear" w:color="auto" w:fill="FFFF99"/>
            <w:vAlign w:val="center"/>
          </w:tcPr>
          <w:p w14:paraId="755939E2" w14:textId="77777777" w:rsidR="00314144" w:rsidRPr="00821AF6" w:rsidRDefault="00314144" w:rsidP="00775934">
            <w:pPr>
              <w:spacing w:before="60" w:after="20" w:line="288" w:lineRule="auto"/>
              <w:ind w:firstLine="0"/>
              <w:jc w:val="center"/>
              <w:rPr>
                <w:rFonts w:cs="Tahoma"/>
                <w:b/>
                <w:sz w:val="20"/>
                <w:szCs w:val="20"/>
              </w:rPr>
            </w:pPr>
            <w:r w:rsidRPr="00821AF6">
              <w:rPr>
                <w:rFonts w:cs="Tahoma"/>
                <w:b/>
                <w:sz w:val="20"/>
                <w:szCs w:val="20"/>
              </w:rPr>
              <w:t>Rok</w:t>
            </w:r>
          </w:p>
        </w:tc>
      </w:tr>
      <w:tr w:rsidR="006D6B2A" w:rsidRPr="00821AF6" w14:paraId="59D2749D" w14:textId="77777777" w:rsidTr="00341078">
        <w:trPr>
          <w:cantSplit/>
          <w:tblHeader/>
          <w:jc w:val="center"/>
        </w:trPr>
        <w:tc>
          <w:tcPr>
            <w:tcW w:w="3678" w:type="dxa"/>
            <w:vMerge/>
            <w:tcBorders>
              <w:bottom w:val="single" w:sz="6" w:space="0" w:color="auto"/>
            </w:tcBorders>
            <w:shd w:val="clear" w:color="auto" w:fill="FFFF99"/>
            <w:vAlign w:val="center"/>
          </w:tcPr>
          <w:p w14:paraId="53B0E154" w14:textId="77777777" w:rsidR="006D6B2A" w:rsidRPr="00821AF6" w:rsidRDefault="006D6B2A" w:rsidP="00775934">
            <w:pPr>
              <w:spacing w:before="60" w:after="20" w:line="288" w:lineRule="auto"/>
              <w:ind w:firstLine="0"/>
              <w:jc w:val="center"/>
              <w:rPr>
                <w:rFonts w:cs="Tahoma"/>
                <w:b/>
                <w:sz w:val="20"/>
                <w:szCs w:val="20"/>
              </w:rPr>
            </w:pPr>
          </w:p>
        </w:tc>
        <w:tc>
          <w:tcPr>
            <w:tcW w:w="1134" w:type="dxa"/>
            <w:vMerge/>
            <w:tcBorders>
              <w:bottom w:val="single" w:sz="6" w:space="0" w:color="auto"/>
            </w:tcBorders>
            <w:shd w:val="clear" w:color="auto" w:fill="FFFF99"/>
            <w:vAlign w:val="center"/>
          </w:tcPr>
          <w:p w14:paraId="43C12590" w14:textId="77777777" w:rsidR="006D6B2A" w:rsidRPr="00821AF6" w:rsidRDefault="006D6B2A" w:rsidP="00775934">
            <w:pPr>
              <w:spacing w:before="60" w:after="20" w:line="288" w:lineRule="auto"/>
              <w:ind w:firstLine="0"/>
              <w:jc w:val="center"/>
              <w:rPr>
                <w:rFonts w:cs="Tahoma"/>
                <w:b/>
                <w:sz w:val="20"/>
                <w:szCs w:val="20"/>
              </w:rPr>
            </w:pPr>
          </w:p>
        </w:tc>
        <w:tc>
          <w:tcPr>
            <w:tcW w:w="1065" w:type="dxa"/>
            <w:tcBorders>
              <w:bottom w:val="single" w:sz="6" w:space="0" w:color="auto"/>
            </w:tcBorders>
            <w:shd w:val="clear" w:color="auto" w:fill="FFFF99"/>
            <w:vAlign w:val="center"/>
          </w:tcPr>
          <w:p w14:paraId="784753B1" w14:textId="64298CB9" w:rsidR="006D6B2A" w:rsidRPr="00821AF6" w:rsidRDefault="006D6B2A" w:rsidP="00775934">
            <w:pPr>
              <w:spacing w:before="60" w:after="20" w:line="288" w:lineRule="auto"/>
              <w:ind w:firstLine="0"/>
              <w:jc w:val="center"/>
              <w:rPr>
                <w:rFonts w:cs="Tahoma"/>
                <w:b/>
                <w:sz w:val="20"/>
                <w:szCs w:val="20"/>
              </w:rPr>
            </w:pPr>
            <w:r w:rsidRPr="00821AF6">
              <w:rPr>
                <w:rFonts w:cs="Tahoma"/>
                <w:b/>
                <w:sz w:val="20"/>
                <w:szCs w:val="20"/>
              </w:rPr>
              <w:t>2018</w:t>
            </w:r>
          </w:p>
        </w:tc>
        <w:tc>
          <w:tcPr>
            <w:tcW w:w="1065" w:type="dxa"/>
            <w:tcBorders>
              <w:bottom w:val="single" w:sz="6" w:space="0" w:color="auto"/>
            </w:tcBorders>
            <w:shd w:val="clear" w:color="auto" w:fill="FFFF99"/>
            <w:vAlign w:val="center"/>
          </w:tcPr>
          <w:p w14:paraId="364705AF" w14:textId="462573AD" w:rsidR="006D6B2A" w:rsidRPr="00821AF6" w:rsidRDefault="006D6B2A" w:rsidP="00775934">
            <w:pPr>
              <w:spacing w:before="60" w:after="20" w:line="288" w:lineRule="auto"/>
              <w:ind w:firstLine="0"/>
              <w:jc w:val="center"/>
              <w:rPr>
                <w:rFonts w:cs="Tahoma"/>
                <w:b/>
                <w:sz w:val="20"/>
                <w:szCs w:val="20"/>
              </w:rPr>
            </w:pPr>
            <w:r w:rsidRPr="00821AF6">
              <w:rPr>
                <w:rFonts w:cs="Tahoma"/>
                <w:b/>
                <w:sz w:val="20"/>
                <w:szCs w:val="20"/>
              </w:rPr>
              <w:t>2019</w:t>
            </w:r>
          </w:p>
        </w:tc>
        <w:tc>
          <w:tcPr>
            <w:tcW w:w="1065" w:type="dxa"/>
            <w:tcBorders>
              <w:bottom w:val="single" w:sz="6" w:space="0" w:color="auto"/>
            </w:tcBorders>
            <w:shd w:val="clear" w:color="auto" w:fill="FFFF99"/>
            <w:vAlign w:val="center"/>
          </w:tcPr>
          <w:p w14:paraId="016CA46D" w14:textId="25D37E7A" w:rsidR="006D6B2A" w:rsidRPr="00821AF6" w:rsidRDefault="006D6B2A" w:rsidP="00775934">
            <w:pPr>
              <w:spacing w:before="60" w:after="20" w:line="288" w:lineRule="auto"/>
              <w:ind w:firstLine="0"/>
              <w:jc w:val="center"/>
              <w:rPr>
                <w:rFonts w:cs="Tahoma"/>
                <w:b/>
                <w:sz w:val="20"/>
                <w:szCs w:val="20"/>
              </w:rPr>
            </w:pPr>
            <w:r w:rsidRPr="00821AF6">
              <w:rPr>
                <w:rFonts w:cs="Tahoma"/>
                <w:b/>
                <w:sz w:val="20"/>
                <w:szCs w:val="20"/>
              </w:rPr>
              <w:t>2020</w:t>
            </w:r>
          </w:p>
        </w:tc>
        <w:tc>
          <w:tcPr>
            <w:tcW w:w="1065" w:type="dxa"/>
            <w:tcBorders>
              <w:bottom w:val="single" w:sz="6" w:space="0" w:color="auto"/>
            </w:tcBorders>
            <w:shd w:val="clear" w:color="auto" w:fill="FFFF99"/>
            <w:vAlign w:val="center"/>
          </w:tcPr>
          <w:p w14:paraId="6362A14A" w14:textId="6D03C441" w:rsidR="006D6B2A" w:rsidRPr="00821AF6" w:rsidRDefault="006D6B2A" w:rsidP="00775934">
            <w:pPr>
              <w:spacing w:before="60" w:after="20" w:line="288" w:lineRule="auto"/>
              <w:ind w:firstLine="0"/>
              <w:jc w:val="center"/>
              <w:rPr>
                <w:rFonts w:cs="Tahoma"/>
                <w:b/>
                <w:sz w:val="20"/>
                <w:szCs w:val="20"/>
              </w:rPr>
            </w:pPr>
            <w:r w:rsidRPr="00821AF6">
              <w:rPr>
                <w:rFonts w:cs="Tahoma"/>
                <w:b/>
                <w:sz w:val="20"/>
                <w:szCs w:val="20"/>
              </w:rPr>
              <w:t>2021</w:t>
            </w:r>
            <w:r w:rsidRPr="00821AF6">
              <w:rPr>
                <w:rFonts w:cs="Tahoma"/>
                <w:b/>
                <w:sz w:val="20"/>
                <w:szCs w:val="20"/>
              </w:rPr>
              <w:br/>
              <w:t>– plan</w:t>
            </w:r>
          </w:p>
        </w:tc>
      </w:tr>
      <w:tr w:rsidR="006D6B2A" w:rsidRPr="00821AF6" w14:paraId="25D520C0" w14:textId="77777777" w:rsidTr="00341078">
        <w:trPr>
          <w:cantSplit/>
          <w:jc w:val="center"/>
        </w:trPr>
        <w:tc>
          <w:tcPr>
            <w:tcW w:w="3678" w:type="dxa"/>
            <w:tcBorders>
              <w:bottom w:val="single" w:sz="6" w:space="0" w:color="auto"/>
            </w:tcBorders>
            <w:vAlign w:val="center"/>
          </w:tcPr>
          <w:p w14:paraId="57877209" w14:textId="583095D7" w:rsidR="006D6B2A" w:rsidRPr="00821AF6" w:rsidRDefault="006D6B2A" w:rsidP="00775934">
            <w:pPr>
              <w:spacing w:before="60" w:after="20" w:line="288" w:lineRule="auto"/>
              <w:ind w:firstLine="0"/>
              <w:rPr>
                <w:rFonts w:cs="Tahoma"/>
                <w:sz w:val="20"/>
                <w:szCs w:val="20"/>
              </w:rPr>
            </w:pPr>
            <w:r w:rsidRPr="00821AF6">
              <w:rPr>
                <w:rFonts w:cs="Tahoma"/>
                <w:sz w:val="20"/>
                <w:szCs w:val="20"/>
              </w:rPr>
              <w:t>Liczba wozokilometrów</w:t>
            </w:r>
          </w:p>
          <w:p w14:paraId="307055A3" w14:textId="295C0D74" w:rsidR="006D6B2A" w:rsidRPr="00FA2348" w:rsidRDefault="006D6B2A" w:rsidP="00775934">
            <w:pPr>
              <w:pStyle w:val="Akapitzlist"/>
              <w:numPr>
                <w:ilvl w:val="0"/>
                <w:numId w:val="16"/>
              </w:numPr>
              <w:spacing w:before="60" w:after="20" w:line="288" w:lineRule="auto"/>
              <w:ind w:left="227" w:hanging="227"/>
              <w:contextualSpacing w:val="0"/>
              <w:rPr>
                <w:rFonts w:cs="Tahoma"/>
                <w:sz w:val="20"/>
                <w:szCs w:val="20"/>
              </w:rPr>
            </w:pPr>
            <w:r w:rsidRPr="00821AF6">
              <w:rPr>
                <w:rFonts w:ascii="Tahoma" w:hAnsi="Tahoma" w:cs="Tahoma"/>
                <w:sz w:val="20"/>
                <w:szCs w:val="20"/>
              </w:rPr>
              <w:softHyphen/>
              <w:t xml:space="preserve">w tym </w:t>
            </w:r>
            <w:r>
              <w:rPr>
                <w:rFonts w:ascii="Tahoma" w:hAnsi="Tahoma" w:cs="Tahoma"/>
                <w:sz w:val="20"/>
                <w:szCs w:val="20"/>
              </w:rPr>
              <w:t xml:space="preserve">miasto </w:t>
            </w:r>
            <w:r w:rsidR="00F1258F">
              <w:rPr>
                <w:rFonts w:ascii="Tahoma" w:hAnsi="Tahoma" w:cs="Tahoma"/>
                <w:sz w:val="20"/>
                <w:szCs w:val="20"/>
              </w:rPr>
              <w:t>Rzeszów</w:t>
            </w:r>
          </w:p>
          <w:p w14:paraId="52635611" w14:textId="5969E2FA" w:rsidR="006D6B2A" w:rsidRPr="00821AF6" w:rsidRDefault="00FA2348" w:rsidP="00775934">
            <w:pPr>
              <w:pStyle w:val="Akapitzlist"/>
              <w:numPr>
                <w:ilvl w:val="0"/>
                <w:numId w:val="16"/>
              </w:numPr>
              <w:spacing w:before="60" w:after="20" w:line="288" w:lineRule="auto"/>
              <w:ind w:left="227" w:hanging="227"/>
              <w:contextualSpacing w:val="0"/>
              <w:rPr>
                <w:rFonts w:cs="Tahoma"/>
                <w:sz w:val="20"/>
                <w:szCs w:val="20"/>
              </w:rPr>
            </w:pPr>
            <w:r w:rsidRPr="00FA2348">
              <w:rPr>
                <w:rFonts w:ascii="Tahoma" w:hAnsi="Tahoma" w:cs="Tahoma"/>
                <w:sz w:val="20"/>
                <w:szCs w:val="20"/>
              </w:rPr>
              <w:softHyphen/>
              <w:t xml:space="preserve">w tym </w:t>
            </w:r>
            <w:r>
              <w:rPr>
                <w:rFonts w:ascii="Tahoma" w:hAnsi="Tahoma" w:cs="Tahoma"/>
                <w:sz w:val="20"/>
                <w:szCs w:val="20"/>
              </w:rPr>
              <w:t>gmin</w:t>
            </w:r>
            <w:r w:rsidR="00775934">
              <w:rPr>
                <w:rFonts w:ascii="Tahoma" w:hAnsi="Tahoma" w:cs="Tahoma"/>
                <w:sz w:val="20"/>
                <w:szCs w:val="20"/>
              </w:rPr>
              <w:t>y ościenne</w:t>
            </w:r>
          </w:p>
        </w:tc>
        <w:tc>
          <w:tcPr>
            <w:tcW w:w="1134" w:type="dxa"/>
            <w:tcBorders>
              <w:bottom w:val="single" w:sz="6" w:space="0" w:color="auto"/>
            </w:tcBorders>
            <w:vAlign w:val="center"/>
          </w:tcPr>
          <w:p w14:paraId="47E9BAF1" w14:textId="0CBD5A1C" w:rsidR="006D6B2A" w:rsidRPr="00821AF6" w:rsidRDefault="006D6B2A" w:rsidP="00775934">
            <w:pPr>
              <w:spacing w:before="60" w:after="20" w:line="288" w:lineRule="auto"/>
              <w:ind w:firstLine="0"/>
              <w:jc w:val="center"/>
              <w:rPr>
                <w:rFonts w:cs="Tahoma"/>
                <w:sz w:val="20"/>
                <w:szCs w:val="20"/>
              </w:rPr>
            </w:pPr>
            <w:r w:rsidRPr="00821AF6">
              <w:rPr>
                <w:rFonts w:cs="Tahoma"/>
                <w:sz w:val="20"/>
                <w:szCs w:val="20"/>
              </w:rPr>
              <w:t>tys.</w:t>
            </w:r>
            <w:r>
              <w:rPr>
                <w:rFonts w:cs="Tahoma"/>
                <w:sz w:val="20"/>
                <w:szCs w:val="20"/>
              </w:rPr>
              <w:t xml:space="preserve"> </w:t>
            </w:r>
            <w:r w:rsidRPr="00821AF6">
              <w:rPr>
                <w:rFonts w:cs="Tahoma"/>
                <w:sz w:val="20"/>
                <w:szCs w:val="20"/>
              </w:rPr>
              <w:t>km</w:t>
            </w:r>
          </w:p>
        </w:tc>
        <w:tc>
          <w:tcPr>
            <w:tcW w:w="1065" w:type="dxa"/>
            <w:tcBorders>
              <w:bottom w:val="single" w:sz="6" w:space="0" w:color="auto"/>
            </w:tcBorders>
            <w:vAlign w:val="center"/>
          </w:tcPr>
          <w:p w14:paraId="2785B162" w14:textId="50567B87" w:rsidR="006D6B2A" w:rsidRDefault="00775934" w:rsidP="00775934">
            <w:pPr>
              <w:spacing w:before="60" w:after="20" w:line="288" w:lineRule="auto"/>
              <w:ind w:firstLine="0"/>
              <w:jc w:val="right"/>
              <w:rPr>
                <w:rFonts w:cs="Tahoma"/>
                <w:sz w:val="20"/>
                <w:szCs w:val="20"/>
              </w:rPr>
            </w:pPr>
            <w:r>
              <w:rPr>
                <w:rFonts w:cs="Tahoma"/>
                <w:sz w:val="20"/>
                <w:szCs w:val="20"/>
              </w:rPr>
              <w:t>9 742,2</w:t>
            </w:r>
          </w:p>
          <w:p w14:paraId="56F4430B" w14:textId="6E652234" w:rsidR="00FA2348" w:rsidRDefault="00775934" w:rsidP="00775934">
            <w:pPr>
              <w:spacing w:before="60" w:after="20" w:line="288" w:lineRule="auto"/>
              <w:ind w:firstLine="0"/>
              <w:jc w:val="right"/>
              <w:rPr>
                <w:rFonts w:cs="Tahoma"/>
                <w:sz w:val="20"/>
                <w:szCs w:val="20"/>
              </w:rPr>
            </w:pPr>
            <w:r>
              <w:rPr>
                <w:rFonts w:cs="Tahoma"/>
                <w:sz w:val="20"/>
                <w:szCs w:val="20"/>
              </w:rPr>
              <w:t>9 508,5</w:t>
            </w:r>
          </w:p>
          <w:p w14:paraId="0D83DA90" w14:textId="5753C12B" w:rsidR="00FA2348" w:rsidRPr="00821AF6" w:rsidRDefault="00775934" w:rsidP="00775934">
            <w:pPr>
              <w:spacing w:before="60" w:after="20" w:line="288" w:lineRule="auto"/>
              <w:ind w:firstLine="0"/>
              <w:jc w:val="right"/>
              <w:rPr>
                <w:rFonts w:cs="Tahoma"/>
                <w:sz w:val="20"/>
                <w:szCs w:val="20"/>
              </w:rPr>
            </w:pPr>
            <w:r>
              <w:rPr>
                <w:rFonts w:cs="Tahoma"/>
                <w:sz w:val="20"/>
                <w:szCs w:val="20"/>
              </w:rPr>
              <w:t>233,7</w:t>
            </w:r>
          </w:p>
        </w:tc>
        <w:tc>
          <w:tcPr>
            <w:tcW w:w="1065" w:type="dxa"/>
            <w:tcBorders>
              <w:bottom w:val="single" w:sz="6" w:space="0" w:color="auto"/>
            </w:tcBorders>
            <w:vAlign w:val="center"/>
          </w:tcPr>
          <w:p w14:paraId="3D83D2BB" w14:textId="0F28C282" w:rsidR="006D6B2A" w:rsidRDefault="00775934" w:rsidP="00775934">
            <w:pPr>
              <w:spacing w:before="60" w:after="20" w:line="288" w:lineRule="auto"/>
              <w:ind w:firstLine="0"/>
              <w:jc w:val="right"/>
              <w:rPr>
                <w:rFonts w:cs="Tahoma"/>
                <w:sz w:val="20"/>
                <w:szCs w:val="20"/>
              </w:rPr>
            </w:pPr>
            <w:r>
              <w:rPr>
                <w:rFonts w:cs="Tahoma"/>
                <w:sz w:val="20"/>
                <w:szCs w:val="20"/>
              </w:rPr>
              <w:t>11 185,7</w:t>
            </w:r>
          </w:p>
          <w:p w14:paraId="0FCE8512" w14:textId="17602558" w:rsidR="00FA2348" w:rsidRDefault="00775934" w:rsidP="00775934">
            <w:pPr>
              <w:spacing w:before="60" w:after="20" w:line="288" w:lineRule="auto"/>
              <w:ind w:firstLine="0"/>
              <w:jc w:val="right"/>
              <w:rPr>
                <w:rFonts w:cs="Tahoma"/>
                <w:sz w:val="20"/>
                <w:szCs w:val="20"/>
              </w:rPr>
            </w:pPr>
            <w:r>
              <w:rPr>
                <w:rFonts w:cs="Tahoma"/>
                <w:sz w:val="20"/>
                <w:szCs w:val="20"/>
              </w:rPr>
              <w:t>10 725,8</w:t>
            </w:r>
          </w:p>
          <w:p w14:paraId="3DD5FD4D" w14:textId="34513F3B" w:rsidR="00FA2348" w:rsidRPr="00821AF6" w:rsidRDefault="00775934" w:rsidP="00775934">
            <w:pPr>
              <w:spacing w:before="60" w:after="20" w:line="288" w:lineRule="auto"/>
              <w:ind w:firstLine="0"/>
              <w:jc w:val="right"/>
              <w:rPr>
                <w:rFonts w:cs="Tahoma"/>
                <w:sz w:val="20"/>
                <w:szCs w:val="20"/>
              </w:rPr>
            </w:pPr>
            <w:r>
              <w:rPr>
                <w:rFonts w:cs="Tahoma"/>
                <w:sz w:val="20"/>
                <w:szCs w:val="20"/>
              </w:rPr>
              <w:t>459,9</w:t>
            </w:r>
          </w:p>
        </w:tc>
        <w:tc>
          <w:tcPr>
            <w:tcW w:w="1065" w:type="dxa"/>
            <w:tcBorders>
              <w:bottom w:val="single" w:sz="6" w:space="0" w:color="auto"/>
            </w:tcBorders>
            <w:vAlign w:val="center"/>
          </w:tcPr>
          <w:p w14:paraId="287AB522" w14:textId="7537E01C" w:rsidR="006D6B2A" w:rsidRDefault="00775934" w:rsidP="00775934">
            <w:pPr>
              <w:spacing w:before="60" w:after="20" w:line="288" w:lineRule="auto"/>
              <w:ind w:firstLine="0"/>
              <w:jc w:val="right"/>
              <w:rPr>
                <w:rFonts w:cs="Tahoma"/>
                <w:sz w:val="20"/>
                <w:szCs w:val="20"/>
              </w:rPr>
            </w:pPr>
            <w:r>
              <w:rPr>
                <w:rFonts w:cs="Tahoma"/>
                <w:sz w:val="20"/>
                <w:szCs w:val="20"/>
              </w:rPr>
              <w:t>10 853,2</w:t>
            </w:r>
          </w:p>
          <w:p w14:paraId="2722FC4A" w14:textId="1D506F87" w:rsidR="00FA2348" w:rsidRDefault="00775934" w:rsidP="00775934">
            <w:pPr>
              <w:spacing w:before="60" w:after="20" w:line="288" w:lineRule="auto"/>
              <w:ind w:firstLine="0"/>
              <w:jc w:val="right"/>
              <w:rPr>
                <w:rFonts w:cs="Tahoma"/>
                <w:sz w:val="20"/>
                <w:szCs w:val="20"/>
              </w:rPr>
            </w:pPr>
            <w:r>
              <w:rPr>
                <w:rFonts w:cs="Tahoma"/>
                <w:sz w:val="20"/>
                <w:szCs w:val="20"/>
              </w:rPr>
              <w:t>10 393,3</w:t>
            </w:r>
          </w:p>
          <w:p w14:paraId="12EF80EB" w14:textId="36420481" w:rsidR="00FA2348" w:rsidRPr="00821AF6" w:rsidRDefault="00775934" w:rsidP="00775934">
            <w:pPr>
              <w:spacing w:before="60" w:after="20" w:line="288" w:lineRule="auto"/>
              <w:ind w:firstLine="0"/>
              <w:jc w:val="right"/>
              <w:rPr>
                <w:rFonts w:cs="Tahoma"/>
                <w:sz w:val="20"/>
                <w:szCs w:val="20"/>
              </w:rPr>
            </w:pPr>
            <w:r>
              <w:rPr>
                <w:rFonts w:cs="Tahoma"/>
                <w:sz w:val="20"/>
                <w:szCs w:val="20"/>
              </w:rPr>
              <w:t>459,9</w:t>
            </w:r>
          </w:p>
        </w:tc>
        <w:tc>
          <w:tcPr>
            <w:tcW w:w="1065" w:type="dxa"/>
            <w:tcBorders>
              <w:bottom w:val="single" w:sz="6" w:space="0" w:color="auto"/>
            </w:tcBorders>
            <w:vAlign w:val="center"/>
          </w:tcPr>
          <w:p w14:paraId="40A52E1A" w14:textId="1242EB1D" w:rsidR="006D6B2A" w:rsidRDefault="00775934" w:rsidP="00775934">
            <w:pPr>
              <w:spacing w:before="60" w:after="20" w:line="288" w:lineRule="auto"/>
              <w:ind w:firstLine="0"/>
              <w:jc w:val="right"/>
              <w:rPr>
                <w:rFonts w:cs="Tahoma"/>
                <w:sz w:val="20"/>
                <w:szCs w:val="20"/>
              </w:rPr>
            </w:pPr>
            <w:r>
              <w:rPr>
                <w:rFonts w:cs="Tahoma"/>
                <w:sz w:val="20"/>
                <w:szCs w:val="20"/>
              </w:rPr>
              <w:t>11 339,6</w:t>
            </w:r>
          </w:p>
          <w:p w14:paraId="053036C2" w14:textId="36394B4B" w:rsidR="00FA2348" w:rsidRDefault="00775934" w:rsidP="00775934">
            <w:pPr>
              <w:spacing w:before="60" w:after="20" w:line="288" w:lineRule="auto"/>
              <w:ind w:firstLine="0"/>
              <w:jc w:val="right"/>
              <w:rPr>
                <w:rFonts w:cs="Tahoma"/>
                <w:sz w:val="20"/>
                <w:szCs w:val="20"/>
              </w:rPr>
            </w:pPr>
            <w:r>
              <w:rPr>
                <w:rFonts w:cs="Tahoma"/>
                <w:sz w:val="20"/>
                <w:szCs w:val="20"/>
              </w:rPr>
              <w:t>10 870,9</w:t>
            </w:r>
          </w:p>
          <w:p w14:paraId="16646DCD" w14:textId="0F982384" w:rsidR="00FA2348" w:rsidRPr="00821AF6" w:rsidRDefault="00775934" w:rsidP="00775934">
            <w:pPr>
              <w:spacing w:before="60" w:after="20" w:line="288" w:lineRule="auto"/>
              <w:ind w:firstLine="0"/>
              <w:jc w:val="right"/>
              <w:rPr>
                <w:rFonts w:cs="Tahoma"/>
                <w:sz w:val="20"/>
                <w:szCs w:val="20"/>
              </w:rPr>
            </w:pPr>
            <w:r>
              <w:rPr>
                <w:rFonts w:cs="Tahoma"/>
                <w:sz w:val="20"/>
                <w:szCs w:val="20"/>
              </w:rPr>
              <w:t>468,7</w:t>
            </w:r>
          </w:p>
        </w:tc>
      </w:tr>
      <w:tr w:rsidR="006D6B2A" w:rsidRPr="00821AF6" w14:paraId="0E1DDEC7" w14:textId="77777777" w:rsidTr="00341078">
        <w:trPr>
          <w:cantSplit/>
          <w:jc w:val="center"/>
        </w:trPr>
        <w:tc>
          <w:tcPr>
            <w:tcW w:w="3678" w:type="dxa"/>
            <w:tcBorders>
              <w:top w:val="single" w:sz="6" w:space="0" w:color="auto"/>
              <w:bottom w:val="single" w:sz="6" w:space="0" w:color="auto"/>
            </w:tcBorders>
            <w:vAlign w:val="center"/>
          </w:tcPr>
          <w:p w14:paraId="5896EF13" w14:textId="0A095693" w:rsidR="006D6B2A" w:rsidRPr="00821AF6" w:rsidRDefault="006D6B2A" w:rsidP="00775934">
            <w:pPr>
              <w:spacing w:before="60" w:after="20" w:line="288" w:lineRule="auto"/>
              <w:ind w:firstLine="0"/>
              <w:jc w:val="left"/>
              <w:rPr>
                <w:rFonts w:cs="Tahoma"/>
                <w:sz w:val="20"/>
                <w:szCs w:val="20"/>
              </w:rPr>
            </w:pPr>
            <w:r w:rsidRPr="00821AF6">
              <w:rPr>
                <w:rFonts w:cs="Tahoma"/>
                <w:sz w:val="20"/>
                <w:szCs w:val="20"/>
              </w:rPr>
              <w:t xml:space="preserve">Średnia liczba </w:t>
            </w:r>
            <w:r>
              <w:rPr>
                <w:rFonts w:cs="Tahoma"/>
                <w:sz w:val="20"/>
                <w:szCs w:val="20"/>
              </w:rPr>
              <w:t>autobusów</w:t>
            </w:r>
            <w:r w:rsidR="00341078">
              <w:rPr>
                <w:rFonts w:cs="Tahoma"/>
                <w:sz w:val="20"/>
                <w:szCs w:val="20"/>
              </w:rPr>
              <w:t xml:space="preserve"> </w:t>
            </w:r>
            <w:r w:rsidR="00FA2348" w:rsidRPr="00821AF6">
              <w:rPr>
                <w:rFonts w:cs="Tahoma"/>
                <w:sz w:val="20"/>
                <w:szCs w:val="20"/>
              </w:rPr>
              <w:t xml:space="preserve">we </w:t>
            </w:r>
            <w:r w:rsidR="00341078">
              <w:rPr>
                <w:rFonts w:cs="Tahoma"/>
                <w:sz w:val="20"/>
                <w:szCs w:val="20"/>
              </w:rPr>
              <w:t>flocie</w:t>
            </w:r>
          </w:p>
        </w:tc>
        <w:tc>
          <w:tcPr>
            <w:tcW w:w="1134" w:type="dxa"/>
            <w:tcBorders>
              <w:top w:val="single" w:sz="6" w:space="0" w:color="auto"/>
              <w:bottom w:val="single" w:sz="6" w:space="0" w:color="auto"/>
            </w:tcBorders>
            <w:vAlign w:val="center"/>
          </w:tcPr>
          <w:p w14:paraId="315E994D" w14:textId="77777777" w:rsidR="006D6B2A" w:rsidRPr="00821AF6" w:rsidRDefault="006D6B2A" w:rsidP="00775934">
            <w:pPr>
              <w:spacing w:before="60" w:after="20" w:line="288" w:lineRule="auto"/>
              <w:ind w:firstLine="0"/>
              <w:jc w:val="center"/>
              <w:rPr>
                <w:rFonts w:cs="Tahoma"/>
                <w:sz w:val="20"/>
                <w:szCs w:val="20"/>
              </w:rPr>
            </w:pPr>
            <w:r w:rsidRPr="00821AF6">
              <w:rPr>
                <w:rFonts w:cs="Tahoma"/>
                <w:sz w:val="20"/>
                <w:szCs w:val="20"/>
              </w:rPr>
              <w:t>szt.</w:t>
            </w:r>
          </w:p>
        </w:tc>
        <w:tc>
          <w:tcPr>
            <w:tcW w:w="1065" w:type="dxa"/>
            <w:tcBorders>
              <w:top w:val="single" w:sz="6" w:space="0" w:color="auto"/>
              <w:bottom w:val="single" w:sz="6" w:space="0" w:color="auto"/>
            </w:tcBorders>
            <w:vAlign w:val="center"/>
          </w:tcPr>
          <w:p w14:paraId="2A96601D" w14:textId="32A659AC" w:rsidR="006D6B2A" w:rsidRPr="00821AF6" w:rsidRDefault="00E52417" w:rsidP="00775934">
            <w:pPr>
              <w:spacing w:before="60" w:after="20" w:line="288" w:lineRule="auto"/>
              <w:ind w:firstLine="0"/>
              <w:jc w:val="right"/>
              <w:rPr>
                <w:rFonts w:cs="Tahoma"/>
                <w:sz w:val="20"/>
                <w:szCs w:val="20"/>
              </w:rPr>
            </w:pPr>
            <w:r>
              <w:rPr>
                <w:rFonts w:cs="Tahoma"/>
                <w:sz w:val="20"/>
                <w:szCs w:val="20"/>
              </w:rPr>
              <w:t>194</w:t>
            </w:r>
          </w:p>
        </w:tc>
        <w:tc>
          <w:tcPr>
            <w:tcW w:w="1065" w:type="dxa"/>
            <w:tcBorders>
              <w:top w:val="single" w:sz="6" w:space="0" w:color="auto"/>
              <w:bottom w:val="single" w:sz="6" w:space="0" w:color="auto"/>
            </w:tcBorders>
            <w:vAlign w:val="center"/>
          </w:tcPr>
          <w:p w14:paraId="131F39E5" w14:textId="2F745FDA" w:rsidR="006D6B2A" w:rsidRPr="00821AF6" w:rsidRDefault="00E52417" w:rsidP="00775934">
            <w:pPr>
              <w:spacing w:before="60" w:after="20" w:line="288" w:lineRule="auto"/>
              <w:ind w:firstLine="0"/>
              <w:jc w:val="right"/>
              <w:rPr>
                <w:rFonts w:cs="Tahoma"/>
                <w:sz w:val="20"/>
                <w:szCs w:val="20"/>
              </w:rPr>
            </w:pPr>
            <w:r>
              <w:rPr>
                <w:rFonts w:cs="Tahoma"/>
                <w:sz w:val="20"/>
                <w:szCs w:val="20"/>
              </w:rPr>
              <w:t>217</w:t>
            </w:r>
          </w:p>
        </w:tc>
        <w:tc>
          <w:tcPr>
            <w:tcW w:w="1065" w:type="dxa"/>
            <w:tcBorders>
              <w:top w:val="single" w:sz="6" w:space="0" w:color="auto"/>
              <w:bottom w:val="single" w:sz="6" w:space="0" w:color="auto"/>
            </w:tcBorders>
            <w:vAlign w:val="center"/>
          </w:tcPr>
          <w:p w14:paraId="32DF524B" w14:textId="471112E2" w:rsidR="006D6B2A" w:rsidRPr="00821AF6" w:rsidRDefault="00E52417" w:rsidP="00775934">
            <w:pPr>
              <w:spacing w:before="60" w:after="20" w:line="288" w:lineRule="auto"/>
              <w:ind w:firstLine="0"/>
              <w:jc w:val="right"/>
              <w:rPr>
                <w:rFonts w:cs="Tahoma"/>
                <w:sz w:val="20"/>
                <w:szCs w:val="20"/>
              </w:rPr>
            </w:pPr>
            <w:r>
              <w:rPr>
                <w:rFonts w:cs="Tahoma"/>
                <w:sz w:val="20"/>
                <w:szCs w:val="20"/>
              </w:rPr>
              <w:t>211</w:t>
            </w:r>
          </w:p>
        </w:tc>
        <w:tc>
          <w:tcPr>
            <w:tcW w:w="1065" w:type="dxa"/>
            <w:tcBorders>
              <w:top w:val="single" w:sz="6" w:space="0" w:color="auto"/>
              <w:bottom w:val="single" w:sz="6" w:space="0" w:color="auto"/>
            </w:tcBorders>
            <w:vAlign w:val="center"/>
          </w:tcPr>
          <w:p w14:paraId="2FFCBE50" w14:textId="7462EE73" w:rsidR="006D6B2A" w:rsidRPr="00821AF6" w:rsidRDefault="00775934" w:rsidP="00775934">
            <w:pPr>
              <w:spacing w:before="60" w:after="20" w:line="288" w:lineRule="auto"/>
              <w:ind w:firstLine="0"/>
              <w:jc w:val="right"/>
              <w:rPr>
                <w:rFonts w:cs="Tahoma"/>
                <w:sz w:val="20"/>
                <w:szCs w:val="20"/>
              </w:rPr>
            </w:pPr>
            <w:r>
              <w:rPr>
                <w:rFonts w:cs="Tahoma"/>
                <w:sz w:val="20"/>
                <w:szCs w:val="20"/>
              </w:rPr>
              <w:t>226</w:t>
            </w:r>
          </w:p>
        </w:tc>
      </w:tr>
      <w:tr w:rsidR="006D6B2A" w:rsidRPr="00821AF6" w14:paraId="5D282CCF" w14:textId="77777777" w:rsidTr="00341078">
        <w:trPr>
          <w:cantSplit/>
          <w:jc w:val="center"/>
        </w:trPr>
        <w:tc>
          <w:tcPr>
            <w:tcW w:w="3678" w:type="dxa"/>
            <w:tcBorders>
              <w:top w:val="single" w:sz="6" w:space="0" w:color="auto"/>
              <w:bottom w:val="single" w:sz="6" w:space="0" w:color="auto"/>
            </w:tcBorders>
            <w:vAlign w:val="center"/>
          </w:tcPr>
          <w:p w14:paraId="0F154C1B" w14:textId="59BC040F" w:rsidR="006D6B2A" w:rsidRPr="00821AF6" w:rsidRDefault="00D801FE" w:rsidP="00775934">
            <w:pPr>
              <w:spacing w:before="60" w:after="20" w:line="288" w:lineRule="auto"/>
              <w:ind w:firstLine="0"/>
              <w:jc w:val="left"/>
              <w:rPr>
                <w:rFonts w:cs="Tahoma"/>
                <w:sz w:val="20"/>
                <w:szCs w:val="20"/>
              </w:rPr>
            </w:pPr>
            <w:r>
              <w:rPr>
                <w:rFonts w:cs="Tahoma"/>
                <w:sz w:val="20"/>
                <w:szCs w:val="20"/>
              </w:rPr>
              <w:t>Maksymalna</w:t>
            </w:r>
            <w:r w:rsidR="006D6B2A" w:rsidRPr="00821AF6">
              <w:rPr>
                <w:rFonts w:cs="Tahoma"/>
                <w:sz w:val="20"/>
                <w:szCs w:val="20"/>
              </w:rPr>
              <w:t xml:space="preserve"> liczba </w:t>
            </w:r>
            <w:r w:rsidR="00341078">
              <w:rPr>
                <w:rFonts w:cs="Tahoma"/>
                <w:sz w:val="20"/>
                <w:szCs w:val="20"/>
              </w:rPr>
              <w:t>autobusów</w:t>
            </w:r>
            <w:r>
              <w:rPr>
                <w:rFonts w:cs="Tahoma"/>
                <w:sz w:val="20"/>
                <w:szCs w:val="20"/>
              </w:rPr>
              <w:br/>
              <w:t>wyjeżdżających na trasy</w:t>
            </w:r>
          </w:p>
        </w:tc>
        <w:tc>
          <w:tcPr>
            <w:tcW w:w="1134" w:type="dxa"/>
            <w:tcBorders>
              <w:top w:val="single" w:sz="6" w:space="0" w:color="auto"/>
              <w:bottom w:val="single" w:sz="6" w:space="0" w:color="auto"/>
            </w:tcBorders>
            <w:vAlign w:val="center"/>
          </w:tcPr>
          <w:p w14:paraId="3F156793" w14:textId="77777777" w:rsidR="006D6B2A" w:rsidRPr="00821AF6" w:rsidRDefault="006D6B2A" w:rsidP="00775934">
            <w:pPr>
              <w:spacing w:before="60" w:after="20" w:line="288" w:lineRule="auto"/>
              <w:ind w:firstLine="0"/>
              <w:jc w:val="center"/>
              <w:rPr>
                <w:rFonts w:cs="Tahoma"/>
                <w:sz w:val="20"/>
                <w:szCs w:val="20"/>
              </w:rPr>
            </w:pPr>
            <w:r w:rsidRPr="00821AF6">
              <w:rPr>
                <w:rFonts w:cs="Tahoma"/>
                <w:sz w:val="20"/>
                <w:szCs w:val="20"/>
              </w:rPr>
              <w:t>szt.</w:t>
            </w:r>
          </w:p>
        </w:tc>
        <w:tc>
          <w:tcPr>
            <w:tcW w:w="1065" w:type="dxa"/>
            <w:tcBorders>
              <w:top w:val="single" w:sz="6" w:space="0" w:color="auto"/>
              <w:bottom w:val="single" w:sz="6" w:space="0" w:color="auto"/>
            </w:tcBorders>
            <w:vAlign w:val="center"/>
          </w:tcPr>
          <w:p w14:paraId="4F90F442" w14:textId="32CAF70C" w:rsidR="006D6B2A" w:rsidRPr="00821AF6" w:rsidRDefault="00E52417" w:rsidP="00775934">
            <w:pPr>
              <w:spacing w:before="60" w:after="20" w:line="288" w:lineRule="auto"/>
              <w:ind w:firstLine="0"/>
              <w:jc w:val="right"/>
              <w:rPr>
                <w:rFonts w:cs="Tahoma"/>
                <w:sz w:val="20"/>
                <w:szCs w:val="20"/>
              </w:rPr>
            </w:pPr>
            <w:r>
              <w:rPr>
                <w:rFonts w:cs="Tahoma"/>
                <w:sz w:val="20"/>
                <w:szCs w:val="20"/>
              </w:rPr>
              <w:t>166</w:t>
            </w:r>
          </w:p>
        </w:tc>
        <w:tc>
          <w:tcPr>
            <w:tcW w:w="1065" w:type="dxa"/>
            <w:tcBorders>
              <w:top w:val="single" w:sz="6" w:space="0" w:color="auto"/>
              <w:bottom w:val="single" w:sz="6" w:space="0" w:color="auto"/>
            </w:tcBorders>
            <w:vAlign w:val="center"/>
          </w:tcPr>
          <w:p w14:paraId="114C88F8" w14:textId="1E8DF588" w:rsidR="006D6B2A" w:rsidRPr="00821AF6" w:rsidRDefault="00E52417" w:rsidP="00775934">
            <w:pPr>
              <w:spacing w:before="60" w:after="20" w:line="288" w:lineRule="auto"/>
              <w:ind w:firstLine="0"/>
              <w:jc w:val="right"/>
              <w:rPr>
                <w:rFonts w:cs="Tahoma"/>
                <w:sz w:val="20"/>
                <w:szCs w:val="20"/>
              </w:rPr>
            </w:pPr>
            <w:r>
              <w:rPr>
                <w:rFonts w:cs="Tahoma"/>
                <w:sz w:val="20"/>
                <w:szCs w:val="20"/>
              </w:rPr>
              <w:t>170</w:t>
            </w:r>
          </w:p>
        </w:tc>
        <w:tc>
          <w:tcPr>
            <w:tcW w:w="1065" w:type="dxa"/>
            <w:tcBorders>
              <w:top w:val="single" w:sz="6" w:space="0" w:color="auto"/>
              <w:bottom w:val="single" w:sz="6" w:space="0" w:color="auto"/>
            </w:tcBorders>
            <w:vAlign w:val="center"/>
          </w:tcPr>
          <w:p w14:paraId="03D12CFF" w14:textId="750E55F2" w:rsidR="006D6B2A" w:rsidRPr="00821AF6" w:rsidRDefault="00E52417" w:rsidP="00775934">
            <w:pPr>
              <w:spacing w:before="60" w:after="20" w:line="288" w:lineRule="auto"/>
              <w:ind w:firstLine="0"/>
              <w:jc w:val="right"/>
              <w:rPr>
                <w:rFonts w:cs="Tahoma"/>
                <w:sz w:val="20"/>
                <w:szCs w:val="20"/>
              </w:rPr>
            </w:pPr>
            <w:r>
              <w:rPr>
                <w:rFonts w:cs="Tahoma"/>
                <w:sz w:val="20"/>
                <w:szCs w:val="20"/>
              </w:rPr>
              <w:t>183</w:t>
            </w:r>
          </w:p>
        </w:tc>
        <w:tc>
          <w:tcPr>
            <w:tcW w:w="1065" w:type="dxa"/>
            <w:tcBorders>
              <w:top w:val="single" w:sz="6" w:space="0" w:color="auto"/>
              <w:bottom w:val="single" w:sz="6" w:space="0" w:color="auto"/>
            </w:tcBorders>
            <w:vAlign w:val="center"/>
          </w:tcPr>
          <w:p w14:paraId="06F76D49" w14:textId="7748E898" w:rsidR="006D6B2A" w:rsidRPr="00821AF6" w:rsidRDefault="00775934" w:rsidP="00775934">
            <w:pPr>
              <w:spacing w:before="60" w:after="20" w:line="288" w:lineRule="auto"/>
              <w:ind w:firstLine="0"/>
              <w:jc w:val="right"/>
              <w:rPr>
                <w:rFonts w:cs="Tahoma"/>
                <w:sz w:val="20"/>
                <w:szCs w:val="20"/>
              </w:rPr>
            </w:pPr>
            <w:r>
              <w:rPr>
                <w:rFonts w:cs="Tahoma"/>
                <w:sz w:val="20"/>
                <w:szCs w:val="20"/>
              </w:rPr>
              <w:t>183</w:t>
            </w:r>
          </w:p>
        </w:tc>
      </w:tr>
      <w:tr w:rsidR="006D6B2A" w:rsidRPr="00821AF6" w14:paraId="5E9AF773" w14:textId="77777777" w:rsidTr="00341078">
        <w:trPr>
          <w:cantSplit/>
          <w:jc w:val="center"/>
        </w:trPr>
        <w:tc>
          <w:tcPr>
            <w:tcW w:w="3678" w:type="dxa"/>
            <w:tcBorders>
              <w:top w:val="single" w:sz="6" w:space="0" w:color="auto"/>
              <w:bottom w:val="single" w:sz="6" w:space="0" w:color="auto"/>
            </w:tcBorders>
            <w:shd w:val="clear" w:color="auto" w:fill="auto"/>
            <w:vAlign w:val="center"/>
          </w:tcPr>
          <w:p w14:paraId="72BC09F6" w14:textId="22774B10" w:rsidR="006D6B2A" w:rsidRPr="00821AF6" w:rsidRDefault="006D6B2A" w:rsidP="00775934">
            <w:pPr>
              <w:spacing w:before="60" w:after="20" w:line="288" w:lineRule="auto"/>
              <w:ind w:firstLine="0"/>
              <w:jc w:val="left"/>
              <w:rPr>
                <w:rFonts w:cs="Tahoma"/>
                <w:sz w:val="20"/>
                <w:szCs w:val="20"/>
              </w:rPr>
            </w:pPr>
            <w:r w:rsidRPr="00821AF6">
              <w:rPr>
                <w:rFonts w:cs="Tahoma"/>
                <w:sz w:val="20"/>
                <w:szCs w:val="20"/>
              </w:rPr>
              <w:t>Liczba pasażerów</w:t>
            </w:r>
          </w:p>
        </w:tc>
        <w:tc>
          <w:tcPr>
            <w:tcW w:w="1134" w:type="dxa"/>
            <w:tcBorders>
              <w:top w:val="single" w:sz="6" w:space="0" w:color="auto"/>
              <w:bottom w:val="single" w:sz="6" w:space="0" w:color="auto"/>
            </w:tcBorders>
            <w:shd w:val="clear" w:color="auto" w:fill="auto"/>
            <w:vAlign w:val="center"/>
          </w:tcPr>
          <w:p w14:paraId="32D70F64" w14:textId="77777777" w:rsidR="006D6B2A" w:rsidRPr="00821AF6" w:rsidRDefault="006D6B2A" w:rsidP="00775934">
            <w:pPr>
              <w:spacing w:before="60" w:after="20" w:line="288" w:lineRule="auto"/>
              <w:ind w:firstLine="0"/>
              <w:jc w:val="center"/>
              <w:rPr>
                <w:rFonts w:cs="Tahoma"/>
                <w:sz w:val="20"/>
                <w:szCs w:val="20"/>
              </w:rPr>
            </w:pPr>
            <w:r w:rsidRPr="00821AF6">
              <w:rPr>
                <w:rFonts w:cs="Tahoma"/>
                <w:sz w:val="20"/>
                <w:szCs w:val="20"/>
              </w:rPr>
              <w:t>tys. osób</w:t>
            </w:r>
          </w:p>
        </w:tc>
        <w:tc>
          <w:tcPr>
            <w:tcW w:w="1065" w:type="dxa"/>
            <w:tcBorders>
              <w:top w:val="single" w:sz="6" w:space="0" w:color="auto"/>
              <w:bottom w:val="single" w:sz="6" w:space="0" w:color="auto"/>
            </w:tcBorders>
            <w:shd w:val="clear" w:color="auto" w:fill="auto"/>
            <w:vAlign w:val="center"/>
          </w:tcPr>
          <w:p w14:paraId="73CB775D" w14:textId="2743297A" w:rsidR="006D6B2A" w:rsidRPr="00821AF6" w:rsidRDefault="00775934" w:rsidP="00775934">
            <w:pPr>
              <w:spacing w:before="60" w:after="20" w:line="288" w:lineRule="auto"/>
              <w:ind w:firstLine="0"/>
              <w:jc w:val="right"/>
              <w:rPr>
                <w:rFonts w:cs="Tahoma"/>
                <w:sz w:val="20"/>
                <w:szCs w:val="20"/>
              </w:rPr>
            </w:pPr>
            <w:r>
              <w:rPr>
                <w:rFonts w:cs="Tahoma"/>
                <w:sz w:val="20"/>
                <w:szCs w:val="20"/>
              </w:rPr>
              <w:t>42 631,5</w:t>
            </w:r>
          </w:p>
        </w:tc>
        <w:tc>
          <w:tcPr>
            <w:tcW w:w="1065" w:type="dxa"/>
            <w:tcBorders>
              <w:top w:val="single" w:sz="6" w:space="0" w:color="auto"/>
              <w:bottom w:val="single" w:sz="6" w:space="0" w:color="auto"/>
            </w:tcBorders>
            <w:shd w:val="clear" w:color="auto" w:fill="auto"/>
            <w:vAlign w:val="center"/>
          </w:tcPr>
          <w:p w14:paraId="2BC50CE2" w14:textId="425D64EA" w:rsidR="006D6B2A" w:rsidRPr="00821AF6" w:rsidRDefault="00775934" w:rsidP="00775934">
            <w:pPr>
              <w:spacing w:before="60" w:after="20" w:line="288" w:lineRule="auto"/>
              <w:ind w:firstLine="0"/>
              <w:jc w:val="right"/>
              <w:rPr>
                <w:rFonts w:cs="Tahoma"/>
                <w:sz w:val="20"/>
                <w:szCs w:val="20"/>
              </w:rPr>
            </w:pPr>
            <w:r>
              <w:rPr>
                <w:rFonts w:cs="Tahoma"/>
                <w:sz w:val="20"/>
                <w:szCs w:val="20"/>
              </w:rPr>
              <w:t>51 705,6</w:t>
            </w:r>
          </w:p>
        </w:tc>
        <w:tc>
          <w:tcPr>
            <w:tcW w:w="1065" w:type="dxa"/>
            <w:tcBorders>
              <w:top w:val="single" w:sz="6" w:space="0" w:color="auto"/>
              <w:bottom w:val="single" w:sz="6" w:space="0" w:color="auto"/>
            </w:tcBorders>
            <w:shd w:val="clear" w:color="auto" w:fill="auto"/>
            <w:vAlign w:val="center"/>
          </w:tcPr>
          <w:p w14:paraId="289010B8" w14:textId="6F1E38EA" w:rsidR="006D6B2A" w:rsidRPr="00821AF6" w:rsidRDefault="00775934" w:rsidP="00775934">
            <w:pPr>
              <w:spacing w:before="60" w:after="20" w:line="288" w:lineRule="auto"/>
              <w:ind w:firstLine="0"/>
              <w:jc w:val="right"/>
              <w:rPr>
                <w:rFonts w:cs="Tahoma"/>
                <w:sz w:val="20"/>
                <w:szCs w:val="20"/>
              </w:rPr>
            </w:pPr>
            <w:r>
              <w:rPr>
                <w:rFonts w:cs="Tahoma"/>
                <w:sz w:val="20"/>
                <w:szCs w:val="20"/>
              </w:rPr>
              <w:t>19 405,8</w:t>
            </w:r>
          </w:p>
        </w:tc>
        <w:tc>
          <w:tcPr>
            <w:tcW w:w="1065" w:type="dxa"/>
            <w:tcBorders>
              <w:top w:val="single" w:sz="6" w:space="0" w:color="auto"/>
              <w:bottom w:val="single" w:sz="6" w:space="0" w:color="auto"/>
            </w:tcBorders>
            <w:shd w:val="clear" w:color="auto" w:fill="auto"/>
            <w:vAlign w:val="center"/>
          </w:tcPr>
          <w:p w14:paraId="5FAF2E95" w14:textId="2E87B301" w:rsidR="006D6B2A" w:rsidRPr="00821AF6" w:rsidRDefault="00775934" w:rsidP="00775934">
            <w:pPr>
              <w:spacing w:before="60" w:after="20" w:line="288" w:lineRule="auto"/>
              <w:ind w:firstLine="0"/>
              <w:jc w:val="right"/>
              <w:rPr>
                <w:rFonts w:cs="Tahoma"/>
                <w:sz w:val="20"/>
                <w:szCs w:val="20"/>
              </w:rPr>
            </w:pPr>
            <w:r>
              <w:rPr>
                <w:rFonts w:cs="Tahoma"/>
                <w:sz w:val="20"/>
                <w:szCs w:val="20"/>
              </w:rPr>
              <w:t>21 000,0</w:t>
            </w:r>
          </w:p>
        </w:tc>
      </w:tr>
      <w:tr w:rsidR="006D6B2A" w:rsidRPr="00821AF6" w14:paraId="3B135088" w14:textId="77777777" w:rsidTr="00341078">
        <w:trPr>
          <w:cantSplit/>
          <w:jc w:val="center"/>
        </w:trPr>
        <w:tc>
          <w:tcPr>
            <w:tcW w:w="3678" w:type="dxa"/>
            <w:tcBorders>
              <w:top w:val="single" w:sz="6" w:space="0" w:color="auto"/>
              <w:bottom w:val="single" w:sz="6" w:space="0" w:color="auto"/>
            </w:tcBorders>
            <w:vAlign w:val="center"/>
          </w:tcPr>
          <w:p w14:paraId="24DECFFA" w14:textId="156FE1CC" w:rsidR="006D6B2A" w:rsidRPr="00821AF6" w:rsidRDefault="00FA2348" w:rsidP="00775934">
            <w:pPr>
              <w:spacing w:before="60" w:after="20" w:line="288" w:lineRule="auto"/>
              <w:ind w:firstLine="0"/>
              <w:rPr>
                <w:rFonts w:cs="Tahoma"/>
                <w:b/>
                <w:bCs/>
                <w:kern w:val="32"/>
                <w:sz w:val="20"/>
                <w:szCs w:val="20"/>
              </w:rPr>
            </w:pPr>
            <w:r>
              <w:rPr>
                <w:rFonts w:cs="Tahoma"/>
                <w:sz w:val="20"/>
                <w:szCs w:val="20"/>
              </w:rPr>
              <w:t>Przychody z biletów bru</w:t>
            </w:r>
            <w:r w:rsidR="006D6B2A" w:rsidRPr="00821AF6">
              <w:rPr>
                <w:rFonts w:cs="Tahoma"/>
                <w:sz w:val="20"/>
                <w:szCs w:val="20"/>
              </w:rPr>
              <w:t>tto</w:t>
            </w:r>
          </w:p>
        </w:tc>
        <w:tc>
          <w:tcPr>
            <w:tcW w:w="1134" w:type="dxa"/>
            <w:tcBorders>
              <w:top w:val="single" w:sz="6" w:space="0" w:color="auto"/>
              <w:bottom w:val="single" w:sz="6" w:space="0" w:color="auto"/>
            </w:tcBorders>
            <w:vAlign w:val="center"/>
          </w:tcPr>
          <w:p w14:paraId="12DD7F2B" w14:textId="77777777" w:rsidR="006D6B2A" w:rsidRPr="00821AF6" w:rsidRDefault="006D6B2A" w:rsidP="00775934">
            <w:pPr>
              <w:spacing w:before="60" w:after="20" w:line="288" w:lineRule="auto"/>
              <w:ind w:firstLine="0"/>
              <w:jc w:val="center"/>
              <w:rPr>
                <w:rFonts w:cs="Tahoma"/>
                <w:sz w:val="20"/>
                <w:szCs w:val="20"/>
              </w:rPr>
            </w:pPr>
            <w:r w:rsidRPr="00821AF6">
              <w:rPr>
                <w:rFonts w:cs="Tahoma"/>
                <w:sz w:val="20"/>
                <w:szCs w:val="20"/>
              </w:rPr>
              <w:t>tys. zł</w:t>
            </w:r>
          </w:p>
        </w:tc>
        <w:tc>
          <w:tcPr>
            <w:tcW w:w="1065" w:type="dxa"/>
            <w:tcBorders>
              <w:top w:val="single" w:sz="6" w:space="0" w:color="auto"/>
              <w:bottom w:val="single" w:sz="6" w:space="0" w:color="auto"/>
            </w:tcBorders>
            <w:vAlign w:val="center"/>
          </w:tcPr>
          <w:p w14:paraId="5F8AE020" w14:textId="052336B3" w:rsidR="006D6B2A" w:rsidRPr="00821AF6" w:rsidRDefault="00775934" w:rsidP="00775934">
            <w:pPr>
              <w:spacing w:before="60" w:after="20" w:line="288" w:lineRule="auto"/>
              <w:ind w:firstLine="0"/>
              <w:jc w:val="right"/>
              <w:rPr>
                <w:rFonts w:cs="Tahoma"/>
                <w:sz w:val="20"/>
                <w:szCs w:val="20"/>
              </w:rPr>
            </w:pPr>
            <w:r>
              <w:rPr>
                <w:rFonts w:cs="Tahoma"/>
                <w:sz w:val="20"/>
                <w:szCs w:val="20"/>
              </w:rPr>
              <w:t>35 112,0</w:t>
            </w:r>
          </w:p>
        </w:tc>
        <w:tc>
          <w:tcPr>
            <w:tcW w:w="1065" w:type="dxa"/>
            <w:tcBorders>
              <w:top w:val="single" w:sz="6" w:space="0" w:color="auto"/>
              <w:bottom w:val="single" w:sz="6" w:space="0" w:color="auto"/>
            </w:tcBorders>
            <w:vAlign w:val="center"/>
          </w:tcPr>
          <w:p w14:paraId="7E056F85" w14:textId="19BF180F" w:rsidR="006D6B2A" w:rsidRPr="00821AF6" w:rsidRDefault="00775934" w:rsidP="00775934">
            <w:pPr>
              <w:spacing w:before="60" w:after="20" w:line="288" w:lineRule="auto"/>
              <w:ind w:firstLine="0"/>
              <w:jc w:val="right"/>
              <w:rPr>
                <w:rFonts w:cs="Tahoma"/>
                <w:sz w:val="20"/>
                <w:szCs w:val="20"/>
              </w:rPr>
            </w:pPr>
            <w:r>
              <w:rPr>
                <w:rFonts w:cs="Tahoma"/>
                <w:sz w:val="20"/>
                <w:szCs w:val="20"/>
              </w:rPr>
              <w:t>36 490,0</w:t>
            </w:r>
          </w:p>
        </w:tc>
        <w:tc>
          <w:tcPr>
            <w:tcW w:w="1065" w:type="dxa"/>
            <w:tcBorders>
              <w:top w:val="single" w:sz="6" w:space="0" w:color="auto"/>
              <w:bottom w:val="single" w:sz="6" w:space="0" w:color="auto"/>
            </w:tcBorders>
            <w:vAlign w:val="center"/>
          </w:tcPr>
          <w:p w14:paraId="48344FC8" w14:textId="249B7FE9" w:rsidR="006D6B2A" w:rsidRPr="00821AF6" w:rsidRDefault="00775934" w:rsidP="00775934">
            <w:pPr>
              <w:spacing w:before="60" w:after="20" w:line="288" w:lineRule="auto"/>
              <w:ind w:firstLine="0"/>
              <w:jc w:val="right"/>
              <w:rPr>
                <w:rFonts w:cs="Tahoma"/>
                <w:sz w:val="20"/>
                <w:szCs w:val="20"/>
              </w:rPr>
            </w:pPr>
            <w:r>
              <w:rPr>
                <w:rFonts w:cs="Tahoma"/>
                <w:sz w:val="20"/>
                <w:szCs w:val="20"/>
              </w:rPr>
              <w:t>23 329,2</w:t>
            </w:r>
          </w:p>
        </w:tc>
        <w:tc>
          <w:tcPr>
            <w:tcW w:w="1065" w:type="dxa"/>
            <w:tcBorders>
              <w:top w:val="single" w:sz="6" w:space="0" w:color="auto"/>
              <w:bottom w:val="single" w:sz="6" w:space="0" w:color="auto"/>
            </w:tcBorders>
            <w:vAlign w:val="center"/>
          </w:tcPr>
          <w:p w14:paraId="6DC509BC" w14:textId="15CBFF70" w:rsidR="006D6B2A" w:rsidRPr="00821AF6" w:rsidRDefault="00775934" w:rsidP="00775934">
            <w:pPr>
              <w:spacing w:before="60" w:after="20" w:line="288" w:lineRule="auto"/>
              <w:ind w:firstLine="0"/>
              <w:jc w:val="right"/>
              <w:rPr>
                <w:rFonts w:cs="Tahoma"/>
                <w:sz w:val="20"/>
                <w:szCs w:val="20"/>
              </w:rPr>
            </w:pPr>
            <w:r>
              <w:rPr>
                <w:rFonts w:cs="Tahoma"/>
                <w:sz w:val="20"/>
                <w:szCs w:val="20"/>
              </w:rPr>
              <w:t>25 185,6</w:t>
            </w:r>
          </w:p>
        </w:tc>
      </w:tr>
    </w:tbl>
    <w:p w14:paraId="6F054626" w14:textId="1142E640" w:rsidR="000C512A" w:rsidRPr="00821AF6" w:rsidRDefault="000C512A" w:rsidP="00775934">
      <w:pPr>
        <w:spacing w:before="120" w:after="240"/>
        <w:ind w:firstLine="0"/>
        <w:jc w:val="left"/>
        <w:rPr>
          <w:rFonts w:cs="Tahoma"/>
          <w:sz w:val="20"/>
          <w:szCs w:val="20"/>
        </w:rPr>
      </w:pPr>
      <w:r w:rsidRPr="00821AF6">
        <w:rPr>
          <w:rFonts w:cs="Tahoma"/>
          <w:sz w:val="20"/>
          <w:szCs w:val="20"/>
        </w:rPr>
        <w:t xml:space="preserve">Źródło: dane </w:t>
      </w:r>
      <w:r w:rsidR="00C73F5E">
        <w:rPr>
          <w:rFonts w:cs="Tahoma"/>
          <w:sz w:val="20"/>
          <w:szCs w:val="20"/>
        </w:rPr>
        <w:t xml:space="preserve">MPK </w:t>
      </w:r>
      <w:r w:rsidR="00FA2348">
        <w:rPr>
          <w:rFonts w:cs="Tahoma"/>
          <w:sz w:val="20"/>
          <w:szCs w:val="20"/>
        </w:rPr>
        <w:t>sp. z o.o.</w:t>
      </w:r>
      <w:r w:rsidR="00341078">
        <w:rPr>
          <w:rFonts w:cs="Tahoma"/>
          <w:sz w:val="20"/>
          <w:szCs w:val="20"/>
        </w:rPr>
        <w:t xml:space="preserve"> oraz </w:t>
      </w:r>
      <w:r w:rsidR="00117435">
        <w:rPr>
          <w:rFonts w:cs="Tahoma"/>
          <w:sz w:val="20"/>
          <w:szCs w:val="20"/>
        </w:rPr>
        <w:t xml:space="preserve">biuletyny </w:t>
      </w:r>
      <w:r w:rsidR="00341078">
        <w:rPr>
          <w:rFonts w:cs="Tahoma"/>
          <w:sz w:val="20"/>
          <w:szCs w:val="20"/>
        </w:rPr>
        <w:t>„Komunikacja miejska w liczbach”</w:t>
      </w:r>
      <w:r w:rsidR="00117435">
        <w:rPr>
          <w:rFonts w:cs="Tahoma"/>
          <w:sz w:val="20"/>
          <w:szCs w:val="20"/>
        </w:rPr>
        <w:t>,</w:t>
      </w:r>
      <w:r w:rsidR="00341078">
        <w:rPr>
          <w:rFonts w:cs="Tahoma"/>
          <w:sz w:val="20"/>
          <w:szCs w:val="20"/>
        </w:rPr>
        <w:t xml:space="preserve"> IGKM Warszawa.</w:t>
      </w:r>
    </w:p>
    <w:p w14:paraId="27A2B8A8" w14:textId="7286D9AB" w:rsidR="00117435" w:rsidRPr="00DA43DD" w:rsidRDefault="008348DF" w:rsidP="00E52417">
      <w:pPr>
        <w:rPr>
          <w:rFonts w:cs="Tahoma"/>
          <w:szCs w:val="22"/>
        </w:rPr>
      </w:pPr>
      <w:bookmarkStart w:id="30" w:name="_Hlk86698349"/>
      <w:r w:rsidRPr="008348DF">
        <w:rPr>
          <w:rFonts w:cs="Tahoma"/>
          <w:szCs w:val="22"/>
        </w:rPr>
        <w:t>Zwiększenie liczby pojazdów MPK sp. z o.o. we flocie w 2021 r. wynikało z realizacji zakupów taboru niskoemisyjnego przez Miasto. W latach 2020-2021 przyjęto na stan 60 autobusów marki Autosan, zasilanych sprężonym gazem ziemnym, kasując w zamian mniejszą liczbę autobusów dotychczas eksploatowanych. Zwiększyło to poziom rezerwy taborowej, ograniczając ryzyko niewykonywania kursów w wyniku braku wystarczającej liczby sprawnego taboru.</w:t>
      </w:r>
    </w:p>
    <w:bookmarkEnd w:id="30"/>
    <w:p w14:paraId="65DE5418" w14:textId="77777777" w:rsidR="008348DF" w:rsidRPr="008348DF" w:rsidRDefault="008348DF" w:rsidP="008348DF">
      <w:pPr>
        <w:rPr>
          <w:rFonts w:cs="Tahoma"/>
          <w:szCs w:val="22"/>
        </w:rPr>
      </w:pPr>
      <w:r w:rsidRPr="008348DF">
        <w:rPr>
          <w:rFonts w:cs="Tahoma"/>
          <w:szCs w:val="22"/>
        </w:rPr>
        <w:t>W 2020 r. względem 2019 r. nastąpił znaczący spadek przychodów ze sprzedaży biletów, wynikający z wprowadzonych ograniczeń w mobilności mieszkańców z powodu pandemii koronawirusa, jak również wskutek wprowadzenia zdalnego nauczania w szkołach oraz niektórych przedsiębiorstwach. Stan ten z okresowymi zmianami utrzymywał się do końca kwietnia 2021 r. i w związku z powyższym należy spodziewać się niskich przychodów ze sprzedaży biletów w całym 2021 r.</w:t>
      </w:r>
    </w:p>
    <w:p w14:paraId="1D4D07DE" w14:textId="3B259AEE" w:rsidR="008348DF" w:rsidRPr="008348DF" w:rsidRDefault="008348DF" w:rsidP="008348DF">
      <w:pPr>
        <w:rPr>
          <w:rFonts w:cs="Tahoma"/>
          <w:szCs w:val="22"/>
        </w:rPr>
      </w:pPr>
      <w:r w:rsidRPr="008348DF">
        <w:rPr>
          <w:rFonts w:cs="Tahoma"/>
          <w:szCs w:val="22"/>
        </w:rPr>
        <w:t>W okresie analizy, tj. do 2036 r., w wariancie konwencjonalnym przyjęto – z uwagi na przewidywane utrzymanie liczby wozokilometrów na poziomie 10,6 mln rocznie – stan floty jako 220 autobusów</w:t>
      </w:r>
      <w:r>
        <w:rPr>
          <w:rFonts w:cs="Tahoma"/>
          <w:szCs w:val="22"/>
        </w:rPr>
        <w:t xml:space="preserve"> (w wariancie konwencjonalnym)</w:t>
      </w:r>
      <w:r w:rsidRPr="008348DF">
        <w:rPr>
          <w:rFonts w:cs="Tahoma"/>
          <w:szCs w:val="22"/>
        </w:rPr>
        <w:t>.</w:t>
      </w:r>
    </w:p>
    <w:p w14:paraId="478B4506" w14:textId="75602142" w:rsidR="008348DF" w:rsidRPr="008348DF" w:rsidRDefault="008348DF" w:rsidP="008348DF">
      <w:pPr>
        <w:rPr>
          <w:rFonts w:cs="Tahoma"/>
          <w:szCs w:val="22"/>
        </w:rPr>
      </w:pPr>
      <w:r w:rsidRPr="008348DF">
        <w:rPr>
          <w:rFonts w:cs="Tahoma"/>
          <w:szCs w:val="22"/>
        </w:rPr>
        <w:t>Miasto zamierza w następnych latach prowadzić politykę korekt wielkości pracy eksploatacyjnej, na podstawie analizy popytu efektywnego. W najbliższej przyszłości (2022 r.) planowana jest rekonstrukcja siatki połączeń, zakładająca jej uproszczenie – zmniejszenie liczby linii i wyprostowanie tras części z nich – przy ryt</w:t>
      </w:r>
      <w:r>
        <w:rPr>
          <w:rFonts w:cs="Tahoma"/>
          <w:szCs w:val="22"/>
        </w:rPr>
        <w:t xml:space="preserve">mizacji obsługi komunikacyjnej </w:t>
      </w:r>
      <w:r w:rsidRPr="008348DF">
        <w:rPr>
          <w:rFonts w:cs="Tahoma"/>
          <w:szCs w:val="22"/>
        </w:rPr>
        <w:t>według stałych taktów, powtarzalnych w cyklu 60-minutowym.</w:t>
      </w:r>
    </w:p>
    <w:p w14:paraId="6E20B4F8" w14:textId="77777777" w:rsidR="000C512A" w:rsidRPr="00821AF6" w:rsidRDefault="000C512A" w:rsidP="00A55101">
      <w:pPr>
        <w:spacing w:line="240" w:lineRule="auto"/>
        <w:ind w:firstLine="0"/>
        <w:jc w:val="left"/>
      </w:pPr>
      <w:r w:rsidRPr="00821AF6">
        <w:br w:type="page"/>
      </w:r>
    </w:p>
    <w:p w14:paraId="77CB7CD6" w14:textId="2D44C3C2" w:rsidR="000C512A" w:rsidRPr="00821AF6" w:rsidRDefault="000C512A" w:rsidP="00FF4839">
      <w:pPr>
        <w:pStyle w:val="Nagwek1"/>
        <w:ind w:left="431" w:hanging="431"/>
        <w:rPr>
          <w:color w:val="000000"/>
        </w:rPr>
      </w:pPr>
      <w:bookmarkStart w:id="31" w:name="_Toc524602367"/>
      <w:bookmarkStart w:id="32" w:name="_Toc89417667"/>
      <w:r w:rsidRPr="00821AF6">
        <w:rPr>
          <w:color w:val="000000"/>
        </w:rPr>
        <w:lastRenderedPageBreak/>
        <w:t xml:space="preserve">Tabor </w:t>
      </w:r>
      <w:r w:rsidR="00C73F5E">
        <w:rPr>
          <w:color w:val="000000"/>
        </w:rPr>
        <w:t>rzeszowskie</w:t>
      </w:r>
      <w:r w:rsidR="00AE0C28">
        <w:rPr>
          <w:color w:val="000000"/>
        </w:rPr>
        <w:t>j</w:t>
      </w:r>
      <w:r w:rsidR="008215F6">
        <w:rPr>
          <w:color w:val="000000"/>
        </w:rPr>
        <w:t xml:space="preserve"> </w:t>
      </w:r>
      <w:r w:rsidRPr="00821AF6">
        <w:rPr>
          <w:color w:val="000000"/>
        </w:rPr>
        <w:t>komunikacji miejskiej</w:t>
      </w:r>
      <w:bookmarkEnd w:id="31"/>
      <w:bookmarkEnd w:id="32"/>
      <w:r w:rsidRPr="00821AF6">
        <w:rPr>
          <w:color w:val="000000"/>
        </w:rPr>
        <w:t xml:space="preserve"> </w:t>
      </w:r>
    </w:p>
    <w:p w14:paraId="54810990" w14:textId="77777777" w:rsidR="000C512A" w:rsidRPr="00821AF6" w:rsidRDefault="000C512A" w:rsidP="00FF4839">
      <w:pPr>
        <w:pStyle w:val="Nagwek2"/>
        <w:spacing w:before="120"/>
        <w:ind w:left="567"/>
        <w:jc w:val="center"/>
      </w:pPr>
      <w:bookmarkStart w:id="33" w:name="_Toc524602368"/>
      <w:bookmarkStart w:id="34" w:name="_Toc89417668"/>
      <w:r w:rsidRPr="00821AF6">
        <w:t>Aktualny stan taboru</w:t>
      </w:r>
      <w:bookmarkEnd w:id="33"/>
      <w:bookmarkEnd w:id="34"/>
    </w:p>
    <w:p w14:paraId="7558C1D6" w14:textId="57959EDB" w:rsidR="000C512A" w:rsidRPr="00821AF6" w:rsidRDefault="000C512A" w:rsidP="00FF4839">
      <w:pPr>
        <w:rPr>
          <w:rFonts w:cs="Tahoma"/>
          <w:szCs w:val="22"/>
        </w:rPr>
      </w:pPr>
      <w:r w:rsidRPr="00821AF6">
        <w:rPr>
          <w:rFonts w:cs="Tahoma"/>
          <w:szCs w:val="22"/>
        </w:rPr>
        <w:t xml:space="preserve">Linie komunikacji miejskiej </w:t>
      </w:r>
      <w:r w:rsidR="00E20C72" w:rsidRPr="00821AF6">
        <w:rPr>
          <w:rFonts w:cs="Tahoma"/>
          <w:szCs w:val="22"/>
        </w:rPr>
        <w:t xml:space="preserve">organizowanej przez </w:t>
      </w:r>
      <w:r w:rsidR="00500028">
        <w:rPr>
          <w:rFonts w:cs="Tahoma"/>
          <w:szCs w:val="22"/>
        </w:rPr>
        <w:t>Miasto</w:t>
      </w:r>
      <w:r w:rsidR="00E20C72" w:rsidRPr="00821AF6">
        <w:rPr>
          <w:rFonts w:cs="Tahoma"/>
          <w:szCs w:val="22"/>
        </w:rPr>
        <w:t xml:space="preserve"> </w:t>
      </w:r>
      <w:r w:rsidR="00C73F5E">
        <w:rPr>
          <w:rFonts w:cs="Tahoma"/>
          <w:szCs w:val="22"/>
        </w:rPr>
        <w:t xml:space="preserve">Rzeszów </w:t>
      </w:r>
      <w:r w:rsidRPr="00821AF6">
        <w:rPr>
          <w:rFonts w:cs="Tahoma"/>
          <w:szCs w:val="22"/>
        </w:rPr>
        <w:t xml:space="preserve">obsługiwane są </w:t>
      </w:r>
      <w:r w:rsidR="00896BE8" w:rsidRPr="00821AF6">
        <w:rPr>
          <w:rFonts w:cs="Tahoma"/>
          <w:szCs w:val="22"/>
        </w:rPr>
        <w:t xml:space="preserve">wyłącznie </w:t>
      </w:r>
      <w:r w:rsidRPr="00821AF6">
        <w:rPr>
          <w:rFonts w:cs="Tahoma"/>
          <w:szCs w:val="22"/>
        </w:rPr>
        <w:t>autobusami</w:t>
      </w:r>
      <w:r w:rsidR="00CF444D" w:rsidRPr="00821AF6">
        <w:rPr>
          <w:rFonts w:cs="Tahoma"/>
          <w:szCs w:val="22"/>
        </w:rPr>
        <w:t xml:space="preserve"> </w:t>
      </w:r>
      <w:r w:rsidR="00E20C72" w:rsidRPr="00821AF6">
        <w:rPr>
          <w:rFonts w:cs="Tahoma"/>
          <w:szCs w:val="22"/>
        </w:rPr>
        <w:t xml:space="preserve">– </w:t>
      </w:r>
      <w:r w:rsidR="00CF444D" w:rsidRPr="00821AF6">
        <w:rPr>
          <w:rFonts w:cs="Tahoma"/>
          <w:szCs w:val="22"/>
        </w:rPr>
        <w:t>częściowo lub całkowicie niskopodłogowymi</w:t>
      </w:r>
      <w:r w:rsidR="00896BE8" w:rsidRPr="00821AF6">
        <w:rPr>
          <w:rFonts w:cs="Tahoma"/>
          <w:szCs w:val="22"/>
        </w:rPr>
        <w:t xml:space="preserve">. Całą flotą pojazdów </w:t>
      </w:r>
      <w:r w:rsidR="005B63BD">
        <w:rPr>
          <w:rFonts w:cs="Tahoma"/>
          <w:szCs w:val="22"/>
        </w:rPr>
        <w:t xml:space="preserve">zarządza </w:t>
      </w:r>
      <w:r w:rsidR="00081F70" w:rsidRPr="00821AF6">
        <w:rPr>
          <w:rFonts w:cs="Tahoma"/>
          <w:szCs w:val="22"/>
        </w:rPr>
        <w:t xml:space="preserve">podmiot wewnętrzny </w:t>
      </w:r>
      <w:r w:rsidR="00F03B84" w:rsidRPr="00821AF6">
        <w:rPr>
          <w:rFonts w:cs="Tahoma"/>
          <w:szCs w:val="22"/>
        </w:rPr>
        <w:t xml:space="preserve">– </w:t>
      </w:r>
      <w:r w:rsidR="007374D5" w:rsidRPr="007374D5">
        <w:rPr>
          <w:rFonts w:cs="Tahoma"/>
          <w:szCs w:val="22"/>
        </w:rPr>
        <w:t xml:space="preserve">Miejskie Przedsiębiorstwo Komunikacyjne – Rzeszów </w:t>
      </w:r>
      <w:r w:rsidR="00FF4839">
        <w:rPr>
          <w:rFonts w:cs="Tahoma"/>
          <w:szCs w:val="22"/>
        </w:rPr>
        <w:t>sp. z o.o.</w:t>
      </w:r>
      <w:r w:rsidR="007374D5" w:rsidRPr="007374D5">
        <w:rPr>
          <w:rFonts w:cs="Tahoma"/>
          <w:szCs w:val="22"/>
        </w:rPr>
        <w:t xml:space="preserve">, </w:t>
      </w:r>
      <w:r w:rsidR="00FF4839">
        <w:rPr>
          <w:rFonts w:cs="Tahoma"/>
          <w:szCs w:val="22"/>
        </w:rPr>
        <w:t>ul.</w:t>
      </w:r>
      <w:r w:rsidR="00327703">
        <w:rPr>
          <w:rFonts w:cs="Tahoma"/>
          <w:szCs w:val="22"/>
        </w:rPr>
        <w:t> </w:t>
      </w:r>
      <w:r w:rsidR="00FF4839">
        <w:rPr>
          <w:rFonts w:cs="Tahoma"/>
          <w:szCs w:val="22"/>
        </w:rPr>
        <w:t>Lubelska</w:t>
      </w:r>
      <w:r w:rsidR="007374D5" w:rsidRPr="007374D5">
        <w:rPr>
          <w:rFonts w:cs="Tahoma"/>
          <w:szCs w:val="22"/>
        </w:rPr>
        <w:t xml:space="preserve"> 54, 35-233 Rzeszów</w:t>
      </w:r>
      <w:r w:rsidR="00F1258F">
        <w:rPr>
          <w:rFonts w:cs="Tahoma"/>
        </w:rPr>
        <w:t>.</w:t>
      </w:r>
    </w:p>
    <w:p w14:paraId="6911177D" w14:textId="5B88761C" w:rsidR="00D94B09" w:rsidRPr="00821AF6" w:rsidRDefault="00FF4839" w:rsidP="007777E1">
      <w:r>
        <w:t>Według stanu na dzień 3</w:t>
      </w:r>
      <w:r w:rsidR="00500028">
        <w:t>0</w:t>
      </w:r>
      <w:r w:rsidR="003957A7" w:rsidRPr="00821AF6">
        <w:t xml:space="preserve"> </w:t>
      </w:r>
      <w:r>
        <w:t>października</w:t>
      </w:r>
      <w:r w:rsidR="003957A7" w:rsidRPr="00821AF6">
        <w:t xml:space="preserve"> 2021 r.</w:t>
      </w:r>
      <w:r w:rsidR="003957A7">
        <w:t xml:space="preserve"> f</w:t>
      </w:r>
      <w:r w:rsidR="00E801F0" w:rsidRPr="00821AF6">
        <w:t xml:space="preserve">lota </w:t>
      </w:r>
      <w:r w:rsidR="003957A7">
        <w:t>autobusów</w:t>
      </w:r>
      <w:r w:rsidR="00E801F0" w:rsidRPr="00821AF6">
        <w:t xml:space="preserve"> </w:t>
      </w:r>
      <w:r w:rsidR="00832CC4" w:rsidRPr="00821AF6">
        <w:t xml:space="preserve">wykorzystywanych do przewozów pasażerów w </w:t>
      </w:r>
      <w:r w:rsidR="00C73F5E">
        <w:t>rzeszowskie</w:t>
      </w:r>
      <w:r w:rsidR="00AE0C28">
        <w:t>j</w:t>
      </w:r>
      <w:r w:rsidR="00F72B62">
        <w:t xml:space="preserve"> </w:t>
      </w:r>
      <w:r w:rsidR="00832CC4" w:rsidRPr="00821AF6">
        <w:t>komunikacji miejskiej liczył</w:t>
      </w:r>
      <w:r w:rsidR="00E801F0" w:rsidRPr="00821AF6">
        <w:t>a</w:t>
      </w:r>
      <w:r w:rsidR="00D67FF7">
        <w:t xml:space="preserve"> </w:t>
      </w:r>
      <w:r>
        <w:t>226</w:t>
      </w:r>
      <w:r w:rsidR="00D67FF7">
        <w:t xml:space="preserve"> </w:t>
      </w:r>
      <w:r w:rsidR="003957A7">
        <w:t>pojaz</w:t>
      </w:r>
      <w:r>
        <w:t>dów</w:t>
      </w:r>
      <w:r w:rsidR="00500028">
        <w:t xml:space="preserve">. </w:t>
      </w:r>
      <w:r w:rsidR="007777E1">
        <w:t>Większość pojazdów wyposażona została</w:t>
      </w:r>
      <w:r w:rsidR="0041513D" w:rsidRPr="00821AF6">
        <w:t xml:space="preserve"> w silniki spalinowe</w:t>
      </w:r>
      <w:r w:rsidR="007777E1">
        <w:t xml:space="preserve"> (95,6%)</w:t>
      </w:r>
      <w:r w:rsidR="00500028">
        <w:t xml:space="preserve">, w tym </w:t>
      </w:r>
      <w:r w:rsidR="007777E1">
        <w:t>98</w:t>
      </w:r>
      <w:r w:rsidR="00500028" w:rsidRPr="00821AF6">
        <w:t xml:space="preserve"> </w:t>
      </w:r>
      <w:r w:rsidR="00500028">
        <w:t>autobusów (</w:t>
      </w:r>
      <w:r w:rsidR="007777E1">
        <w:t>43,4</w:t>
      </w:r>
      <w:r w:rsidR="00500028">
        <w:t>%</w:t>
      </w:r>
      <w:r w:rsidR="00500028" w:rsidRPr="00500028">
        <w:t xml:space="preserve"> </w:t>
      </w:r>
      <w:r w:rsidR="00500028" w:rsidRPr="00821AF6">
        <w:t>stanu floty</w:t>
      </w:r>
      <w:r w:rsidR="00500028">
        <w:t xml:space="preserve">) </w:t>
      </w:r>
      <w:r w:rsidR="00DD7AE5" w:rsidRPr="00821AF6">
        <w:t>zasilan</w:t>
      </w:r>
      <w:r w:rsidR="00B36C1E">
        <w:t xml:space="preserve">ych </w:t>
      </w:r>
      <w:r w:rsidR="00500028">
        <w:t xml:space="preserve">było </w:t>
      </w:r>
      <w:r w:rsidR="00DD7AE5" w:rsidRPr="00821AF6">
        <w:t xml:space="preserve">olejem </w:t>
      </w:r>
      <w:r w:rsidR="00EA3426" w:rsidRPr="00821AF6">
        <w:t>napędowym</w:t>
      </w:r>
      <w:r w:rsidR="0041513D" w:rsidRPr="00821AF6">
        <w:t xml:space="preserve">, </w:t>
      </w:r>
      <w:r w:rsidR="00500028">
        <w:t>a</w:t>
      </w:r>
      <w:r w:rsidR="00E20C72" w:rsidRPr="00821AF6">
        <w:t xml:space="preserve"> </w:t>
      </w:r>
      <w:r w:rsidR="007777E1">
        <w:t>118</w:t>
      </w:r>
      <w:r w:rsidR="00E801F0" w:rsidRPr="00821AF6">
        <w:t xml:space="preserve"> autobusów (</w:t>
      </w:r>
      <w:r w:rsidR="007777E1">
        <w:t>52,2</w:t>
      </w:r>
      <w:r w:rsidR="00E801F0" w:rsidRPr="00821AF6">
        <w:t xml:space="preserve">%) </w:t>
      </w:r>
      <w:r w:rsidR="00B36C1E">
        <w:t xml:space="preserve">– </w:t>
      </w:r>
      <w:r w:rsidR="00500028">
        <w:t>sprężonym gazem ziemnym (CNG)</w:t>
      </w:r>
      <w:r w:rsidR="00D7777B" w:rsidRPr="00821AF6">
        <w:t>.</w:t>
      </w:r>
      <w:r w:rsidR="00D1419F" w:rsidRPr="00821AF6">
        <w:t xml:space="preserve"> W strukturze taboru </w:t>
      </w:r>
      <w:r w:rsidR="00500028">
        <w:t xml:space="preserve">komunikacji miejskiej </w:t>
      </w:r>
      <w:r w:rsidR="00C73F5E">
        <w:t xml:space="preserve">MPK </w:t>
      </w:r>
      <w:r w:rsidR="008C47E6">
        <w:t>przeważały</w:t>
      </w:r>
      <w:r w:rsidR="003957A7">
        <w:t xml:space="preserve"> </w:t>
      </w:r>
      <w:r w:rsidR="00F03B84" w:rsidRPr="00821AF6">
        <w:t xml:space="preserve">autobusy </w:t>
      </w:r>
      <w:r w:rsidR="001C6933" w:rsidRPr="00821AF6">
        <w:t xml:space="preserve">standardowe </w:t>
      </w:r>
      <w:r w:rsidR="00F03B84" w:rsidRPr="00821AF6">
        <w:t>(</w:t>
      </w:r>
      <w:r w:rsidR="00B36C1E">
        <w:t xml:space="preserve">12-metrowe, </w:t>
      </w:r>
      <w:r w:rsidR="00947742">
        <w:t>kla</w:t>
      </w:r>
      <w:r w:rsidR="001C6933" w:rsidRPr="00821AF6">
        <w:t>sy m</w:t>
      </w:r>
      <w:r w:rsidR="00B4040C" w:rsidRPr="00821AF6">
        <w:t>axi</w:t>
      </w:r>
      <w:r w:rsidR="00F03B84" w:rsidRPr="00821AF6">
        <w:t>)</w:t>
      </w:r>
      <w:r w:rsidR="00DF7C5F">
        <w:t xml:space="preserve">, </w:t>
      </w:r>
      <w:r w:rsidR="008C47E6">
        <w:t xml:space="preserve">które stanowiły </w:t>
      </w:r>
      <w:r w:rsidR="007777E1">
        <w:t>77</w:t>
      </w:r>
      <w:r w:rsidR="008C47E6">
        <w:t>% stanu floty (</w:t>
      </w:r>
      <w:r w:rsidR="007777E1">
        <w:t>174 pojazdy</w:t>
      </w:r>
      <w:r w:rsidR="008C47E6">
        <w:t>),</w:t>
      </w:r>
      <w:r w:rsidR="007777E1">
        <w:t xml:space="preserve"> 30 autobusów</w:t>
      </w:r>
      <w:r w:rsidR="00AB00F3">
        <w:t xml:space="preserve"> był</w:t>
      </w:r>
      <w:r w:rsidR="007777E1">
        <w:t>o</w:t>
      </w:r>
      <w:r w:rsidR="00AB00F3">
        <w:t xml:space="preserve"> klasy mega (18-metrowe, przegubowe), </w:t>
      </w:r>
      <w:r w:rsidR="007777E1">
        <w:t xml:space="preserve">20 pojazdów klasy midi (10,5 metrowe), </w:t>
      </w:r>
      <w:r w:rsidR="00AB00F3">
        <w:t xml:space="preserve">a </w:t>
      </w:r>
      <w:r w:rsidR="007777E1">
        <w:t>2</w:t>
      </w:r>
      <w:r w:rsidR="008C47E6">
        <w:t xml:space="preserve"> </w:t>
      </w:r>
      <w:r w:rsidR="00AB00F3">
        <w:t xml:space="preserve">– </w:t>
      </w:r>
      <w:r w:rsidR="008C47E6">
        <w:t>klasy midi</w:t>
      </w:r>
      <w:r w:rsidR="00B36C1E">
        <w:t xml:space="preserve"> (</w:t>
      </w:r>
      <w:r w:rsidR="007777E1">
        <w:t>7,8</w:t>
      </w:r>
      <w:r w:rsidR="00B36C1E">
        <w:t xml:space="preserve"> m długości)</w:t>
      </w:r>
      <w:r w:rsidR="00AB00F3">
        <w:t>.</w:t>
      </w:r>
    </w:p>
    <w:p w14:paraId="4FBF1437" w14:textId="1D2800DE" w:rsidR="000C512A" w:rsidRDefault="00427C49" w:rsidP="007777E1">
      <w:r w:rsidRPr="00821AF6">
        <w:t>W tabeli 3</w:t>
      </w:r>
      <w:r w:rsidR="000C512A" w:rsidRPr="00821AF6">
        <w:t xml:space="preserve"> przedstawiono strukturę </w:t>
      </w:r>
      <w:r w:rsidR="00E830D3" w:rsidRPr="00821AF6">
        <w:t xml:space="preserve">użytkowanego </w:t>
      </w:r>
      <w:r w:rsidR="000C512A" w:rsidRPr="00821AF6">
        <w:t xml:space="preserve">przez </w:t>
      </w:r>
      <w:r w:rsidR="00C73F5E">
        <w:t xml:space="preserve">MPK </w:t>
      </w:r>
      <w:r w:rsidR="000C512A" w:rsidRPr="00821AF6">
        <w:t>taboru</w:t>
      </w:r>
      <w:r w:rsidR="00996723" w:rsidRPr="00821AF6">
        <w:t xml:space="preserve"> wykorzystywanego do realizacji przewozów w komunikacji miejskiej</w:t>
      </w:r>
      <w:r w:rsidR="000C512A" w:rsidRPr="00821AF6">
        <w:t xml:space="preserve"> </w:t>
      </w:r>
      <w:r w:rsidR="00483C6C" w:rsidRPr="00821AF6">
        <w:t xml:space="preserve">– </w:t>
      </w:r>
      <w:r w:rsidR="000C512A" w:rsidRPr="00821AF6">
        <w:t>wg kryterium wieku i spełniania norm czystości spalin</w:t>
      </w:r>
      <w:r w:rsidR="00996723" w:rsidRPr="00821AF6">
        <w:t xml:space="preserve"> – stan na </w:t>
      </w:r>
      <w:r w:rsidR="00982CE4" w:rsidRPr="00821AF6">
        <w:t xml:space="preserve">dzień </w:t>
      </w:r>
      <w:r w:rsidR="00FF4839" w:rsidRPr="00FF4839">
        <w:t xml:space="preserve">30 października </w:t>
      </w:r>
      <w:r w:rsidR="00996723" w:rsidRPr="00821AF6">
        <w:t>2021</w:t>
      </w:r>
      <w:r w:rsidR="007B6A59" w:rsidRPr="00821AF6">
        <w:t xml:space="preserve"> r.</w:t>
      </w:r>
    </w:p>
    <w:p w14:paraId="70775AD8" w14:textId="1784BE8B" w:rsidR="000C512A" w:rsidRPr="00561DCD" w:rsidRDefault="000C512A" w:rsidP="007777E1">
      <w:pPr>
        <w:pStyle w:val="Legenda"/>
        <w:keepNext/>
        <w:spacing w:before="240" w:after="0"/>
        <w:ind w:firstLine="0"/>
        <w:jc w:val="left"/>
        <w:rPr>
          <w:color w:val="000000"/>
          <w:sz w:val="22"/>
          <w:szCs w:val="22"/>
        </w:rPr>
      </w:pPr>
      <w:r w:rsidRPr="00561DCD">
        <w:rPr>
          <w:color w:val="000000"/>
          <w:sz w:val="22"/>
          <w:szCs w:val="22"/>
        </w:rPr>
        <w:t xml:space="preserve">Tab. </w:t>
      </w:r>
      <w:r w:rsidR="00B60ABE" w:rsidRPr="00561DCD">
        <w:rPr>
          <w:color w:val="000000"/>
          <w:sz w:val="22"/>
          <w:szCs w:val="22"/>
        </w:rPr>
        <w:fldChar w:fldCharType="begin"/>
      </w:r>
      <w:r w:rsidRPr="00561DCD">
        <w:rPr>
          <w:color w:val="000000"/>
          <w:sz w:val="22"/>
          <w:szCs w:val="22"/>
        </w:rPr>
        <w:instrText xml:space="preserve"> SEQ Tab. \* ARABIC </w:instrText>
      </w:r>
      <w:r w:rsidR="00B60ABE" w:rsidRPr="00561DCD">
        <w:rPr>
          <w:color w:val="000000"/>
          <w:sz w:val="22"/>
          <w:szCs w:val="22"/>
        </w:rPr>
        <w:fldChar w:fldCharType="separate"/>
      </w:r>
      <w:r w:rsidR="004605BC">
        <w:rPr>
          <w:noProof/>
          <w:color w:val="000000"/>
          <w:sz w:val="22"/>
          <w:szCs w:val="22"/>
        </w:rPr>
        <w:t>3</w:t>
      </w:r>
      <w:r w:rsidR="00B60ABE" w:rsidRPr="00561DCD">
        <w:rPr>
          <w:color w:val="000000"/>
          <w:sz w:val="22"/>
          <w:szCs w:val="22"/>
        </w:rPr>
        <w:fldChar w:fldCharType="end"/>
      </w:r>
      <w:r w:rsidRPr="00561DCD">
        <w:rPr>
          <w:color w:val="000000"/>
          <w:sz w:val="22"/>
          <w:szCs w:val="22"/>
        </w:rPr>
        <w:t xml:space="preserve">. </w:t>
      </w:r>
      <w:bookmarkStart w:id="35" w:name="_Hlk73364639"/>
      <w:r w:rsidRPr="00561DCD">
        <w:rPr>
          <w:color w:val="000000"/>
          <w:sz w:val="22"/>
          <w:szCs w:val="22"/>
        </w:rPr>
        <w:t xml:space="preserve">Struktura taboru </w:t>
      </w:r>
      <w:r w:rsidR="00E830D3" w:rsidRPr="00561DCD">
        <w:rPr>
          <w:color w:val="000000"/>
          <w:sz w:val="22"/>
          <w:szCs w:val="22"/>
        </w:rPr>
        <w:t xml:space="preserve">użytkowanego przez </w:t>
      </w:r>
      <w:r w:rsidR="00C73F5E">
        <w:rPr>
          <w:color w:val="000000"/>
          <w:sz w:val="22"/>
          <w:szCs w:val="22"/>
        </w:rPr>
        <w:t xml:space="preserve">MPK </w:t>
      </w:r>
      <w:r w:rsidR="00996723" w:rsidRPr="00561DCD">
        <w:rPr>
          <w:color w:val="000000"/>
          <w:sz w:val="22"/>
          <w:szCs w:val="22"/>
        </w:rPr>
        <w:t>s</w:t>
      </w:r>
      <w:r w:rsidR="00CF3775" w:rsidRPr="00561DCD">
        <w:rPr>
          <w:color w:val="000000"/>
          <w:sz w:val="22"/>
          <w:szCs w:val="22"/>
        </w:rPr>
        <w:t>p. z o.o.</w:t>
      </w:r>
      <w:r w:rsidR="0041513D" w:rsidRPr="00561DCD">
        <w:rPr>
          <w:color w:val="000000"/>
          <w:sz w:val="22"/>
          <w:szCs w:val="22"/>
        </w:rPr>
        <w:t xml:space="preserve"> </w:t>
      </w:r>
      <w:r w:rsidRPr="00561DCD">
        <w:rPr>
          <w:color w:val="000000"/>
          <w:sz w:val="22"/>
          <w:szCs w:val="22"/>
        </w:rPr>
        <w:t>wg kryterium wiek</w:t>
      </w:r>
      <w:r w:rsidR="00E347DE" w:rsidRPr="00561DCD">
        <w:rPr>
          <w:color w:val="000000"/>
          <w:sz w:val="22"/>
          <w:szCs w:val="22"/>
        </w:rPr>
        <w:t>u</w:t>
      </w:r>
      <w:r w:rsidR="00E830D3" w:rsidRPr="00561DCD">
        <w:rPr>
          <w:color w:val="000000"/>
          <w:sz w:val="22"/>
          <w:szCs w:val="22"/>
        </w:rPr>
        <w:br/>
      </w:r>
      <w:r w:rsidRPr="00561DCD">
        <w:rPr>
          <w:color w:val="000000"/>
          <w:sz w:val="22"/>
          <w:szCs w:val="22"/>
        </w:rPr>
        <w:t>i spełnianych norm</w:t>
      </w:r>
      <w:r w:rsidR="00E830D3" w:rsidRPr="00561DCD">
        <w:rPr>
          <w:color w:val="000000"/>
          <w:sz w:val="22"/>
          <w:szCs w:val="22"/>
        </w:rPr>
        <w:t xml:space="preserve"> </w:t>
      </w:r>
      <w:r w:rsidRPr="00561DCD">
        <w:rPr>
          <w:color w:val="000000"/>
          <w:sz w:val="22"/>
          <w:szCs w:val="22"/>
        </w:rPr>
        <w:t xml:space="preserve">czystości spalin – stan na </w:t>
      </w:r>
      <w:r w:rsidR="00FF4839" w:rsidRPr="00FF4839">
        <w:rPr>
          <w:color w:val="000000"/>
          <w:sz w:val="22"/>
          <w:szCs w:val="22"/>
        </w:rPr>
        <w:t xml:space="preserve">30 października </w:t>
      </w:r>
      <w:r w:rsidR="00996723" w:rsidRPr="00561DCD">
        <w:rPr>
          <w:color w:val="000000"/>
          <w:sz w:val="22"/>
          <w:szCs w:val="22"/>
        </w:rPr>
        <w:t>2021</w:t>
      </w:r>
      <w:r w:rsidRPr="00561DCD">
        <w:rPr>
          <w:color w:val="000000"/>
          <w:sz w:val="22"/>
          <w:szCs w:val="22"/>
        </w:rPr>
        <w:t xml:space="preserve"> r.</w:t>
      </w:r>
      <w:bookmarkStart w:id="36" w:name="_Hlk73364607"/>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A0" w:firstRow="1" w:lastRow="0" w:firstColumn="1" w:lastColumn="0" w:noHBand="0" w:noVBand="0"/>
      </w:tblPr>
      <w:tblGrid>
        <w:gridCol w:w="418"/>
        <w:gridCol w:w="1984"/>
        <w:gridCol w:w="851"/>
        <w:gridCol w:w="708"/>
        <w:gridCol w:w="851"/>
        <w:gridCol w:w="1134"/>
        <w:gridCol w:w="850"/>
        <w:gridCol w:w="1276"/>
        <w:gridCol w:w="1000"/>
      </w:tblGrid>
      <w:tr w:rsidR="00E4391E" w:rsidRPr="00561DCD" w14:paraId="01572509" w14:textId="77777777" w:rsidTr="00064BE1">
        <w:trPr>
          <w:cantSplit/>
          <w:tblHeader/>
          <w:jc w:val="center"/>
        </w:trPr>
        <w:tc>
          <w:tcPr>
            <w:tcW w:w="418" w:type="dxa"/>
            <w:tcBorders>
              <w:bottom w:val="single" w:sz="6" w:space="0" w:color="auto"/>
            </w:tcBorders>
            <w:shd w:val="clear" w:color="auto" w:fill="FFFF99"/>
            <w:vAlign w:val="center"/>
          </w:tcPr>
          <w:bookmarkEnd w:id="35"/>
          <w:p w14:paraId="2DE4FAA5" w14:textId="77777777" w:rsidR="00E4391E" w:rsidRPr="00561DCD" w:rsidRDefault="00E4391E" w:rsidP="007777E1">
            <w:pPr>
              <w:spacing w:before="60" w:after="20" w:line="288" w:lineRule="auto"/>
              <w:ind w:firstLine="0"/>
              <w:jc w:val="center"/>
              <w:rPr>
                <w:rFonts w:cs="Tahoma"/>
                <w:b/>
                <w:sz w:val="18"/>
                <w:szCs w:val="18"/>
              </w:rPr>
            </w:pPr>
            <w:r w:rsidRPr="00561DCD">
              <w:rPr>
                <w:rFonts w:cs="Tahoma"/>
                <w:b/>
                <w:sz w:val="18"/>
                <w:szCs w:val="18"/>
              </w:rPr>
              <w:t>Lp.</w:t>
            </w:r>
          </w:p>
        </w:tc>
        <w:tc>
          <w:tcPr>
            <w:tcW w:w="1984" w:type="dxa"/>
            <w:tcBorders>
              <w:bottom w:val="single" w:sz="6" w:space="0" w:color="auto"/>
            </w:tcBorders>
            <w:shd w:val="clear" w:color="auto" w:fill="FFFF99"/>
            <w:vAlign w:val="center"/>
          </w:tcPr>
          <w:p w14:paraId="44704E41" w14:textId="77777777" w:rsidR="00E4391E" w:rsidRPr="00561DCD" w:rsidRDefault="00E4391E" w:rsidP="007777E1">
            <w:pPr>
              <w:spacing w:before="60" w:after="20" w:line="288" w:lineRule="auto"/>
              <w:ind w:firstLine="0"/>
              <w:jc w:val="center"/>
              <w:rPr>
                <w:rFonts w:cs="Tahoma"/>
                <w:b/>
                <w:sz w:val="18"/>
                <w:szCs w:val="18"/>
              </w:rPr>
            </w:pPr>
            <w:r w:rsidRPr="00561DCD">
              <w:rPr>
                <w:rFonts w:cs="Tahoma"/>
                <w:b/>
                <w:sz w:val="18"/>
                <w:szCs w:val="18"/>
              </w:rPr>
              <w:t>Typ taboru</w:t>
            </w:r>
          </w:p>
        </w:tc>
        <w:tc>
          <w:tcPr>
            <w:tcW w:w="851" w:type="dxa"/>
            <w:tcBorders>
              <w:bottom w:val="single" w:sz="6" w:space="0" w:color="auto"/>
            </w:tcBorders>
            <w:shd w:val="clear" w:color="auto" w:fill="FFFF99"/>
            <w:vAlign w:val="center"/>
          </w:tcPr>
          <w:p w14:paraId="2376E3F0" w14:textId="77777777" w:rsidR="00E4391E" w:rsidRPr="00561DCD" w:rsidRDefault="00E4391E" w:rsidP="007777E1">
            <w:pPr>
              <w:spacing w:before="60" w:after="20" w:line="288" w:lineRule="auto"/>
              <w:ind w:firstLine="0"/>
              <w:jc w:val="center"/>
              <w:rPr>
                <w:rFonts w:cs="Tahoma"/>
                <w:b/>
                <w:sz w:val="18"/>
                <w:szCs w:val="18"/>
              </w:rPr>
            </w:pPr>
            <w:r w:rsidRPr="00561DCD">
              <w:rPr>
                <w:rFonts w:cs="Tahoma"/>
                <w:b/>
                <w:sz w:val="18"/>
                <w:szCs w:val="18"/>
              </w:rPr>
              <w:t>Rodzaj</w:t>
            </w:r>
            <w:r w:rsidRPr="00561DCD">
              <w:rPr>
                <w:rFonts w:cs="Tahoma"/>
                <w:b/>
                <w:sz w:val="18"/>
                <w:szCs w:val="18"/>
              </w:rPr>
              <w:br/>
              <w:t>paliwa</w:t>
            </w:r>
          </w:p>
        </w:tc>
        <w:tc>
          <w:tcPr>
            <w:tcW w:w="708" w:type="dxa"/>
            <w:tcBorders>
              <w:bottom w:val="single" w:sz="6" w:space="0" w:color="auto"/>
            </w:tcBorders>
            <w:shd w:val="clear" w:color="auto" w:fill="FFFF99"/>
            <w:vAlign w:val="center"/>
          </w:tcPr>
          <w:p w14:paraId="23133D3D" w14:textId="77777777" w:rsidR="00E4391E" w:rsidRPr="00561DCD" w:rsidRDefault="00E4391E" w:rsidP="007777E1">
            <w:pPr>
              <w:spacing w:before="60" w:after="20" w:line="288" w:lineRule="auto"/>
              <w:ind w:firstLine="0"/>
              <w:jc w:val="center"/>
              <w:rPr>
                <w:rFonts w:cs="Tahoma"/>
                <w:b/>
                <w:sz w:val="18"/>
                <w:szCs w:val="18"/>
              </w:rPr>
            </w:pPr>
            <w:r w:rsidRPr="00561DCD">
              <w:rPr>
                <w:rFonts w:cs="Tahoma"/>
                <w:b/>
                <w:sz w:val="18"/>
                <w:szCs w:val="18"/>
              </w:rPr>
              <w:t>Liczba</w:t>
            </w:r>
            <w:r w:rsidRPr="00561DCD">
              <w:rPr>
                <w:rFonts w:cs="Tahoma"/>
                <w:b/>
                <w:sz w:val="18"/>
                <w:szCs w:val="18"/>
              </w:rPr>
              <w:br/>
              <w:t>sztuk</w:t>
            </w:r>
          </w:p>
        </w:tc>
        <w:tc>
          <w:tcPr>
            <w:tcW w:w="851" w:type="dxa"/>
            <w:tcBorders>
              <w:bottom w:val="single" w:sz="6" w:space="0" w:color="auto"/>
            </w:tcBorders>
            <w:shd w:val="clear" w:color="auto" w:fill="FFFF99"/>
            <w:vAlign w:val="center"/>
          </w:tcPr>
          <w:p w14:paraId="342118D7" w14:textId="77777777" w:rsidR="00E4391E" w:rsidRPr="00561DCD" w:rsidRDefault="00E4391E" w:rsidP="007777E1">
            <w:pPr>
              <w:spacing w:before="60" w:after="20" w:line="288" w:lineRule="auto"/>
              <w:ind w:firstLine="0"/>
              <w:jc w:val="center"/>
              <w:rPr>
                <w:rFonts w:cs="Tahoma"/>
                <w:b/>
                <w:sz w:val="18"/>
                <w:szCs w:val="18"/>
              </w:rPr>
            </w:pPr>
            <w:r w:rsidRPr="00561DCD">
              <w:rPr>
                <w:rFonts w:cs="Tahoma"/>
                <w:b/>
                <w:sz w:val="18"/>
                <w:szCs w:val="18"/>
              </w:rPr>
              <w:t>Długość</w:t>
            </w:r>
            <w:r w:rsidRPr="00561DCD">
              <w:rPr>
                <w:rFonts w:cs="Tahoma"/>
                <w:b/>
                <w:sz w:val="18"/>
                <w:szCs w:val="18"/>
              </w:rPr>
              <w:br/>
              <w:t>[m]</w:t>
            </w:r>
          </w:p>
        </w:tc>
        <w:tc>
          <w:tcPr>
            <w:tcW w:w="1134" w:type="dxa"/>
            <w:tcBorders>
              <w:bottom w:val="single" w:sz="6" w:space="0" w:color="auto"/>
            </w:tcBorders>
            <w:shd w:val="clear" w:color="auto" w:fill="FFFF99"/>
            <w:vAlign w:val="center"/>
          </w:tcPr>
          <w:p w14:paraId="74C2B51D" w14:textId="77777777" w:rsidR="00E4391E" w:rsidRPr="00561DCD" w:rsidRDefault="00E4391E" w:rsidP="007777E1">
            <w:pPr>
              <w:spacing w:before="60" w:after="20" w:line="288" w:lineRule="auto"/>
              <w:ind w:firstLine="0"/>
              <w:jc w:val="center"/>
              <w:rPr>
                <w:rFonts w:cs="Tahoma"/>
                <w:b/>
                <w:sz w:val="18"/>
                <w:szCs w:val="18"/>
              </w:rPr>
            </w:pPr>
            <w:r w:rsidRPr="00561DCD">
              <w:rPr>
                <w:rFonts w:cs="Tahoma"/>
                <w:b/>
                <w:sz w:val="18"/>
                <w:szCs w:val="18"/>
              </w:rPr>
              <w:t>Rok</w:t>
            </w:r>
            <w:r w:rsidRPr="00561DCD">
              <w:rPr>
                <w:rFonts w:cs="Tahoma"/>
                <w:b/>
                <w:sz w:val="18"/>
                <w:szCs w:val="18"/>
              </w:rPr>
              <w:br/>
              <w:t>produkcji</w:t>
            </w:r>
          </w:p>
        </w:tc>
        <w:tc>
          <w:tcPr>
            <w:tcW w:w="850" w:type="dxa"/>
            <w:tcBorders>
              <w:bottom w:val="single" w:sz="6" w:space="0" w:color="auto"/>
            </w:tcBorders>
            <w:shd w:val="clear" w:color="auto" w:fill="FFFF99"/>
            <w:vAlign w:val="center"/>
          </w:tcPr>
          <w:p w14:paraId="6CAAFE89" w14:textId="004AF036" w:rsidR="00E4391E" w:rsidRPr="00561DCD" w:rsidRDefault="003A54F7" w:rsidP="007777E1">
            <w:pPr>
              <w:spacing w:before="60" w:after="20" w:line="288" w:lineRule="auto"/>
              <w:ind w:firstLine="0"/>
              <w:jc w:val="center"/>
              <w:rPr>
                <w:rFonts w:cs="Tahoma"/>
                <w:b/>
                <w:sz w:val="18"/>
                <w:szCs w:val="18"/>
              </w:rPr>
            </w:pPr>
            <w:r>
              <w:rPr>
                <w:rFonts w:cs="Tahoma"/>
                <w:b/>
                <w:sz w:val="18"/>
                <w:szCs w:val="18"/>
              </w:rPr>
              <w:t>Liczba miejsc</w:t>
            </w:r>
          </w:p>
        </w:tc>
        <w:tc>
          <w:tcPr>
            <w:tcW w:w="1276" w:type="dxa"/>
            <w:tcBorders>
              <w:bottom w:val="single" w:sz="6" w:space="0" w:color="auto"/>
            </w:tcBorders>
            <w:shd w:val="clear" w:color="auto" w:fill="FFFF99"/>
            <w:vAlign w:val="center"/>
          </w:tcPr>
          <w:p w14:paraId="3CA8AE20" w14:textId="77777777" w:rsidR="00E4391E" w:rsidRPr="00561DCD" w:rsidRDefault="00E4391E" w:rsidP="007777E1">
            <w:pPr>
              <w:spacing w:before="60" w:after="20" w:line="288" w:lineRule="auto"/>
              <w:ind w:firstLine="0"/>
              <w:jc w:val="center"/>
              <w:rPr>
                <w:rFonts w:cs="Tahoma"/>
                <w:b/>
                <w:sz w:val="18"/>
                <w:szCs w:val="18"/>
              </w:rPr>
            </w:pPr>
            <w:r w:rsidRPr="00561DCD">
              <w:rPr>
                <w:rFonts w:cs="Tahoma"/>
                <w:b/>
                <w:sz w:val="18"/>
                <w:szCs w:val="18"/>
              </w:rPr>
              <w:t>Norma</w:t>
            </w:r>
            <w:r w:rsidRPr="00561DCD">
              <w:rPr>
                <w:rFonts w:cs="Tahoma"/>
                <w:b/>
                <w:sz w:val="18"/>
                <w:szCs w:val="18"/>
              </w:rPr>
              <w:br/>
              <w:t>czystości</w:t>
            </w:r>
            <w:r w:rsidRPr="00561DCD">
              <w:rPr>
                <w:rFonts w:cs="Tahoma"/>
                <w:b/>
                <w:sz w:val="18"/>
                <w:szCs w:val="18"/>
              </w:rPr>
              <w:br/>
              <w:t>spalin</w:t>
            </w:r>
          </w:p>
        </w:tc>
        <w:tc>
          <w:tcPr>
            <w:tcW w:w="1000" w:type="dxa"/>
            <w:tcBorders>
              <w:bottom w:val="single" w:sz="6" w:space="0" w:color="auto"/>
            </w:tcBorders>
            <w:shd w:val="clear" w:color="auto" w:fill="FFFF99"/>
            <w:vAlign w:val="center"/>
          </w:tcPr>
          <w:p w14:paraId="76F3C846" w14:textId="352C2DA5" w:rsidR="00E4391E" w:rsidRPr="00561DCD" w:rsidRDefault="00E4391E" w:rsidP="007777E1">
            <w:pPr>
              <w:spacing w:before="60" w:after="20" w:line="288" w:lineRule="auto"/>
              <w:ind w:firstLine="0"/>
              <w:jc w:val="center"/>
              <w:rPr>
                <w:rFonts w:cs="Tahoma"/>
                <w:b/>
                <w:sz w:val="18"/>
                <w:szCs w:val="18"/>
              </w:rPr>
            </w:pPr>
            <w:r w:rsidRPr="00561DCD">
              <w:rPr>
                <w:rFonts w:cs="Tahoma"/>
                <w:b/>
                <w:sz w:val="18"/>
                <w:szCs w:val="18"/>
              </w:rPr>
              <w:t>Własność</w:t>
            </w:r>
          </w:p>
        </w:tc>
      </w:tr>
      <w:tr w:rsidR="00E4391E" w:rsidRPr="00561DCD" w14:paraId="409EF28A"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07348AA3" w14:textId="77777777" w:rsidR="00E4391E" w:rsidRPr="00561DCD" w:rsidRDefault="00E4391E" w:rsidP="007777E1">
            <w:pPr>
              <w:spacing w:before="60" w:after="20" w:line="288" w:lineRule="auto"/>
              <w:ind w:firstLine="0"/>
              <w:jc w:val="center"/>
              <w:rPr>
                <w:rFonts w:cs="Tahoma"/>
                <w:sz w:val="18"/>
                <w:szCs w:val="18"/>
              </w:rPr>
            </w:pPr>
            <w:r w:rsidRPr="00561DCD">
              <w:rPr>
                <w:rFonts w:cs="Tahoma"/>
                <w:sz w:val="18"/>
                <w:szCs w:val="18"/>
              </w:rPr>
              <w:t>1</w:t>
            </w:r>
          </w:p>
        </w:tc>
        <w:tc>
          <w:tcPr>
            <w:tcW w:w="1984" w:type="dxa"/>
            <w:tcBorders>
              <w:top w:val="single" w:sz="4" w:space="0" w:color="auto"/>
              <w:left w:val="single" w:sz="4" w:space="0" w:color="auto"/>
              <w:bottom w:val="single" w:sz="4" w:space="0" w:color="auto"/>
              <w:right w:val="single" w:sz="4" w:space="0" w:color="auto"/>
            </w:tcBorders>
            <w:vAlign w:val="center"/>
          </w:tcPr>
          <w:p w14:paraId="05B743D2" w14:textId="571FEF23" w:rsidR="00E4391E" w:rsidRPr="00EA5AC8" w:rsidRDefault="007777E1" w:rsidP="007777E1">
            <w:pPr>
              <w:spacing w:before="60" w:after="20" w:line="288" w:lineRule="auto"/>
              <w:ind w:firstLine="0"/>
              <w:jc w:val="left"/>
              <w:rPr>
                <w:rFonts w:cs="Tahoma"/>
                <w:sz w:val="18"/>
                <w:szCs w:val="18"/>
                <w:lang w:val="en-GB"/>
              </w:rPr>
            </w:pPr>
            <w:r>
              <w:rPr>
                <w:rFonts w:cs="Tahoma"/>
                <w:sz w:val="18"/>
                <w:szCs w:val="18"/>
                <w:lang w:val="en-GB"/>
              </w:rPr>
              <w:t>Solaris Urbino 12</w:t>
            </w:r>
          </w:p>
        </w:tc>
        <w:tc>
          <w:tcPr>
            <w:tcW w:w="851" w:type="dxa"/>
            <w:tcBorders>
              <w:top w:val="single" w:sz="4" w:space="0" w:color="auto"/>
              <w:left w:val="single" w:sz="4" w:space="0" w:color="auto"/>
              <w:bottom w:val="single" w:sz="4" w:space="0" w:color="auto"/>
              <w:right w:val="single" w:sz="4" w:space="0" w:color="auto"/>
            </w:tcBorders>
            <w:vAlign w:val="center"/>
          </w:tcPr>
          <w:p w14:paraId="62B17B88" w14:textId="77777777" w:rsidR="00E4391E" w:rsidRPr="00561DCD" w:rsidRDefault="00E4391E" w:rsidP="007777E1">
            <w:pPr>
              <w:spacing w:before="60" w:after="20" w:line="288" w:lineRule="auto"/>
              <w:ind w:firstLine="0"/>
              <w:jc w:val="center"/>
              <w:rPr>
                <w:rFonts w:cs="Tahoma"/>
                <w:sz w:val="18"/>
                <w:szCs w:val="18"/>
              </w:rPr>
            </w:pPr>
            <w:r w:rsidRPr="00561DCD">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DDD075B" w14:textId="48E07C75" w:rsidR="00E4391E" w:rsidRPr="00561DCD" w:rsidRDefault="003A54F7" w:rsidP="007777E1">
            <w:pPr>
              <w:spacing w:before="60" w:after="20" w:line="288" w:lineRule="auto"/>
              <w:ind w:firstLine="0"/>
              <w:jc w:val="right"/>
              <w:rPr>
                <w:rFonts w:cs="Tahoma"/>
                <w:sz w:val="18"/>
                <w:szCs w:val="18"/>
              </w:rPr>
            </w:pPr>
            <w:r>
              <w:rPr>
                <w:rFonts w:cs="Tahoma"/>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33700247" w14:textId="6D968F13" w:rsidR="00E4391E" w:rsidRPr="00561DCD" w:rsidRDefault="00E4391E" w:rsidP="007777E1">
            <w:pPr>
              <w:spacing w:before="60" w:after="20" w:line="288" w:lineRule="auto"/>
              <w:ind w:firstLine="0"/>
              <w:jc w:val="right"/>
              <w:rPr>
                <w:rFonts w:cs="Tahoma"/>
                <w:sz w:val="18"/>
                <w:szCs w:val="18"/>
              </w:rPr>
            </w:pPr>
            <w:r w:rsidRPr="00561DCD">
              <w:rPr>
                <w:rFonts w:cs="Tahoma"/>
                <w:sz w:val="18"/>
                <w:szCs w:val="18"/>
              </w:rPr>
              <w:t>1</w:t>
            </w:r>
            <w:r w:rsidR="007777E1">
              <w:rPr>
                <w:rFonts w:cs="Tahoma"/>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14:paraId="6B143DEC" w14:textId="2A28E3B8" w:rsidR="00E4391E" w:rsidRPr="00561DCD" w:rsidRDefault="007777E1" w:rsidP="007777E1">
            <w:pPr>
              <w:spacing w:before="60" w:after="20" w:line="288" w:lineRule="auto"/>
              <w:ind w:firstLine="0"/>
              <w:jc w:val="right"/>
              <w:rPr>
                <w:rFonts w:cs="Tahoma"/>
                <w:sz w:val="18"/>
                <w:szCs w:val="18"/>
              </w:rPr>
            </w:pPr>
            <w:r>
              <w:rPr>
                <w:rFonts w:cs="Tahoma"/>
                <w:sz w:val="18"/>
                <w:szCs w:val="18"/>
              </w:rPr>
              <w:t>1999</w:t>
            </w:r>
          </w:p>
        </w:tc>
        <w:tc>
          <w:tcPr>
            <w:tcW w:w="850" w:type="dxa"/>
            <w:tcBorders>
              <w:top w:val="single" w:sz="4" w:space="0" w:color="auto"/>
              <w:left w:val="single" w:sz="4" w:space="0" w:color="auto"/>
              <w:bottom w:val="single" w:sz="4" w:space="0" w:color="auto"/>
              <w:right w:val="single" w:sz="4" w:space="0" w:color="auto"/>
            </w:tcBorders>
            <w:vAlign w:val="center"/>
          </w:tcPr>
          <w:p w14:paraId="029888AA" w14:textId="1AE697EB" w:rsidR="00E4391E" w:rsidRPr="00561DCD" w:rsidRDefault="007777E1" w:rsidP="007777E1">
            <w:pPr>
              <w:spacing w:before="60" w:after="20" w:line="288" w:lineRule="auto"/>
              <w:ind w:firstLine="0"/>
              <w:jc w:val="right"/>
              <w:rPr>
                <w:rFonts w:cs="Tahoma"/>
                <w:sz w:val="18"/>
                <w:szCs w:val="18"/>
              </w:rPr>
            </w:pPr>
            <w:r>
              <w:rPr>
                <w:rFonts w:cs="Tahoma"/>
                <w:sz w:val="18"/>
                <w:szCs w:val="18"/>
              </w:rPr>
              <w:t>105</w:t>
            </w:r>
          </w:p>
        </w:tc>
        <w:tc>
          <w:tcPr>
            <w:tcW w:w="1276" w:type="dxa"/>
            <w:tcBorders>
              <w:top w:val="single" w:sz="4" w:space="0" w:color="auto"/>
              <w:left w:val="single" w:sz="4" w:space="0" w:color="auto"/>
              <w:bottom w:val="single" w:sz="4" w:space="0" w:color="auto"/>
              <w:right w:val="single" w:sz="4" w:space="0" w:color="auto"/>
            </w:tcBorders>
            <w:vAlign w:val="center"/>
          </w:tcPr>
          <w:p w14:paraId="2E1ACFB6" w14:textId="1B5EDBBA" w:rsidR="00E4391E" w:rsidRPr="00561DCD" w:rsidRDefault="00E4391E" w:rsidP="007777E1">
            <w:pPr>
              <w:spacing w:before="60" w:after="20" w:line="288" w:lineRule="auto"/>
              <w:ind w:firstLine="0"/>
              <w:jc w:val="right"/>
              <w:rPr>
                <w:rFonts w:cs="Tahoma"/>
                <w:sz w:val="18"/>
                <w:szCs w:val="18"/>
              </w:rPr>
            </w:pPr>
            <w:r w:rsidRPr="00561DCD">
              <w:rPr>
                <w:rFonts w:cs="Tahoma"/>
                <w:sz w:val="18"/>
                <w:szCs w:val="18"/>
              </w:rPr>
              <w:t>EURO I</w:t>
            </w:r>
            <w:r w:rsidR="003A54F7">
              <w:rPr>
                <w:rFonts w:cs="Tahoma"/>
                <w:sz w:val="18"/>
                <w:szCs w:val="18"/>
              </w:rPr>
              <w:t>I</w:t>
            </w:r>
          </w:p>
        </w:tc>
        <w:tc>
          <w:tcPr>
            <w:tcW w:w="1000" w:type="dxa"/>
            <w:tcBorders>
              <w:top w:val="single" w:sz="4" w:space="0" w:color="auto"/>
              <w:left w:val="single" w:sz="4" w:space="0" w:color="auto"/>
              <w:bottom w:val="single" w:sz="4" w:space="0" w:color="auto"/>
              <w:right w:val="single" w:sz="4" w:space="0" w:color="auto"/>
            </w:tcBorders>
            <w:vAlign w:val="center"/>
          </w:tcPr>
          <w:p w14:paraId="30BF9409" w14:textId="6D86E153" w:rsidR="00E4391E" w:rsidRPr="00561DCD" w:rsidRDefault="007777E1" w:rsidP="007777E1">
            <w:pPr>
              <w:spacing w:before="60" w:after="20" w:line="288" w:lineRule="auto"/>
              <w:ind w:firstLine="0"/>
              <w:jc w:val="right"/>
              <w:rPr>
                <w:rFonts w:cs="Tahoma"/>
                <w:sz w:val="18"/>
                <w:szCs w:val="18"/>
              </w:rPr>
            </w:pPr>
            <w:r>
              <w:rPr>
                <w:rFonts w:cs="Tahoma"/>
                <w:sz w:val="18"/>
                <w:szCs w:val="18"/>
              </w:rPr>
              <w:t>MPK</w:t>
            </w:r>
          </w:p>
        </w:tc>
      </w:tr>
      <w:tr w:rsidR="008C47E6" w:rsidRPr="00561DCD" w14:paraId="79B1785A"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2CCB7DBD" w14:textId="77777777" w:rsidR="008C47E6" w:rsidRPr="00561DCD" w:rsidRDefault="008C47E6" w:rsidP="007777E1">
            <w:pPr>
              <w:spacing w:before="60" w:after="20" w:line="288" w:lineRule="auto"/>
              <w:ind w:firstLine="0"/>
              <w:jc w:val="center"/>
              <w:rPr>
                <w:rFonts w:cs="Tahoma"/>
                <w:sz w:val="18"/>
                <w:szCs w:val="18"/>
              </w:rPr>
            </w:pPr>
            <w:r w:rsidRPr="00561DCD">
              <w:rPr>
                <w:rFonts w:cs="Tahoma"/>
                <w:sz w:val="18"/>
                <w:szCs w:val="18"/>
              </w:rPr>
              <w:t>2</w:t>
            </w:r>
          </w:p>
        </w:tc>
        <w:tc>
          <w:tcPr>
            <w:tcW w:w="1984" w:type="dxa"/>
            <w:tcBorders>
              <w:top w:val="single" w:sz="4" w:space="0" w:color="auto"/>
              <w:left w:val="single" w:sz="4" w:space="0" w:color="auto"/>
              <w:bottom w:val="single" w:sz="4" w:space="0" w:color="auto"/>
              <w:right w:val="single" w:sz="4" w:space="0" w:color="auto"/>
            </w:tcBorders>
            <w:vAlign w:val="center"/>
          </w:tcPr>
          <w:p w14:paraId="15A37AD4" w14:textId="2FCDB196" w:rsidR="008C47E6" w:rsidRPr="00561DCD" w:rsidRDefault="0095631B" w:rsidP="007777E1">
            <w:pPr>
              <w:spacing w:before="60" w:after="20" w:line="288" w:lineRule="auto"/>
              <w:ind w:firstLine="0"/>
              <w:jc w:val="left"/>
              <w:rPr>
                <w:rFonts w:cs="Tahoma"/>
                <w:sz w:val="18"/>
                <w:szCs w:val="18"/>
              </w:rPr>
            </w:pPr>
            <w:r>
              <w:rPr>
                <w:rFonts w:cs="Tahoma"/>
                <w:sz w:val="18"/>
                <w:szCs w:val="18"/>
              </w:rPr>
              <w:t>Solaris Urbino 12</w:t>
            </w:r>
          </w:p>
        </w:tc>
        <w:tc>
          <w:tcPr>
            <w:tcW w:w="851" w:type="dxa"/>
            <w:tcBorders>
              <w:top w:val="single" w:sz="4" w:space="0" w:color="auto"/>
              <w:left w:val="single" w:sz="4" w:space="0" w:color="auto"/>
              <w:bottom w:val="single" w:sz="4" w:space="0" w:color="auto"/>
              <w:right w:val="single" w:sz="4" w:space="0" w:color="auto"/>
            </w:tcBorders>
            <w:vAlign w:val="center"/>
          </w:tcPr>
          <w:p w14:paraId="3BABCF36" w14:textId="0122A3BC" w:rsidR="008C47E6" w:rsidRPr="00561DCD" w:rsidRDefault="0095631B" w:rsidP="007777E1">
            <w:pPr>
              <w:spacing w:before="60" w:after="20" w:line="288" w:lineRule="auto"/>
              <w:ind w:firstLine="0"/>
              <w:jc w:val="center"/>
              <w:rPr>
                <w:rFonts w:cs="Tahoma"/>
                <w:sz w:val="18"/>
                <w:szCs w:val="18"/>
              </w:rPr>
            </w:pPr>
            <w:r>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392D4C" w14:textId="28F0076A" w:rsidR="008C47E6" w:rsidRPr="00561DCD" w:rsidRDefault="0095631B" w:rsidP="007777E1">
            <w:pPr>
              <w:spacing w:before="60" w:after="20" w:line="288" w:lineRule="auto"/>
              <w:ind w:firstLine="0"/>
              <w:jc w:val="right"/>
              <w:rPr>
                <w:rFonts w:cs="Tahoma"/>
                <w:sz w:val="18"/>
                <w:szCs w:val="18"/>
              </w:rPr>
            </w:pPr>
            <w:r>
              <w:rPr>
                <w:rFonts w:cs="Tahoma"/>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14:paraId="318B9EEB" w14:textId="7512F2A6" w:rsidR="008C47E6" w:rsidRPr="00561DCD"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45C5CD6" w14:textId="72F3C5DC" w:rsidR="008C47E6" w:rsidRPr="00561DCD" w:rsidRDefault="0095631B" w:rsidP="007777E1">
            <w:pPr>
              <w:spacing w:before="60" w:after="20" w:line="288" w:lineRule="auto"/>
              <w:ind w:firstLine="0"/>
              <w:jc w:val="right"/>
              <w:rPr>
                <w:rFonts w:cs="Tahoma"/>
                <w:sz w:val="18"/>
                <w:szCs w:val="18"/>
              </w:rPr>
            </w:pPr>
            <w:r>
              <w:rPr>
                <w:rFonts w:cs="Tahoma"/>
                <w:sz w:val="18"/>
                <w:szCs w:val="18"/>
              </w:rPr>
              <w:t>2002</w:t>
            </w:r>
          </w:p>
        </w:tc>
        <w:tc>
          <w:tcPr>
            <w:tcW w:w="850" w:type="dxa"/>
            <w:tcBorders>
              <w:top w:val="single" w:sz="4" w:space="0" w:color="auto"/>
              <w:left w:val="single" w:sz="4" w:space="0" w:color="auto"/>
              <w:bottom w:val="single" w:sz="4" w:space="0" w:color="auto"/>
              <w:right w:val="single" w:sz="4" w:space="0" w:color="auto"/>
            </w:tcBorders>
            <w:vAlign w:val="center"/>
          </w:tcPr>
          <w:p w14:paraId="766251CF" w14:textId="0CFA76FF" w:rsidR="008C47E6" w:rsidRPr="00561DCD" w:rsidRDefault="0095631B" w:rsidP="007777E1">
            <w:pPr>
              <w:spacing w:before="60" w:after="20" w:line="288" w:lineRule="auto"/>
              <w:ind w:firstLine="0"/>
              <w:jc w:val="right"/>
              <w:rPr>
                <w:rFonts w:cs="Tahoma"/>
                <w:sz w:val="18"/>
                <w:szCs w:val="18"/>
              </w:rPr>
            </w:pPr>
            <w:r>
              <w:rPr>
                <w:rFonts w:cs="Tahoma"/>
                <w:sz w:val="18"/>
                <w:szCs w:val="18"/>
              </w:rPr>
              <w:t>104</w:t>
            </w:r>
          </w:p>
        </w:tc>
        <w:tc>
          <w:tcPr>
            <w:tcW w:w="1276" w:type="dxa"/>
            <w:tcBorders>
              <w:top w:val="single" w:sz="4" w:space="0" w:color="auto"/>
              <w:left w:val="single" w:sz="4" w:space="0" w:color="auto"/>
              <w:bottom w:val="single" w:sz="4" w:space="0" w:color="auto"/>
              <w:right w:val="single" w:sz="4" w:space="0" w:color="auto"/>
            </w:tcBorders>
            <w:vAlign w:val="center"/>
          </w:tcPr>
          <w:p w14:paraId="114CDD2C" w14:textId="7B9A9A00" w:rsidR="008C47E6" w:rsidRPr="00561DCD" w:rsidRDefault="0095631B" w:rsidP="0095631B">
            <w:pPr>
              <w:spacing w:before="60" w:after="20" w:line="288" w:lineRule="auto"/>
              <w:ind w:firstLine="0"/>
              <w:jc w:val="right"/>
              <w:rPr>
                <w:rFonts w:cs="Tahoma"/>
                <w:sz w:val="18"/>
                <w:szCs w:val="18"/>
              </w:rPr>
            </w:pPr>
            <w:r>
              <w:rPr>
                <w:rFonts w:cs="Tahoma"/>
                <w:sz w:val="18"/>
                <w:szCs w:val="18"/>
              </w:rPr>
              <w:t>EURO III</w:t>
            </w:r>
          </w:p>
        </w:tc>
        <w:tc>
          <w:tcPr>
            <w:tcW w:w="1000" w:type="dxa"/>
            <w:tcBorders>
              <w:top w:val="single" w:sz="4" w:space="0" w:color="auto"/>
              <w:left w:val="single" w:sz="4" w:space="0" w:color="auto"/>
              <w:bottom w:val="single" w:sz="4" w:space="0" w:color="auto"/>
              <w:right w:val="single" w:sz="4" w:space="0" w:color="auto"/>
            </w:tcBorders>
            <w:vAlign w:val="center"/>
          </w:tcPr>
          <w:p w14:paraId="34E96AC3" w14:textId="7FB3C1AA" w:rsidR="008C47E6" w:rsidRPr="00561DCD" w:rsidRDefault="0095631B" w:rsidP="007777E1">
            <w:pPr>
              <w:spacing w:before="60" w:after="20" w:line="288" w:lineRule="auto"/>
              <w:ind w:firstLine="0"/>
              <w:jc w:val="right"/>
              <w:rPr>
                <w:rFonts w:cs="Tahoma"/>
                <w:sz w:val="18"/>
                <w:szCs w:val="18"/>
              </w:rPr>
            </w:pPr>
            <w:r>
              <w:rPr>
                <w:rFonts w:cs="Tahoma"/>
                <w:sz w:val="18"/>
                <w:szCs w:val="18"/>
              </w:rPr>
              <w:t>MPK</w:t>
            </w:r>
          </w:p>
        </w:tc>
      </w:tr>
      <w:tr w:rsidR="008C47E6" w:rsidRPr="00561DCD" w14:paraId="4C55D7BE"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286319C5" w14:textId="77777777" w:rsidR="008C47E6" w:rsidRPr="00561DCD" w:rsidRDefault="008C47E6" w:rsidP="007777E1">
            <w:pPr>
              <w:spacing w:before="60" w:after="20" w:line="288" w:lineRule="auto"/>
              <w:ind w:firstLine="0"/>
              <w:jc w:val="center"/>
              <w:rPr>
                <w:rFonts w:cs="Tahoma"/>
                <w:sz w:val="18"/>
                <w:szCs w:val="18"/>
              </w:rPr>
            </w:pPr>
            <w:r w:rsidRPr="00561DCD">
              <w:rPr>
                <w:rFonts w:cs="Tahoma"/>
                <w:sz w:val="18"/>
                <w:szCs w:val="18"/>
              </w:rPr>
              <w:t>3</w:t>
            </w:r>
          </w:p>
        </w:tc>
        <w:tc>
          <w:tcPr>
            <w:tcW w:w="1984" w:type="dxa"/>
            <w:tcBorders>
              <w:top w:val="single" w:sz="4" w:space="0" w:color="auto"/>
              <w:left w:val="single" w:sz="4" w:space="0" w:color="auto"/>
              <w:bottom w:val="single" w:sz="4" w:space="0" w:color="auto"/>
              <w:right w:val="single" w:sz="4" w:space="0" w:color="auto"/>
            </w:tcBorders>
            <w:vAlign w:val="center"/>
          </w:tcPr>
          <w:p w14:paraId="7CE064D1" w14:textId="47B5FFA4" w:rsidR="008C47E6" w:rsidRPr="00EA5AC8" w:rsidRDefault="0095631B" w:rsidP="007777E1">
            <w:pPr>
              <w:spacing w:before="60" w:after="20" w:line="288" w:lineRule="auto"/>
              <w:ind w:firstLine="0"/>
              <w:jc w:val="left"/>
              <w:rPr>
                <w:rFonts w:cs="Tahoma"/>
                <w:sz w:val="18"/>
                <w:szCs w:val="18"/>
                <w:lang w:val="en-GB"/>
              </w:rPr>
            </w:pPr>
            <w:r>
              <w:rPr>
                <w:rFonts w:cs="Tahoma"/>
                <w:sz w:val="18"/>
                <w:szCs w:val="18"/>
                <w:lang w:val="en-GB"/>
              </w:rPr>
              <w:t>Solaris Urbino 12</w:t>
            </w:r>
          </w:p>
        </w:tc>
        <w:tc>
          <w:tcPr>
            <w:tcW w:w="851" w:type="dxa"/>
            <w:tcBorders>
              <w:top w:val="single" w:sz="4" w:space="0" w:color="auto"/>
              <w:left w:val="single" w:sz="4" w:space="0" w:color="auto"/>
              <w:bottom w:val="single" w:sz="4" w:space="0" w:color="auto"/>
              <w:right w:val="single" w:sz="4" w:space="0" w:color="auto"/>
            </w:tcBorders>
            <w:vAlign w:val="center"/>
          </w:tcPr>
          <w:p w14:paraId="4788A65A" w14:textId="58203453" w:rsidR="008C47E6" w:rsidRPr="00561DCD" w:rsidRDefault="0095631B"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62B16C" w14:textId="711475AA" w:rsidR="008C47E6" w:rsidRPr="00561DCD" w:rsidRDefault="0095631B" w:rsidP="007777E1">
            <w:pPr>
              <w:spacing w:before="60" w:after="20" w:line="288" w:lineRule="auto"/>
              <w:ind w:firstLine="0"/>
              <w:jc w:val="right"/>
              <w:rPr>
                <w:rFonts w:cs="Tahoma"/>
                <w:sz w:val="18"/>
                <w:szCs w:val="18"/>
              </w:rPr>
            </w:pPr>
            <w:r>
              <w:rPr>
                <w:rFonts w:cs="Tahoma"/>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453D5733" w14:textId="66844930" w:rsidR="008C47E6" w:rsidRPr="00561DCD"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D4706A2" w14:textId="7BF8ABFF" w:rsidR="008C47E6" w:rsidRPr="00561DCD" w:rsidRDefault="0095631B" w:rsidP="007777E1">
            <w:pPr>
              <w:spacing w:before="60" w:after="20" w:line="288" w:lineRule="auto"/>
              <w:ind w:firstLine="0"/>
              <w:jc w:val="right"/>
              <w:rPr>
                <w:rFonts w:cs="Tahoma"/>
                <w:sz w:val="18"/>
                <w:szCs w:val="18"/>
              </w:rPr>
            </w:pPr>
            <w:r>
              <w:rPr>
                <w:rFonts w:cs="Tahoma"/>
                <w:sz w:val="18"/>
                <w:szCs w:val="18"/>
              </w:rPr>
              <w:t>2005</w:t>
            </w:r>
          </w:p>
        </w:tc>
        <w:tc>
          <w:tcPr>
            <w:tcW w:w="850" w:type="dxa"/>
            <w:tcBorders>
              <w:top w:val="single" w:sz="4" w:space="0" w:color="auto"/>
              <w:left w:val="single" w:sz="4" w:space="0" w:color="auto"/>
              <w:bottom w:val="single" w:sz="4" w:space="0" w:color="auto"/>
              <w:right w:val="single" w:sz="4" w:space="0" w:color="auto"/>
            </w:tcBorders>
            <w:vAlign w:val="center"/>
          </w:tcPr>
          <w:p w14:paraId="08D65D28" w14:textId="0DEB559E" w:rsidR="008C47E6" w:rsidRPr="00561DCD" w:rsidRDefault="0095631B" w:rsidP="007777E1">
            <w:pPr>
              <w:spacing w:before="60" w:after="20" w:line="288" w:lineRule="auto"/>
              <w:ind w:firstLine="0"/>
              <w:jc w:val="right"/>
              <w:rPr>
                <w:rFonts w:cs="Tahoma"/>
                <w:sz w:val="18"/>
                <w:szCs w:val="18"/>
              </w:rPr>
            </w:pPr>
            <w:r>
              <w:rPr>
                <w:rFonts w:cs="Tahoma"/>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B37BF40" w14:textId="4125F031" w:rsidR="008C47E6" w:rsidRPr="00561DCD" w:rsidRDefault="0095631B" w:rsidP="007777E1">
            <w:pPr>
              <w:spacing w:before="60" w:after="20" w:line="288" w:lineRule="auto"/>
              <w:ind w:firstLine="0"/>
              <w:jc w:val="right"/>
              <w:rPr>
                <w:rFonts w:cs="Tahoma"/>
                <w:sz w:val="18"/>
                <w:szCs w:val="18"/>
              </w:rPr>
            </w:pPr>
            <w:r>
              <w:rPr>
                <w:rFonts w:cs="Tahoma"/>
                <w:sz w:val="18"/>
                <w:szCs w:val="18"/>
              </w:rPr>
              <w:t>EURO III</w:t>
            </w:r>
          </w:p>
        </w:tc>
        <w:tc>
          <w:tcPr>
            <w:tcW w:w="1000" w:type="dxa"/>
            <w:tcBorders>
              <w:top w:val="single" w:sz="4" w:space="0" w:color="auto"/>
              <w:left w:val="single" w:sz="4" w:space="0" w:color="auto"/>
              <w:bottom w:val="single" w:sz="4" w:space="0" w:color="auto"/>
              <w:right w:val="single" w:sz="4" w:space="0" w:color="auto"/>
            </w:tcBorders>
            <w:vAlign w:val="center"/>
          </w:tcPr>
          <w:p w14:paraId="22C07504" w14:textId="677C5E31" w:rsidR="008C47E6" w:rsidRPr="00561DCD" w:rsidRDefault="0095631B" w:rsidP="007777E1">
            <w:pPr>
              <w:spacing w:before="60" w:after="20" w:line="288" w:lineRule="auto"/>
              <w:ind w:firstLine="0"/>
              <w:jc w:val="right"/>
              <w:rPr>
                <w:rFonts w:cs="Tahoma"/>
                <w:sz w:val="18"/>
                <w:szCs w:val="18"/>
              </w:rPr>
            </w:pPr>
            <w:r>
              <w:rPr>
                <w:rFonts w:cs="Tahoma"/>
                <w:sz w:val="18"/>
                <w:szCs w:val="18"/>
              </w:rPr>
              <w:t>MPK</w:t>
            </w:r>
          </w:p>
        </w:tc>
      </w:tr>
      <w:tr w:rsidR="008C47E6" w:rsidRPr="00561DCD" w14:paraId="734E36A1"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14428432" w14:textId="77777777" w:rsidR="008C47E6" w:rsidRPr="00561DCD" w:rsidRDefault="008C47E6" w:rsidP="007777E1">
            <w:pPr>
              <w:spacing w:before="60" w:after="20" w:line="288" w:lineRule="auto"/>
              <w:ind w:firstLine="0"/>
              <w:jc w:val="center"/>
              <w:rPr>
                <w:rFonts w:cs="Tahoma"/>
                <w:sz w:val="18"/>
                <w:szCs w:val="18"/>
              </w:rPr>
            </w:pPr>
            <w:r w:rsidRPr="00561DCD">
              <w:rPr>
                <w:rFonts w:cs="Tahoma"/>
                <w:sz w:val="18"/>
                <w:szCs w:val="18"/>
              </w:rPr>
              <w:t>4</w:t>
            </w:r>
          </w:p>
        </w:tc>
        <w:tc>
          <w:tcPr>
            <w:tcW w:w="1984" w:type="dxa"/>
            <w:tcBorders>
              <w:top w:val="single" w:sz="4" w:space="0" w:color="auto"/>
              <w:left w:val="single" w:sz="4" w:space="0" w:color="auto"/>
              <w:bottom w:val="single" w:sz="4" w:space="0" w:color="auto"/>
              <w:right w:val="single" w:sz="4" w:space="0" w:color="auto"/>
            </w:tcBorders>
            <w:vAlign w:val="center"/>
          </w:tcPr>
          <w:p w14:paraId="56D6226B" w14:textId="22C74A29" w:rsidR="008C47E6" w:rsidRPr="00561DCD" w:rsidRDefault="0095631B" w:rsidP="007777E1">
            <w:pPr>
              <w:spacing w:before="60" w:after="20" w:line="288" w:lineRule="auto"/>
              <w:ind w:firstLine="0"/>
              <w:jc w:val="left"/>
              <w:rPr>
                <w:rFonts w:cs="Tahoma"/>
                <w:sz w:val="18"/>
                <w:szCs w:val="18"/>
              </w:rPr>
            </w:pPr>
            <w:r>
              <w:rPr>
                <w:rFonts w:cs="Tahoma"/>
                <w:sz w:val="18"/>
                <w:szCs w:val="18"/>
              </w:rPr>
              <w:t>Jelcz M125M/4</w:t>
            </w:r>
          </w:p>
        </w:tc>
        <w:tc>
          <w:tcPr>
            <w:tcW w:w="851" w:type="dxa"/>
            <w:tcBorders>
              <w:top w:val="single" w:sz="4" w:space="0" w:color="auto"/>
              <w:left w:val="single" w:sz="4" w:space="0" w:color="auto"/>
              <w:bottom w:val="single" w:sz="4" w:space="0" w:color="auto"/>
              <w:right w:val="single" w:sz="4" w:space="0" w:color="auto"/>
            </w:tcBorders>
            <w:vAlign w:val="center"/>
          </w:tcPr>
          <w:p w14:paraId="6FF33BCF" w14:textId="5274B966" w:rsidR="008C47E6" w:rsidRPr="00561DCD" w:rsidRDefault="0095631B"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4A6557" w14:textId="62F958DE" w:rsidR="008C47E6" w:rsidRPr="00561DCD" w:rsidRDefault="0095631B" w:rsidP="007777E1">
            <w:pPr>
              <w:spacing w:before="60" w:after="20" w:line="288" w:lineRule="auto"/>
              <w:ind w:firstLine="0"/>
              <w:jc w:val="right"/>
              <w:rPr>
                <w:rFonts w:cs="Tahoma"/>
                <w:sz w:val="18"/>
                <w:szCs w:val="18"/>
              </w:rPr>
            </w:pPr>
            <w:r>
              <w:rPr>
                <w:rFonts w:cs="Tahoma"/>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E1E9F3B" w14:textId="12D31C2F" w:rsidR="008C47E6" w:rsidRPr="00561DCD"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7CF9876" w14:textId="47ED0141" w:rsidR="008C47E6" w:rsidRPr="00561DCD" w:rsidRDefault="0095631B" w:rsidP="007777E1">
            <w:pPr>
              <w:spacing w:before="60" w:after="20" w:line="288" w:lineRule="auto"/>
              <w:ind w:firstLine="0"/>
              <w:jc w:val="right"/>
              <w:rPr>
                <w:rFonts w:cs="Tahoma"/>
                <w:sz w:val="18"/>
                <w:szCs w:val="18"/>
              </w:rPr>
            </w:pPr>
            <w:r>
              <w:rPr>
                <w:rFonts w:cs="Tahoma"/>
                <w:sz w:val="18"/>
                <w:szCs w:val="18"/>
              </w:rPr>
              <w:t>2005</w:t>
            </w:r>
          </w:p>
        </w:tc>
        <w:tc>
          <w:tcPr>
            <w:tcW w:w="850" w:type="dxa"/>
            <w:tcBorders>
              <w:top w:val="single" w:sz="4" w:space="0" w:color="auto"/>
              <w:left w:val="single" w:sz="4" w:space="0" w:color="auto"/>
              <w:bottom w:val="single" w:sz="4" w:space="0" w:color="auto"/>
              <w:right w:val="single" w:sz="4" w:space="0" w:color="auto"/>
            </w:tcBorders>
            <w:vAlign w:val="center"/>
          </w:tcPr>
          <w:p w14:paraId="7218D4C9" w14:textId="6A55EDB5" w:rsidR="008C47E6" w:rsidRPr="00561DCD" w:rsidRDefault="0095631B" w:rsidP="007777E1">
            <w:pPr>
              <w:spacing w:before="60" w:after="20" w:line="288" w:lineRule="auto"/>
              <w:ind w:firstLine="0"/>
              <w:jc w:val="right"/>
              <w:rPr>
                <w:rFonts w:cs="Tahoma"/>
                <w:sz w:val="18"/>
                <w:szCs w:val="18"/>
              </w:rPr>
            </w:pPr>
            <w:r>
              <w:rPr>
                <w:rFonts w:cs="Tahoma"/>
                <w:sz w:val="18"/>
                <w:szCs w:val="18"/>
              </w:rPr>
              <w:t>85</w:t>
            </w:r>
          </w:p>
        </w:tc>
        <w:tc>
          <w:tcPr>
            <w:tcW w:w="1276" w:type="dxa"/>
            <w:tcBorders>
              <w:top w:val="single" w:sz="4" w:space="0" w:color="auto"/>
              <w:left w:val="single" w:sz="4" w:space="0" w:color="auto"/>
              <w:bottom w:val="single" w:sz="4" w:space="0" w:color="auto"/>
              <w:right w:val="single" w:sz="4" w:space="0" w:color="auto"/>
            </w:tcBorders>
            <w:vAlign w:val="center"/>
          </w:tcPr>
          <w:p w14:paraId="47FABBA8" w14:textId="539D6FB1" w:rsidR="008C47E6" w:rsidRPr="00561DCD" w:rsidRDefault="0095631B" w:rsidP="007777E1">
            <w:pPr>
              <w:spacing w:before="60" w:after="20" w:line="288" w:lineRule="auto"/>
              <w:ind w:firstLine="0"/>
              <w:jc w:val="right"/>
              <w:rPr>
                <w:rFonts w:cs="Tahoma"/>
                <w:sz w:val="18"/>
                <w:szCs w:val="18"/>
              </w:rPr>
            </w:pPr>
            <w:r>
              <w:rPr>
                <w:rFonts w:cs="Tahoma"/>
                <w:sz w:val="18"/>
                <w:szCs w:val="18"/>
              </w:rPr>
              <w:t>EURO III</w:t>
            </w:r>
          </w:p>
        </w:tc>
        <w:tc>
          <w:tcPr>
            <w:tcW w:w="1000" w:type="dxa"/>
            <w:tcBorders>
              <w:top w:val="single" w:sz="4" w:space="0" w:color="auto"/>
              <w:left w:val="single" w:sz="4" w:space="0" w:color="auto"/>
              <w:bottom w:val="single" w:sz="4" w:space="0" w:color="auto"/>
              <w:right w:val="single" w:sz="4" w:space="0" w:color="auto"/>
            </w:tcBorders>
            <w:vAlign w:val="center"/>
          </w:tcPr>
          <w:p w14:paraId="3DA80ED8" w14:textId="59D2B610" w:rsidR="008C47E6" w:rsidRPr="00561DCD" w:rsidRDefault="0095631B" w:rsidP="007777E1">
            <w:pPr>
              <w:spacing w:before="60" w:after="20" w:line="288" w:lineRule="auto"/>
              <w:ind w:firstLine="0"/>
              <w:jc w:val="right"/>
              <w:rPr>
                <w:rFonts w:cs="Tahoma"/>
                <w:sz w:val="18"/>
                <w:szCs w:val="18"/>
              </w:rPr>
            </w:pPr>
            <w:r>
              <w:rPr>
                <w:rFonts w:cs="Tahoma"/>
                <w:sz w:val="18"/>
                <w:szCs w:val="18"/>
              </w:rPr>
              <w:t>MPK</w:t>
            </w:r>
          </w:p>
        </w:tc>
      </w:tr>
      <w:tr w:rsidR="008C47E6" w:rsidRPr="00561DCD" w14:paraId="02EE443D"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1A92A73E" w14:textId="77777777" w:rsidR="008C47E6" w:rsidRPr="00561DCD" w:rsidRDefault="008C47E6" w:rsidP="007777E1">
            <w:pPr>
              <w:spacing w:before="60" w:after="20" w:line="288" w:lineRule="auto"/>
              <w:ind w:firstLine="0"/>
              <w:jc w:val="center"/>
              <w:rPr>
                <w:rFonts w:cs="Tahoma"/>
                <w:sz w:val="18"/>
                <w:szCs w:val="18"/>
              </w:rPr>
            </w:pPr>
            <w:r w:rsidRPr="00561DCD">
              <w:rPr>
                <w:rFonts w:cs="Tahoma"/>
                <w:sz w:val="18"/>
                <w:szCs w:val="18"/>
              </w:rPr>
              <w:t>5</w:t>
            </w:r>
          </w:p>
        </w:tc>
        <w:tc>
          <w:tcPr>
            <w:tcW w:w="1984" w:type="dxa"/>
            <w:tcBorders>
              <w:top w:val="single" w:sz="4" w:space="0" w:color="auto"/>
              <w:left w:val="single" w:sz="4" w:space="0" w:color="auto"/>
              <w:bottom w:val="single" w:sz="4" w:space="0" w:color="auto"/>
              <w:right w:val="single" w:sz="4" w:space="0" w:color="auto"/>
            </w:tcBorders>
            <w:vAlign w:val="center"/>
          </w:tcPr>
          <w:p w14:paraId="0726A69B" w14:textId="0C5ED02F" w:rsidR="008C47E6" w:rsidRPr="00561DCD" w:rsidRDefault="0095631B" w:rsidP="007777E1">
            <w:pPr>
              <w:spacing w:before="60" w:after="20" w:line="288" w:lineRule="auto"/>
              <w:ind w:firstLine="0"/>
              <w:jc w:val="left"/>
              <w:rPr>
                <w:rFonts w:cs="Tahoma"/>
                <w:sz w:val="18"/>
                <w:szCs w:val="18"/>
              </w:rPr>
            </w:pPr>
            <w:r>
              <w:rPr>
                <w:rFonts w:cs="Tahoma"/>
                <w:sz w:val="18"/>
                <w:szCs w:val="18"/>
              </w:rPr>
              <w:t>Jelcz M125M/4</w:t>
            </w:r>
          </w:p>
        </w:tc>
        <w:tc>
          <w:tcPr>
            <w:tcW w:w="851" w:type="dxa"/>
            <w:tcBorders>
              <w:top w:val="single" w:sz="4" w:space="0" w:color="auto"/>
              <w:left w:val="single" w:sz="4" w:space="0" w:color="auto"/>
              <w:bottom w:val="single" w:sz="4" w:space="0" w:color="auto"/>
              <w:right w:val="single" w:sz="4" w:space="0" w:color="auto"/>
            </w:tcBorders>
            <w:vAlign w:val="center"/>
          </w:tcPr>
          <w:p w14:paraId="70D23ACF" w14:textId="2C6553CC" w:rsidR="008C47E6" w:rsidRPr="00561DCD" w:rsidRDefault="0095631B"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27015F" w14:textId="464C96D6" w:rsidR="008C47E6" w:rsidRPr="00561DCD" w:rsidRDefault="0095631B" w:rsidP="007777E1">
            <w:pPr>
              <w:spacing w:before="60" w:after="20" w:line="288" w:lineRule="auto"/>
              <w:ind w:firstLine="0"/>
              <w:jc w:val="right"/>
              <w:rPr>
                <w:rFonts w:cs="Tahoma"/>
                <w:sz w:val="18"/>
                <w:szCs w:val="18"/>
              </w:rPr>
            </w:pPr>
            <w:r>
              <w:rPr>
                <w:rFonts w:cs="Tahoma"/>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0F6C8231" w14:textId="03436341" w:rsidR="008C47E6" w:rsidRPr="00561DCD"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0CB3BC3" w14:textId="73F9FE22" w:rsidR="008C47E6" w:rsidRPr="00561DCD" w:rsidRDefault="0095631B" w:rsidP="007777E1">
            <w:pPr>
              <w:spacing w:before="60" w:after="20" w:line="288" w:lineRule="auto"/>
              <w:ind w:firstLine="0"/>
              <w:jc w:val="right"/>
              <w:rPr>
                <w:rFonts w:cs="Tahoma"/>
                <w:sz w:val="18"/>
                <w:szCs w:val="18"/>
              </w:rPr>
            </w:pPr>
            <w:r>
              <w:rPr>
                <w:rFonts w:cs="Tahoma"/>
                <w:sz w:val="18"/>
                <w:szCs w:val="18"/>
              </w:rPr>
              <w:t>2006</w:t>
            </w:r>
          </w:p>
        </w:tc>
        <w:tc>
          <w:tcPr>
            <w:tcW w:w="850" w:type="dxa"/>
            <w:tcBorders>
              <w:top w:val="single" w:sz="4" w:space="0" w:color="auto"/>
              <w:left w:val="single" w:sz="4" w:space="0" w:color="auto"/>
              <w:bottom w:val="single" w:sz="4" w:space="0" w:color="auto"/>
              <w:right w:val="single" w:sz="4" w:space="0" w:color="auto"/>
            </w:tcBorders>
            <w:vAlign w:val="center"/>
          </w:tcPr>
          <w:p w14:paraId="1FC076E4" w14:textId="5897526A" w:rsidR="008C47E6" w:rsidRPr="00561DCD" w:rsidRDefault="0095631B" w:rsidP="007777E1">
            <w:pPr>
              <w:spacing w:before="60" w:after="20" w:line="288" w:lineRule="auto"/>
              <w:ind w:firstLine="0"/>
              <w:jc w:val="right"/>
              <w:rPr>
                <w:rFonts w:cs="Tahoma"/>
                <w:sz w:val="18"/>
                <w:szCs w:val="18"/>
              </w:rPr>
            </w:pPr>
            <w:r>
              <w:rPr>
                <w:rFonts w:cs="Tahoma"/>
                <w:sz w:val="18"/>
                <w:szCs w:val="18"/>
              </w:rPr>
              <w:t>85</w:t>
            </w:r>
          </w:p>
        </w:tc>
        <w:tc>
          <w:tcPr>
            <w:tcW w:w="1276" w:type="dxa"/>
            <w:tcBorders>
              <w:top w:val="single" w:sz="4" w:space="0" w:color="auto"/>
              <w:left w:val="single" w:sz="4" w:space="0" w:color="auto"/>
              <w:bottom w:val="single" w:sz="4" w:space="0" w:color="auto"/>
              <w:right w:val="single" w:sz="4" w:space="0" w:color="auto"/>
            </w:tcBorders>
            <w:vAlign w:val="center"/>
          </w:tcPr>
          <w:p w14:paraId="01F5650E" w14:textId="4206AD6B" w:rsidR="008C47E6" w:rsidRPr="00561DCD" w:rsidRDefault="0095631B" w:rsidP="007777E1">
            <w:pPr>
              <w:spacing w:before="60" w:after="20" w:line="288" w:lineRule="auto"/>
              <w:ind w:firstLine="0"/>
              <w:jc w:val="right"/>
              <w:rPr>
                <w:rFonts w:cs="Tahoma"/>
                <w:sz w:val="18"/>
                <w:szCs w:val="18"/>
              </w:rPr>
            </w:pPr>
            <w:r>
              <w:rPr>
                <w:rFonts w:cs="Tahoma"/>
                <w:sz w:val="18"/>
                <w:szCs w:val="18"/>
              </w:rPr>
              <w:t>EURO III</w:t>
            </w:r>
          </w:p>
        </w:tc>
        <w:tc>
          <w:tcPr>
            <w:tcW w:w="1000" w:type="dxa"/>
            <w:tcBorders>
              <w:top w:val="single" w:sz="4" w:space="0" w:color="auto"/>
              <w:left w:val="single" w:sz="4" w:space="0" w:color="auto"/>
              <w:bottom w:val="single" w:sz="4" w:space="0" w:color="auto"/>
              <w:right w:val="single" w:sz="4" w:space="0" w:color="auto"/>
            </w:tcBorders>
            <w:vAlign w:val="center"/>
          </w:tcPr>
          <w:p w14:paraId="359DD482" w14:textId="5947154B" w:rsidR="008C47E6" w:rsidRPr="00561DCD" w:rsidRDefault="0095631B" w:rsidP="007777E1">
            <w:pPr>
              <w:spacing w:before="60" w:after="20" w:line="288" w:lineRule="auto"/>
              <w:ind w:firstLine="0"/>
              <w:jc w:val="right"/>
              <w:rPr>
                <w:rFonts w:cs="Tahoma"/>
                <w:sz w:val="18"/>
                <w:szCs w:val="18"/>
              </w:rPr>
            </w:pPr>
            <w:r>
              <w:rPr>
                <w:rFonts w:cs="Tahoma"/>
                <w:sz w:val="18"/>
                <w:szCs w:val="18"/>
              </w:rPr>
              <w:t>MPK</w:t>
            </w:r>
          </w:p>
        </w:tc>
      </w:tr>
      <w:tr w:rsidR="008C47E6" w:rsidRPr="00561DCD" w14:paraId="17A8497C"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09BC96CE" w14:textId="77777777" w:rsidR="008C47E6" w:rsidRPr="00561DCD" w:rsidRDefault="008C47E6" w:rsidP="007777E1">
            <w:pPr>
              <w:spacing w:before="60" w:after="20" w:line="288" w:lineRule="auto"/>
              <w:ind w:firstLine="0"/>
              <w:jc w:val="center"/>
              <w:rPr>
                <w:rFonts w:cs="Tahoma"/>
                <w:sz w:val="18"/>
                <w:szCs w:val="18"/>
              </w:rPr>
            </w:pPr>
            <w:r w:rsidRPr="00561DCD">
              <w:rPr>
                <w:rFonts w:cs="Tahoma"/>
                <w:sz w:val="18"/>
                <w:szCs w:val="18"/>
              </w:rPr>
              <w:t>6</w:t>
            </w:r>
          </w:p>
        </w:tc>
        <w:tc>
          <w:tcPr>
            <w:tcW w:w="1984" w:type="dxa"/>
            <w:tcBorders>
              <w:top w:val="single" w:sz="4" w:space="0" w:color="auto"/>
              <w:left w:val="single" w:sz="4" w:space="0" w:color="auto"/>
              <w:bottom w:val="single" w:sz="4" w:space="0" w:color="auto"/>
              <w:right w:val="single" w:sz="4" w:space="0" w:color="auto"/>
            </w:tcBorders>
            <w:vAlign w:val="center"/>
          </w:tcPr>
          <w:p w14:paraId="22F20A9F" w14:textId="500E30AA" w:rsidR="008C47E6" w:rsidRPr="00561DCD" w:rsidRDefault="0095631B" w:rsidP="007777E1">
            <w:pPr>
              <w:spacing w:before="60" w:after="20" w:line="288" w:lineRule="auto"/>
              <w:ind w:firstLine="0"/>
              <w:jc w:val="left"/>
              <w:rPr>
                <w:rFonts w:cs="Tahoma"/>
                <w:sz w:val="18"/>
                <w:szCs w:val="18"/>
              </w:rPr>
            </w:pPr>
            <w:r>
              <w:rPr>
                <w:rFonts w:cs="Tahoma"/>
                <w:sz w:val="18"/>
                <w:szCs w:val="18"/>
              </w:rPr>
              <w:t>Jelcz M120M/4</w:t>
            </w:r>
          </w:p>
        </w:tc>
        <w:tc>
          <w:tcPr>
            <w:tcW w:w="851" w:type="dxa"/>
            <w:tcBorders>
              <w:top w:val="single" w:sz="4" w:space="0" w:color="auto"/>
              <w:left w:val="single" w:sz="4" w:space="0" w:color="auto"/>
              <w:bottom w:val="single" w:sz="4" w:space="0" w:color="auto"/>
              <w:right w:val="single" w:sz="4" w:space="0" w:color="auto"/>
            </w:tcBorders>
            <w:vAlign w:val="center"/>
          </w:tcPr>
          <w:p w14:paraId="3A8E3F8F" w14:textId="4B6DC073" w:rsidR="008C47E6" w:rsidRPr="00561DCD" w:rsidRDefault="0095631B"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291851" w14:textId="4C7CDBAF" w:rsidR="008C47E6" w:rsidRPr="00561DCD" w:rsidRDefault="0095631B" w:rsidP="007777E1">
            <w:pPr>
              <w:spacing w:before="60" w:after="20" w:line="288" w:lineRule="auto"/>
              <w:ind w:firstLine="0"/>
              <w:jc w:val="right"/>
              <w:rPr>
                <w:rFonts w:cs="Tahoma"/>
                <w:sz w:val="18"/>
                <w:szCs w:val="18"/>
              </w:rPr>
            </w:pPr>
            <w:r>
              <w:rPr>
                <w:rFonts w:cs="Tahoma"/>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0996C8F9" w14:textId="6D04B598" w:rsidR="008C47E6" w:rsidRPr="00561DCD"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8A8C182" w14:textId="68B76D12" w:rsidR="008C47E6" w:rsidRPr="00561DCD" w:rsidRDefault="0095631B" w:rsidP="007777E1">
            <w:pPr>
              <w:spacing w:before="60" w:after="20" w:line="288" w:lineRule="auto"/>
              <w:ind w:firstLine="0"/>
              <w:jc w:val="right"/>
              <w:rPr>
                <w:rFonts w:cs="Tahoma"/>
                <w:sz w:val="18"/>
                <w:szCs w:val="18"/>
              </w:rPr>
            </w:pPr>
            <w:r>
              <w:rPr>
                <w:rFonts w:cs="Tahoma"/>
                <w:sz w:val="18"/>
                <w:szCs w:val="18"/>
              </w:rPr>
              <w:t>2006</w:t>
            </w:r>
          </w:p>
        </w:tc>
        <w:tc>
          <w:tcPr>
            <w:tcW w:w="850" w:type="dxa"/>
            <w:tcBorders>
              <w:top w:val="single" w:sz="4" w:space="0" w:color="auto"/>
              <w:left w:val="single" w:sz="4" w:space="0" w:color="auto"/>
              <w:bottom w:val="single" w:sz="4" w:space="0" w:color="auto"/>
              <w:right w:val="single" w:sz="4" w:space="0" w:color="auto"/>
            </w:tcBorders>
            <w:vAlign w:val="center"/>
          </w:tcPr>
          <w:p w14:paraId="7D149C3F" w14:textId="5FE03842" w:rsidR="008C47E6" w:rsidRPr="00561DCD" w:rsidRDefault="0095631B" w:rsidP="007777E1">
            <w:pPr>
              <w:spacing w:before="60" w:after="20" w:line="288" w:lineRule="auto"/>
              <w:ind w:firstLine="0"/>
              <w:jc w:val="right"/>
              <w:rPr>
                <w:rFonts w:cs="Tahoma"/>
                <w:sz w:val="18"/>
                <w:szCs w:val="18"/>
              </w:rPr>
            </w:pPr>
            <w:r>
              <w:rPr>
                <w:rFonts w:cs="Tahoma"/>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451F3EBF" w14:textId="6CD3B197" w:rsidR="008C47E6" w:rsidRPr="00561DCD" w:rsidRDefault="0095631B" w:rsidP="007777E1">
            <w:pPr>
              <w:spacing w:before="60" w:after="20" w:line="288" w:lineRule="auto"/>
              <w:ind w:firstLine="0"/>
              <w:jc w:val="right"/>
              <w:rPr>
                <w:rFonts w:cs="Tahoma"/>
                <w:sz w:val="18"/>
                <w:szCs w:val="18"/>
              </w:rPr>
            </w:pPr>
            <w:r>
              <w:rPr>
                <w:rFonts w:cs="Tahoma"/>
                <w:sz w:val="18"/>
                <w:szCs w:val="18"/>
              </w:rPr>
              <w:t>EURO III</w:t>
            </w:r>
          </w:p>
        </w:tc>
        <w:tc>
          <w:tcPr>
            <w:tcW w:w="1000" w:type="dxa"/>
            <w:tcBorders>
              <w:top w:val="single" w:sz="4" w:space="0" w:color="auto"/>
              <w:left w:val="single" w:sz="4" w:space="0" w:color="auto"/>
              <w:bottom w:val="single" w:sz="4" w:space="0" w:color="auto"/>
              <w:right w:val="single" w:sz="4" w:space="0" w:color="auto"/>
            </w:tcBorders>
            <w:vAlign w:val="center"/>
          </w:tcPr>
          <w:p w14:paraId="1ABB1F31" w14:textId="1708B850" w:rsidR="008C47E6" w:rsidRPr="00561DCD" w:rsidRDefault="0095631B" w:rsidP="007777E1">
            <w:pPr>
              <w:spacing w:before="60" w:after="20" w:line="288" w:lineRule="auto"/>
              <w:ind w:firstLine="0"/>
              <w:jc w:val="right"/>
              <w:rPr>
                <w:rFonts w:cs="Tahoma"/>
                <w:sz w:val="18"/>
                <w:szCs w:val="18"/>
              </w:rPr>
            </w:pPr>
            <w:r>
              <w:rPr>
                <w:rFonts w:cs="Tahoma"/>
                <w:sz w:val="18"/>
                <w:szCs w:val="18"/>
              </w:rPr>
              <w:t>MPK</w:t>
            </w:r>
          </w:p>
        </w:tc>
      </w:tr>
      <w:tr w:rsidR="0095631B" w:rsidRPr="00561DCD" w14:paraId="47FFE03C"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0C70E619" w14:textId="3E4A45A6" w:rsidR="0095631B" w:rsidRPr="00561DCD" w:rsidRDefault="0095631B" w:rsidP="007777E1">
            <w:pPr>
              <w:spacing w:before="60" w:after="20" w:line="288" w:lineRule="auto"/>
              <w:ind w:firstLine="0"/>
              <w:jc w:val="center"/>
              <w:rPr>
                <w:rFonts w:cs="Tahoma"/>
                <w:sz w:val="18"/>
                <w:szCs w:val="18"/>
              </w:rPr>
            </w:pPr>
            <w:r>
              <w:rPr>
                <w:rFonts w:cs="Tahoma"/>
                <w:sz w:val="18"/>
                <w:szCs w:val="18"/>
              </w:rPr>
              <w:t>7</w:t>
            </w:r>
          </w:p>
        </w:tc>
        <w:tc>
          <w:tcPr>
            <w:tcW w:w="1984" w:type="dxa"/>
            <w:tcBorders>
              <w:top w:val="single" w:sz="4" w:space="0" w:color="auto"/>
              <w:left w:val="single" w:sz="4" w:space="0" w:color="auto"/>
              <w:bottom w:val="single" w:sz="4" w:space="0" w:color="auto"/>
              <w:right w:val="single" w:sz="4" w:space="0" w:color="auto"/>
            </w:tcBorders>
            <w:vAlign w:val="center"/>
          </w:tcPr>
          <w:p w14:paraId="6237F6F7" w14:textId="3CABA1C6" w:rsidR="0095631B" w:rsidRDefault="0095631B" w:rsidP="007777E1">
            <w:pPr>
              <w:spacing w:before="60" w:after="20" w:line="288" w:lineRule="auto"/>
              <w:ind w:firstLine="0"/>
              <w:jc w:val="left"/>
              <w:rPr>
                <w:rFonts w:cs="Tahoma"/>
                <w:sz w:val="18"/>
                <w:szCs w:val="18"/>
              </w:rPr>
            </w:pPr>
            <w:r>
              <w:rPr>
                <w:rFonts w:cs="Tahoma"/>
                <w:sz w:val="18"/>
                <w:szCs w:val="18"/>
              </w:rPr>
              <w:t>Solaris Urbino 12</w:t>
            </w:r>
          </w:p>
        </w:tc>
        <w:tc>
          <w:tcPr>
            <w:tcW w:w="851" w:type="dxa"/>
            <w:tcBorders>
              <w:top w:val="single" w:sz="4" w:space="0" w:color="auto"/>
              <w:left w:val="single" w:sz="4" w:space="0" w:color="auto"/>
              <w:bottom w:val="single" w:sz="4" w:space="0" w:color="auto"/>
              <w:right w:val="single" w:sz="4" w:space="0" w:color="auto"/>
            </w:tcBorders>
            <w:vAlign w:val="center"/>
          </w:tcPr>
          <w:p w14:paraId="180A502D" w14:textId="1F6A0A90" w:rsidR="0095631B" w:rsidRDefault="0095631B"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B29E25" w14:textId="422403CA" w:rsidR="0095631B" w:rsidRDefault="0095631B" w:rsidP="007777E1">
            <w:pPr>
              <w:spacing w:before="60" w:after="20" w:line="288" w:lineRule="auto"/>
              <w:ind w:firstLine="0"/>
              <w:jc w:val="right"/>
              <w:rPr>
                <w:rFonts w:cs="Tahoma"/>
                <w:sz w:val="18"/>
                <w:szCs w:val="18"/>
              </w:rPr>
            </w:pPr>
            <w:r>
              <w:rPr>
                <w:rFonts w:cs="Tahoma"/>
                <w:sz w:val="18"/>
                <w:szCs w:val="18"/>
              </w:rPr>
              <w:t>7</w:t>
            </w:r>
          </w:p>
        </w:tc>
        <w:tc>
          <w:tcPr>
            <w:tcW w:w="851" w:type="dxa"/>
            <w:tcBorders>
              <w:top w:val="single" w:sz="4" w:space="0" w:color="auto"/>
              <w:left w:val="single" w:sz="4" w:space="0" w:color="auto"/>
              <w:bottom w:val="single" w:sz="4" w:space="0" w:color="auto"/>
              <w:right w:val="single" w:sz="4" w:space="0" w:color="auto"/>
            </w:tcBorders>
            <w:vAlign w:val="center"/>
          </w:tcPr>
          <w:p w14:paraId="0569DC71" w14:textId="7AB22F2D" w:rsidR="0095631B"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493A9D36" w14:textId="20C8C68A" w:rsidR="0095631B" w:rsidRDefault="0095631B" w:rsidP="007777E1">
            <w:pPr>
              <w:spacing w:before="60" w:after="20" w:line="288" w:lineRule="auto"/>
              <w:ind w:firstLine="0"/>
              <w:jc w:val="right"/>
              <w:rPr>
                <w:rFonts w:cs="Tahoma"/>
                <w:sz w:val="18"/>
                <w:szCs w:val="18"/>
              </w:rPr>
            </w:pPr>
            <w:r>
              <w:rPr>
                <w:rFonts w:cs="Tahoma"/>
                <w:sz w:val="18"/>
                <w:szCs w:val="18"/>
              </w:rPr>
              <w:t>2006</w:t>
            </w:r>
          </w:p>
        </w:tc>
        <w:tc>
          <w:tcPr>
            <w:tcW w:w="850" w:type="dxa"/>
            <w:tcBorders>
              <w:top w:val="single" w:sz="4" w:space="0" w:color="auto"/>
              <w:left w:val="single" w:sz="4" w:space="0" w:color="auto"/>
              <w:bottom w:val="single" w:sz="4" w:space="0" w:color="auto"/>
              <w:right w:val="single" w:sz="4" w:space="0" w:color="auto"/>
            </w:tcBorders>
            <w:vAlign w:val="center"/>
          </w:tcPr>
          <w:p w14:paraId="68AE095D" w14:textId="517552E8" w:rsidR="0095631B" w:rsidRDefault="0095631B" w:rsidP="007777E1">
            <w:pPr>
              <w:spacing w:before="60" w:after="20" w:line="288" w:lineRule="auto"/>
              <w:ind w:firstLine="0"/>
              <w:jc w:val="right"/>
              <w:rPr>
                <w:rFonts w:cs="Tahoma"/>
                <w:sz w:val="18"/>
                <w:szCs w:val="18"/>
              </w:rPr>
            </w:pPr>
            <w:r>
              <w:rPr>
                <w:rFonts w:cs="Tahoma"/>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77AA3270" w14:textId="125B7292" w:rsidR="0095631B" w:rsidRDefault="0095631B" w:rsidP="007777E1">
            <w:pPr>
              <w:spacing w:before="60" w:after="20" w:line="288" w:lineRule="auto"/>
              <w:ind w:firstLine="0"/>
              <w:jc w:val="right"/>
              <w:rPr>
                <w:rFonts w:cs="Tahoma"/>
                <w:sz w:val="18"/>
                <w:szCs w:val="18"/>
              </w:rPr>
            </w:pPr>
            <w:r>
              <w:rPr>
                <w:rFonts w:cs="Tahoma"/>
                <w:sz w:val="18"/>
                <w:szCs w:val="18"/>
              </w:rPr>
              <w:t>EURO III</w:t>
            </w:r>
          </w:p>
        </w:tc>
        <w:tc>
          <w:tcPr>
            <w:tcW w:w="1000" w:type="dxa"/>
            <w:tcBorders>
              <w:top w:val="single" w:sz="4" w:space="0" w:color="auto"/>
              <w:left w:val="single" w:sz="4" w:space="0" w:color="auto"/>
              <w:bottom w:val="single" w:sz="4" w:space="0" w:color="auto"/>
              <w:right w:val="single" w:sz="4" w:space="0" w:color="auto"/>
            </w:tcBorders>
            <w:vAlign w:val="center"/>
          </w:tcPr>
          <w:p w14:paraId="575DE3FA" w14:textId="44939547" w:rsidR="0095631B" w:rsidRPr="00561DCD" w:rsidRDefault="0095631B" w:rsidP="007777E1">
            <w:pPr>
              <w:spacing w:before="60" w:after="20" w:line="288" w:lineRule="auto"/>
              <w:ind w:firstLine="0"/>
              <w:jc w:val="right"/>
              <w:rPr>
                <w:rFonts w:cs="Tahoma"/>
                <w:sz w:val="18"/>
                <w:szCs w:val="18"/>
              </w:rPr>
            </w:pPr>
            <w:r>
              <w:rPr>
                <w:rFonts w:cs="Tahoma"/>
                <w:sz w:val="18"/>
                <w:szCs w:val="18"/>
              </w:rPr>
              <w:t>MPK</w:t>
            </w:r>
          </w:p>
        </w:tc>
      </w:tr>
      <w:tr w:rsidR="0095631B" w:rsidRPr="00561DCD" w14:paraId="0381864D"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12DA1169" w14:textId="1B09F976" w:rsidR="0095631B" w:rsidRDefault="0095631B" w:rsidP="007777E1">
            <w:pPr>
              <w:spacing w:before="60" w:after="20" w:line="288" w:lineRule="auto"/>
              <w:ind w:firstLine="0"/>
              <w:jc w:val="center"/>
              <w:rPr>
                <w:rFonts w:cs="Tahoma"/>
                <w:sz w:val="18"/>
                <w:szCs w:val="18"/>
              </w:rPr>
            </w:pPr>
            <w:r>
              <w:rPr>
                <w:rFonts w:cs="Tahoma"/>
                <w:sz w:val="18"/>
                <w:szCs w:val="18"/>
              </w:rPr>
              <w:t>8</w:t>
            </w:r>
          </w:p>
        </w:tc>
        <w:tc>
          <w:tcPr>
            <w:tcW w:w="1984" w:type="dxa"/>
            <w:tcBorders>
              <w:top w:val="single" w:sz="4" w:space="0" w:color="auto"/>
              <w:left w:val="single" w:sz="4" w:space="0" w:color="auto"/>
              <w:bottom w:val="single" w:sz="4" w:space="0" w:color="auto"/>
              <w:right w:val="single" w:sz="4" w:space="0" w:color="auto"/>
            </w:tcBorders>
            <w:vAlign w:val="center"/>
          </w:tcPr>
          <w:p w14:paraId="52DA9307" w14:textId="56A6C63D" w:rsidR="0095631B" w:rsidRDefault="0095631B" w:rsidP="007777E1">
            <w:pPr>
              <w:spacing w:before="60" w:after="20" w:line="288" w:lineRule="auto"/>
              <w:ind w:firstLine="0"/>
              <w:jc w:val="left"/>
              <w:rPr>
                <w:rFonts w:cs="Tahoma"/>
                <w:sz w:val="18"/>
                <w:szCs w:val="18"/>
              </w:rPr>
            </w:pPr>
            <w:r>
              <w:rPr>
                <w:rFonts w:cs="Tahoma"/>
                <w:sz w:val="18"/>
                <w:szCs w:val="18"/>
              </w:rPr>
              <w:t>Jelcz M121M/4</w:t>
            </w:r>
          </w:p>
        </w:tc>
        <w:tc>
          <w:tcPr>
            <w:tcW w:w="851" w:type="dxa"/>
            <w:tcBorders>
              <w:top w:val="single" w:sz="4" w:space="0" w:color="auto"/>
              <w:left w:val="single" w:sz="4" w:space="0" w:color="auto"/>
              <w:bottom w:val="single" w:sz="4" w:space="0" w:color="auto"/>
              <w:right w:val="single" w:sz="4" w:space="0" w:color="auto"/>
            </w:tcBorders>
            <w:vAlign w:val="center"/>
          </w:tcPr>
          <w:p w14:paraId="264761FD" w14:textId="10518769" w:rsidR="0095631B" w:rsidRDefault="0095631B"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86F6B6" w14:textId="22C481BE" w:rsidR="0095631B" w:rsidRDefault="0095631B" w:rsidP="007777E1">
            <w:pPr>
              <w:spacing w:before="60" w:after="20" w:line="288" w:lineRule="auto"/>
              <w:ind w:firstLine="0"/>
              <w:jc w:val="right"/>
              <w:rPr>
                <w:rFonts w:cs="Tahoma"/>
                <w:sz w:val="18"/>
                <w:szCs w:val="18"/>
              </w:rPr>
            </w:pPr>
            <w:r>
              <w:rPr>
                <w:rFonts w:cs="Tahoma"/>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23B368C1" w14:textId="196D4735" w:rsidR="0095631B"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4C67647" w14:textId="570FEFBF" w:rsidR="0095631B" w:rsidRDefault="0095631B" w:rsidP="007777E1">
            <w:pPr>
              <w:spacing w:before="60" w:after="20" w:line="288" w:lineRule="auto"/>
              <w:ind w:firstLine="0"/>
              <w:jc w:val="right"/>
              <w:rPr>
                <w:rFonts w:cs="Tahoma"/>
                <w:sz w:val="18"/>
                <w:szCs w:val="18"/>
              </w:rPr>
            </w:pPr>
            <w:r>
              <w:rPr>
                <w:rFonts w:cs="Tahoma"/>
                <w:sz w:val="18"/>
                <w:szCs w:val="18"/>
              </w:rPr>
              <w:t>2007</w:t>
            </w:r>
          </w:p>
        </w:tc>
        <w:tc>
          <w:tcPr>
            <w:tcW w:w="850" w:type="dxa"/>
            <w:tcBorders>
              <w:top w:val="single" w:sz="4" w:space="0" w:color="auto"/>
              <w:left w:val="single" w:sz="4" w:space="0" w:color="auto"/>
              <w:bottom w:val="single" w:sz="4" w:space="0" w:color="auto"/>
              <w:right w:val="single" w:sz="4" w:space="0" w:color="auto"/>
            </w:tcBorders>
            <w:vAlign w:val="center"/>
          </w:tcPr>
          <w:p w14:paraId="3CB4442E" w14:textId="67B20B25" w:rsidR="0095631B" w:rsidRDefault="0095631B" w:rsidP="007777E1">
            <w:pPr>
              <w:spacing w:before="60" w:after="20" w:line="288" w:lineRule="auto"/>
              <w:ind w:firstLine="0"/>
              <w:jc w:val="right"/>
              <w:rPr>
                <w:rFonts w:cs="Tahoma"/>
                <w:sz w:val="18"/>
                <w:szCs w:val="18"/>
              </w:rPr>
            </w:pPr>
            <w:r>
              <w:rPr>
                <w:rFonts w:cs="Tahoma"/>
                <w:sz w:val="18"/>
                <w:szCs w:val="18"/>
              </w:rPr>
              <w:t>87</w:t>
            </w:r>
          </w:p>
        </w:tc>
        <w:tc>
          <w:tcPr>
            <w:tcW w:w="1276" w:type="dxa"/>
            <w:tcBorders>
              <w:top w:val="single" w:sz="4" w:space="0" w:color="auto"/>
              <w:left w:val="single" w:sz="4" w:space="0" w:color="auto"/>
              <w:bottom w:val="single" w:sz="4" w:space="0" w:color="auto"/>
              <w:right w:val="single" w:sz="4" w:space="0" w:color="auto"/>
            </w:tcBorders>
            <w:vAlign w:val="center"/>
          </w:tcPr>
          <w:p w14:paraId="6AA87000" w14:textId="11224F90" w:rsidR="0095631B" w:rsidRDefault="0095631B" w:rsidP="007777E1">
            <w:pPr>
              <w:spacing w:before="60" w:after="20" w:line="288" w:lineRule="auto"/>
              <w:ind w:firstLine="0"/>
              <w:jc w:val="right"/>
              <w:rPr>
                <w:rFonts w:cs="Tahoma"/>
                <w:sz w:val="18"/>
                <w:szCs w:val="18"/>
              </w:rPr>
            </w:pPr>
            <w:r>
              <w:rPr>
                <w:rFonts w:cs="Tahoma"/>
                <w:sz w:val="18"/>
                <w:szCs w:val="18"/>
              </w:rPr>
              <w:t>EURO III</w:t>
            </w:r>
          </w:p>
        </w:tc>
        <w:tc>
          <w:tcPr>
            <w:tcW w:w="1000" w:type="dxa"/>
            <w:tcBorders>
              <w:top w:val="single" w:sz="4" w:space="0" w:color="auto"/>
              <w:left w:val="single" w:sz="4" w:space="0" w:color="auto"/>
              <w:bottom w:val="single" w:sz="4" w:space="0" w:color="auto"/>
              <w:right w:val="single" w:sz="4" w:space="0" w:color="auto"/>
            </w:tcBorders>
            <w:vAlign w:val="center"/>
          </w:tcPr>
          <w:p w14:paraId="5ADDA14A" w14:textId="6C531250" w:rsidR="0095631B" w:rsidRDefault="0095631B" w:rsidP="007777E1">
            <w:pPr>
              <w:spacing w:before="60" w:after="20" w:line="288" w:lineRule="auto"/>
              <w:ind w:firstLine="0"/>
              <w:jc w:val="right"/>
              <w:rPr>
                <w:rFonts w:cs="Tahoma"/>
                <w:sz w:val="18"/>
                <w:szCs w:val="18"/>
              </w:rPr>
            </w:pPr>
            <w:r>
              <w:rPr>
                <w:rFonts w:cs="Tahoma"/>
                <w:sz w:val="18"/>
                <w:szCs w:val="18"/>
              </w:rPr>
              <w:t>MPK</w:t>
            </w:r>
          </w:p>
        </w:tc>
      </w:tr>
      <w:tr w:rsidR="0095631B" w:rsidRPr="00561DCD" w14:paraId="443E9970"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3034D4D5" w14:textId="309137D4" w:rsidR="0095631B" w:rsidRDefault="0095631B" w:rsidP="007777E1">
            <w:pPr>
              <w:spacing w:before="60" w:after="20" w:line="288" w:lineRule="auto"/>
              <w:ind w:firstLine="0"/>
              <w:jc w:val="center"/>
              <w:rPr>
                <w:rFonts w:cs="Tahoma"/>
                <w:sz w:val="18"/>
                <w:szCs w:val="18"/>
              </w:rPr>
            </w:pPr>
            <w:r>
              <w:rPr>
                <w:rFonts w:cs="Tahoma"/>
                <w:sz w:val="18"/>
                <w:szCs w:val="18"/>
              </w:rPr>
              <w:t>9</w:t>
            </w:r>
          </w:p>
        </w:tc>
        <w:tc>
          <w:tcPr>
            <w:tcW w:w="1984" w:type="dxa"/>
            <w:tcBorders>
              <w:top w:val="single" w:sz="4" w:space="0" w:color="auto"/>
              <w:left w:val="single" w:sz="4" w:space="0" w:color="auto"/>
              <w:bottom w:val="single" w:sz="4" w:space="0" w:color="auto"/>
              <w:right w:val="single" w:sz="4" w:space="0" w:color="auto"/>
            </w:tcBorders>
            <w:vAlign w:val="center"/>
          </w:tcPr>
          <w:p w14:paraId="75D5C82A" w14:textId="2B1D5264" w:rsidR="0095631B" w:rsidRDefault="0095631B" w:rsidP="007777E1">
            <w:pPr>
              <w:spacing w:before="60" w:after="20" w:line="288" w:lineRule="auto"/>
              <w:ind w:firstLine="0"/>
              <w:jc w:val="left"/>
              <w:rPr>
                <w:rFonts w:cs="Tahoma"/>
                <w:sz w:val="18"/>
                <w:szCs w:val="18"/>
              </w:rPr>
            </w:pPr>
            <w:r>
              <w:rPr>
                <w:rFonts w:cs="Tahoma"/>
                <w:sz w:val="18"/>
                <w:szCs w:val="18"/>
              </w:rPr>
              <w:t>Autosan H7-20</w:t>
            </w:r>
          </w:p>
        </w:tc>
        <w:tc>
          <w:tcPr>
            <w:tcW w:w="851" w:type="dxa"/>
            <w:tcBorders>
              <w:top w:val="single" w:sz="4" w:space="0" w:color="auto"/>
              <w:left w:val="single" w:sz="4" w:space="0" w:color="auto"/>
              <w:bottom w:val="single" w:sz="4" w:space="0" w:color="auto"/>
              <w:right w:val="single" w:sz="4" w:space="0" w:color="auto"/>
            </w:tcBorders>
            <w:vAlign w:val="center"/>
          </w:tcPr>
          <w:p w14:paraId="256CFCD4" w14:textId="1EEE8C9D" w:rsidR="0095631B" w:rsidRDefault="0095631B" w:rsidP="007777E1">
            <w:pPr>
              <w:spacing w:before="60" w:after="20" w:line="288" w:lineRule="auto"/>
              <w:ind w:firstLine="0"/>
              <w:jc w:val="center"/>
              <w:rPr>
                <w:rFonts w:cs="Tahoma"/>
                <w:sz w:val="18"/>
                <w:szCs w:val="18"/>
              </w:rPr>
            </w:pPr>
            <w:r>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2C175F" w14:textId="35DD9A3C" w:rsidR="0095631B" w:rsidRDefault="0095631B" w:rsidP="007777E1">
            <w:pPr>
              <w:spacing w:before="60" w:after="20" w:line="288" w:lineRule="auto"/>
              <w:ind w:firstLine="0"/>
              <w:jc w:val="right"/>
              <w:rPr>
                <w:rFonts w:cs="Tahoma"/>
                <w:sz w:val="18"/>
                <w:szCs w:val="18"/>
              </w:rPr>
            </w:pPr>
            <w:r>
              <w:rPr>
                <w:rFonts w:cs="Tahoma"/>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38986DA" w14:textId="447ACB7F" w:rsidR="0095631B" w:rsidRDefault="0095631B" w:rsidP="007777E1">
            <w:pPr>
              <w:spacing w:before="60" w:after="20" w:line="288" w:lineRule="auto"/>
              <w:ind w:firstLine="0"/>
              <w:jc w:val="right"/>
              <w:rPr>
                <w:rFonts w:cs="Tahoma"/>
                <w:sz w:val="18"/>
                <w:szCs w:val="18"/>
              </w:rPr>
            </w:pPr>
            <w:r>
              <w:rPr>
                <w:rFonts w:cs="Tahoma"/>
                <w:sz w:val="18"/>
                <w:szCs w:val="18"/>
              </w:rPr>
              <w:t>7,8</w:t>
            </w:r>
          </w:p>
        </w:tc>
        <w:tc>
          <w:tcPr>
            <w:tcW w:w="1134" w:type="dxa"/>
            <w:tcBorders>
              <w:top w:val="single" w:sz="4" w:space="0" w:color="auto"/>
              <w:left w:val="single" w:sz="4" w:space="0" w:color="auto"/>
              <w:bottom w:val="single" w:sz="4" w:space="0" w:color="auto"/>
              <w:right w:val="single" w:sz="4" w:space="0" w:color="auto"/>
            </w:tcBorders>
            <w:vAlign w:val="center"/>
          </w:tcPr>
          <w:p w14:paraId="7E07563F" w14:textId="78754900" w:rsidR="0095631B" w:rsidRDefault="0095631B" w:rsidP="007777E1">
            <w:pPr>
              <w:spacing w:before="60" w:after="20" w:line="288" w:lineRule="auto"/>
              <w:ind w:firstLine="0"/>
              <w:jc w:val="right"/>
              <w:rPr>
                <w:rFonts w:cs="Tahoma"/>
                <w:sz w:val="18"/>
                <w:szCs w:val="18"/>
              </w:rPr>
            </w:pPr>
            <w:r>
              <w:rPr>
                <w:rFonts w:cs="Tahoma"/>
                <w:sz w:val="18"/>
                <w:szCs w:val="18"/>
              </w:rPr>
              <w:t>2008</w:t>
            </w:r>
          </w:p>
        </w:tc>
        <w:tc>
          <w:tcPr>
            <w:tcW w:w="850" w:type="dxa"/>
            <w:tcBorders>
              <w:top w:val="single" w:sz="4" w:space="0" w:color="auto"/>
              <w:left w:val="single" w:sz="4" w:space="0" w:color="auto"/>
              <w:bottom w:val="single" w:sz="4" w:space="0" w:color="auto"/>
              <w:right w:val="single" w:sz="4" w:space="0" w:color="auto"/>
            </w:tcBorders>
            <w:vAlign w:val="center"/>
          </w:tcPr>
          <w:p w14:paraId="7A84B53B" w14:textId="1172B422" w:rsidR="0095631B" w:rsidRDefault="0095631B" w:rsidP="007777E1">
            <w:pPr>
              <w:spacing w:before="60" w:after="20" w:line="288" w:lineRule="auto"/>
              <w:ind w:firstLine="0"/>
              <w:jc w:val="right"/>
              <w:rPr>
                <w:rFonts w:cs="Tahoma"/>
                <w:sz w:val="18"/>
                <w:szCs w:val="18"/>
              </w:rPr>
            </w:pPr>
            <w:r>
              <w:rPr>
                <w:rFonts w:cs="Tahoma"/>
                <w:sz w:val="18"/>
                <w:szCs w:val="18"/>
              </w:rPr>
              <w:t>44</w:t>
            </w:r>
          </w:p>
        </w:tc>
        <w:tc>
          <w:tcPr>
            <w:tcW w:w="1276" w:type="dxa"/>
            <w:tcBorders>
              <w:top w:val="single" w:sz="4" w:space="0" w:color="auto"/>
              <w:left w:val="single" w:sz="4" w:space="0" w:color="auto"/>
              <w:bottom w:val="single" w:sz="4" w:space="0" w:color="auto"/>
              <w:right w:val="single" w:sz="4" w:space="0" w:color="auto"/>
            </w:tcBorders>
            <w:vAlign w:val="center"/>
          </w:tcPr>
          <w:p w14:paraId="50298C7F" w14:textId="089B2F86" w:rsidR="0095631B" w:rsidRDefault="0095631B" w:rsidP="007777E1">
            <w:pPr>
              <w:spacing w:before="60" w:after="20" w:line="288" w:lineRule="auto"/>
              <w:ind w:firstLine="0"/>
              <w:jc w:val="right"/>
              <w:rPr>
                <w:rFonts w:cs="Tahoma"/>
                <w:sz w:val="18"/>
                <w:szCs w:val="18"/>
              </w:rPr>
            </w:pPr>
            <w:r>
              <w:rPr>
                <w:rFonts w:cs="Tahoma"/>
                <w:sz w:val="18"/>
                <w:szCs w:val="18"/>
              </w:rPr>
              <w:t>EURO III</w:t>
            </w:r>
          </w:p>
        </w:tc>
        <w:tc>
          <w:tcPr>
            <w:tcW w:w="1000" w:type="dxa"/>
            <w:tcBorders>
              <w:top w:val="single" w:sz="4" w:space="0" w:color="auto"/>
              <w:left w:val="single" w:sz="4" w:space="0" w:color="auto"/>
              <w:bottom w:val="single" w:sz="4" w:space="0" w:color="auto"/>
              <w:right w:val="single" w:sz="4" w:space="0" w:color="auto"/>
            </w:tcBorders>
            <w:vAlign w:val="center"/>
          </w:tcPr>
          <w:p w14:paraId="64FFCBE9" w14:textId="467E7E3C" w:rsidR="0095631B" w:rsidRDefault="0095631B" w:rsidP="007777E1">
            <w:pPr>
              <w:spacing w:before="60" w:after="20" w:line="288" w:lineRule="auto"/>
              <w:ind w:firstLine="0"/>
              <w:jc w:val="right"/>
              <w:rPr>
                <w:rFonts w:cs="Tahoma"/>
                <w:sz w:val="18"/>
                <w:szCs w:val="18"/>
              </w:rPr>
            </w:pPr>
            <w:r>
              <w:rPr>
                <w:rFonts w:cs="Tahoma"/>
                <w:sz w:val="18"/>
                <w:szCs w:val="18"/>
              </w:rPr>
              <w:t>MPK</w:t>
            </w:r>
          </w:p>
        </w:tc>
      </w:tr>
      <w:tr w:rsidR="0095631B" w:rsidRPr="00561DCD" w14:paraId="7C506255"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0582E988" w14:textId="32D95D00" w:rsidR="0095631B" w:rsidRDefault="0095631B" w:rsidP="007777E1">
            <w:pPr>
              <w:spacing w:before="60" w:after="20" w:line="288" w:lineRule="auto"/>
              <w:ind w:firstLine="0"/>
              <w:jc w:val="center"/>
              <w:rPr>
                <w:rFonts w:cs="Tahoma"/>
                <w:sz w:val="18"/>
                <w:szCs w:val="18"/>
              </w:rPr>
            </w:pPr>
            <w:r>
              <w:rPr>
                <w:rFonts w:cs="Tahoma"/>
                <w:sz w:val="18"/>
                <w:szCs w:val="18"/>
              </w:rPr>
              <w:t>10</w:t>
            </w:r>
          </w:p>
        </w:tc>
        <w:tc>
          <w:tcPr>
            <w:tcW w:w="1984" w:type="dxa"/>
            <w:tcBorders>
              <w:top w:val="single" w:sz="4" w:space="0" w:color="auto"/>
              <w:left w:val="single" w:sz="4" w:space="0" w:color="auto"/>
              <w:bottom w:val="single" w:sz="4" w:space="0" w:color="auto"/>
              <w:right w:val="single" w:sz="4" w:space="0" w:color="auto"/>
            </w:tcBorders>
            <w:vAlign w:val="center"/>
          </w:tcPr>
          <w:p w14:paraId="0A45AFEC" w14:textId="07894751" w:rsidR="0095631B" w:rsidRDefault="0095631B" w:rsidP="007777E1">
            <w:pPr>
              <w:spacing w:before="60" w:after="20" w:line="288" w:lineRule="auto"/>
              <w:ind w:firstLine="0"/>
              <w:jc w:val="left"/>
              <w:rPr>
                <w:rFonts w:cs="Tahoma"/>
                <w:sz w:val="18"/>
                <w:szCs w:val="18"/>
              </w:rPr>
            </w:pPr>
            <w:r>
              <w:rPr>
                <w:rFonts w:cs="Tahoma"/>
                <w:sz w:val="18"/>
                <w:szCs w:val="18"/>
              </w:rPr>
              <w:t>Mercedes</w:t>
            </w:r>
            <w:r w:rsidR="00A27FE8">
              <w:rPr>
                <w:rFonts w:cs="Tahoma"/>
                <w:sz w:val="18"/>
                <w:szCs w:val="18"/>
              </w:rPr>
              <w:t>-Benz</w:t>
            </w:r>
            <w:r>
              <w:rPr>
                <w:rFonts w:cs="Tahoma"/>
                <w:sz w:val="18"/>
                <w:szCs w:val="18"/>
              </w:rPr>
              <w:t xml:space="preserve"> Citaro 628</w:t>
            </w:r>
          </w:p>
        </w:tc>
        <w:tc>
          <w:tcPr>
            <w:tcW w:w="851" w:type="dxa"/>
            <w:tcBorders>
              <w:top w:val="single" w:sz="4" w:space="0" w:color="auto"/>
              <w:left w:val="single" w:sz="4" w:space="0" w:color="auto"/>
              <w:bottom w:val="single" w:sz="4" w:space="0" w:color="auto"/>
              <w:right w:val="single" w:sz="4" w:space="0" w:color="auto"/>
            </w:tcBorders>
            <w:vAlign w:val="center"/>
          </w:tcPr>
          <w:p w14:paraId="2E7A95FA" w14:textId="66B40ADD" w:rsidR="0095631B" w:rsidRDefault="0095631B" w:rsidP="007777E1">
            <w:pPr>
              <w:spacing w:before="60" w:after="20" w:line="288" w:lineRule="auto"/>
              <w:ind w:firstLine="0"/>
              <w:jc w:val="center"/>
              <w:rPr>
                <w:rFonts w:cs="Tahoma"/>
                <w:sz w:val="18"/>
                <w:szCs w:val="18"/>
              </w:rPr>
            </w:pPr>
            <w:r>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D855DD" w14:textId="2411A24B" w:rsidR="0095631B" w:rsidRDefault="0095631B" w:rsidP="007777E1">
            <w:pPr>
              <w:spacing w:before="60" w:after="20" w:line="288" w:lineRule="auto"/>
              <w:ind w:firstLine="0"/>
              <w:jc w:val="right"/>
              <w:rPr>
                <w:rFonts w:cs="Tahoma"/>
                <w:sz w:val="18"/>
                <w:szCs w:val="18"/>
              </w:rPr>
            </w:pPr>
            <w:r>
              <w:rPr>
                <w:rFonts w:cs="Tahoma"/>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tcPr>
          <w:p w14:paraId="1962C20D" w14:textId="538BE133" w:rsidR="0095631B"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CBB1A20" w14:textId="57D1A83C" w:rsidR="0095631B" w:rsidRDefault="0095631B" w:rsidP="007777E1">
            <w:pPr>
              <w:spacing w:before="60" w:after="20" w:line="288" w:lineRule="auto"/>
              <w:ind w:firstLine="0"/>
              <w:jc w:val="right"/>
              <w:rPr>
                <w:rFonts w:cs="Tahoma"/>
                <w:sz w:val="18"/>
                <w:szCs w:val="18"/>
              </w:rPr>
            </w:pPr>
            <w:r>
              <w:rPr>
                <w:rFonts w:cs="Tahoma"/>
                <w:sz w:val="18"/>
                <w:szCs w:val="18"/>
              </w:rPr>
              <w:t>2012</w:t>
            </w:r>
          </w:p>
        </w:tc>
        <w:tc>
          <w:tcPr>
            <w:tcW w:w="850" w:type="dxa"/>
            <w:tcBorders>
              <w:top w:val="single" w:sz="4" w:space="0" w:color="auto"/>
              <w:left w:val="single" w:sz="4" w:space="0" w:color="auto"/>
              <w:bottom w:val="single" w:sz="4" w:space="0" w:color="auto"/>
              <w:right w:val="single" w:sz="4" w:space="0" w:color="auto"/>
            </w:tcBorders>
            <w:vAlign w:val="center"/>
          </w:tcPr>
          <w:p w14:paraId="30E640AD" w14:textId="384B4615" w:rsidR="0095631B" w:rsidRDefault="0095631B" w:rsidP="007777E1">
            <w:pPr>
              <w:spacing w:before="60" w:after="20" w:line="288" w:lineRule="auto"/>
              <w:ind w:firstLine="0"/>
              <w:jc w:val="right"/>
              <w:rPr>
                <w:rFonts w:cs="Tahoma"/>
                <w:sz w:val="18"/>
                <w:szCs w:val="18"/>
              </w:rPr>
            </w:pPr>
            <w:r>
              <w:rPr>
                <w:rFonts w:cs="Tahoma"/>
                <w:sz w:val="18"/>
                <w:szCs w:val="18"/>
              </w:rPr>
              <w:t>97</w:t>
            </w:r>
          </w:p>
        </w:tc>
        <w:tc>
          <w:tcPr>
            <w:tcW w:w="1276" w:type="dxa"/>
            <w:tcBorders>
              <w:top w:val="single" w:sz="4" w:space="0" w:color="auto"/>
              <w:left w:val="single" w:sz="4" w:space="0" w:color="auto"/>
              <w:bottom w:val="single" w:sz="4" w:space="0" w:color="auto"/>
              <w:right w:val="single" w:sz="4" w:space="0" w:color="auto"/>
            </w:tcBorders>
            <w:vAlign w:val="center"/>
          </w:tcPr>
          <w:p w14:paraId="0C4BFADA" w14:textId="36514440" w:rsidR="0095631B" w:rsidRDefault="0095631B" w:rsidP="007777E1">
            <w:pPr>
              <w:spacing w:before="60" w:after="20" w:line="288" w:lineRule="auto"/>
              <w:ind w:firstLine="0"/>
              <w:jc w:val="right"/>
              <w:rPr>
                <w:rFonts w:cs="Tahoma"/>
                <w:sz w:val="18"/>
                <w:szCs w:val="18"/>
              </w:rPr>
            </w:pPr>
            <w:r>
              <w:rPr>
                <w:rFonts w:cs="Tahoma"/>
                <w:sz w:val="18"/>
                <w:szCs w:val="18"/>
              </w:rPr>
              <w:t>EEV</w:t>
            </w:r>
          </w:p>
        </w:tc>
        <w:tc>
          <w:tcPr>
            <w:tcW w:w="1000" w:type="dxa"/>
            <w:tcBorders>
              <w:top w:val="single" w:sz="4" w:space="0" w:color="auto"/>
              <w:left w:val="single" w:sz="4" w:space="0" w:color="auto"/>
              <w:bottom w:val="single" w:sz="4" w:space="0" w:color="auto"/>
              <w:right w:val="single" w:sz="4" w:space="0" w:color="auto"/>
            </w:tcBorders>
            <w:vAlign w:val="center"/>
          </w:tcPr>
          <w:p w14:paraId="59E3340B" w14:textId="4E31B60B" w:rsidR="0095631B" w:rsidRDefault="0095631B" w:rsidP="007777E1">
            <w:pPr>
              <w:spacing w:before="60" w:after="20" w:line="288" w:lineRule="auto"/>
              <w:ind w:firstLine="0"/>
              <w:jc w:val="right"/>
              <w:rPr>
                <w:rFonts w:cs="Tahoma"/>
                <w:sz w:val="18"/>
                <w:szCs w:val="18"/>
              </w:rPr>
            </w:pPr>
            <w:r>
              <w:rPr>
                <w:rFonts w:cs="Tahoma"/>
                <w:sz w:val="18"/>
                <w:szCs w:val="18"/>
              </w:rPr>
              <w:t>Miasto</w:t>
            </w:r>
          </w:p>
        </w:tc>
      </w:tr>
      <w:tr w:rsidR="0095631B" w:rsidRPr="00561DCD" w14:paraId="5DCD18FC"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0B3C8D25" w14:textId="79B1BB71" w:rsidR="0095631B" w:rsidRDefault="0095631B" w:rsidP="007777E1">
            <w:pPr>
              <w:spacing w:before="60" w:after="20" w:line="288" w:lineRule="auto"/>
              <w:ind w:firstLine="0"/>
              <w:jc w:val="center"/>
              <w:rPr>
                <w:rFonts w:cs="Tahoma"/>
                <w:sz w:val="18"/>
                <w:szCs w:val="18"/>
              </w:rPr>
            </w:pPr>
            <w:r>
              <w:rPr>
                <w:rFonts w:cs="Tahoma"/>
                <w:sz w:val="18"/>
                <w:szCs w:val="18"/>
              </w:rPr>
              <w:t>11</w:t>
            </w:r>
          </w:p>
        </w:tc>
        <w:tc>
          <w:tcPr>
            <w:tcW w:w="1984" w:type="dxa"/>
            <w:tcBorders>
              <w:top w:val="single" w:sz="4" w:space="0" w:color="auto"/>
              <w:left w:val="single" w:sz="4" w:space="0" w:color="auto"/>
              <w:bottom w:val="single" w:sz="4" w:space="0" w:color="auto"/>
              <w:right w:val="single" w:sz="4" w:space="0" w:color="auto"/>
            </w:tcBorders>
            <w:vAlign w:val="center"/>
          </w:tcPr>
          <w:p w14:paraId="2CFF86D4" w14:textId="1ED0B9BC" w:rsidR="0095631B" w:rsidRDefault="0095631B" w:rsidP="007777E1">
            <w:pPr>
              <w:spacing w:before="60" w:after="20" w:line="288" w:lineRule="auto"/>
              <w:ind w:firstLine="0"/>
              <w:jc w:val="left"/>
              <w:rPr>
                <w:rFonts w:cs="Tahoma"/>
                <w:sz w:val="18"/>
                <w:szCs w:val="18"/>
              </w:rPr>
            </w:pPr>
            <w:r>
              <w:rPr>
                <w:rFonts w:cs="Tahoma"/>
                <w:sz w:val="18"/>
                <w:szCs w:val="18"/>
              </w:rPr>
              <w:t>Mercedes</w:t>
            </w:r>
            <w:r w:rsidR="00A27FE8">
              <w:rPr>
                <w:rFonts w:cs="Tahoma"/>
                <w:sz w:val="18"/>
                <w:szCs w:val="18"/>
              </w:rPr>
              <w:t>-Benz</w:t>
            </w:r>
            <w:r>
              <w:rPr>
                <w:rFonts w:cs="Tahoma"/>
                <w:sz w:val="18"/>
                <w:szCs w:val="18"/>
              </w:rPr>
              <w:t xml:space="preserve"> Citaro 628 CNG</w:t>
            </w:r>
          </w:p>
        </w:tc>
        <w:tc>
          <w:tcPr>
            <w:tcW w:w="851" w:type="dxa"/>
            <w:tcBorders>
              <w:top w:val="single" w:sz="4" w:space="0" w:color="auto"/>
              <w:left w:val="single" w:sz="4" w:space="0" w:color="auto"/>
              <w:bottom w:val="single" w:sz="4" w:space="0" w:color="auto"/>
              <w:right w:val="single" w:sz="4" w:space="0" w:color="auto"/>
            </w:tcBorders>
            <w:vAlign w:val="center"/>
          </w:tcPr>
          <w:p w14:paraId="61E44A4E" w14:textId="0AE4D1F9" w:rsidR="0095631B" w:rsidRDefault="0095631B"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0383A2" w14:textId="5FD61FD1" w:rsidR="0095631B" w:rsidRDefault="0095631B" w:rsidP="007777E1">
            <w:pPr>
              <w:spacing w:before="60" w:after="20" w:line="288" w:lineRule="auto"/>
              <w:ind w:firstLine="0"/>
              <w:jc w:val="right"/>
              <w:rPr>
                <w:rFonts w:cs="Tahoma"/>
                <w:sz w:val="18"/>
                <w:szCs w:val="18"/>
              </w:rPr>
            </w:pPr>
            <w:r>
              <w:rPr>
                <w:rFonts w:cs="Tahoma"/>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tcPr>
          <w:p w14:paraId="37DD838B" w14:textId="348F8312" w:rsidR="0095631B"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480C2CFC" w14:textId="20445D08" w:rsidR="0095631B" w:rsidRDefault="0095631B" w:rsidP="007777E1">
            <w:pPr>
              <w:spacing w:before="60" w:after="20" w:line="288" w:lineRule="auto"/>
              <w:ind w:firstLine="0"/>
              <w:jc w:val="right"/>
              <w:rPr>
                <w:rFonts w:cs="Tahoma"/>
                <w:sz w:val="18"/>
                <w:szCs w:val="18"/>
              </w:rPr>
            </w:pPr>
            <w:r>
              <w:rPr>
                <w:rFonts w:cs="Tahoma"/>
                <w:sz w:val="18"/>
                <w:szCs w:val="18"/>
              </w:rPr>
              <w:t>2013</w:t>
            </w:r>
          </w:p>
        </w:tc>
        <w:tc>
          <w:tcPr>
            <w:tcW w:w="850" w:type="dxa"/>
            <w:tcBorders>
              <w:top w:val="single" w:sz="4" w:space="0" w:color="auto"/>
              <w:left w:val="single" w:sz="4" w:space="0" w:color="auto"/>
              <w:bottom w:val="single" w:sz="4" w:space="0" w:color="auto"/>
              <w:right w:val="single" w:sz="4" w:space="0" w:color="auto"/>
            </w:tcBorders>
            <w:vAlign w:val="center"/>
          </w:tcPr>
          <w:p w14:paraId="16268FF3" w14:textId="57046CFE" w:rsidR="0095631B" w:rsidRDefault="0095631B" w:rsidP="007777E1">
            <w:pPr>
              <w:spacing w:before="60" w:after="20" w:line="288" w:lineRule="auto"/>
              <w:ind w:firstLine="0"/>
              <w:jc w:val="right"/>
              <w:rPr>
                <w:rFonts w:cs="Tahoma"/>
                <w:sz w:val="18"/>
                <w:szCs w:val="18"/>
              </w:rPr>
            </w:pPr>
            <w:r>
              <w:rPr>
                <w:rFonts w:cs="Tahoma"/>
                <w:sz w:val="18"/>
                <w:szCs w:val="18"/>
              </w:rPr>
              <w:t>86-87</w:t>
            </w:r>
          </w:p>
        </w:tc>
        <w:tc>
          <w:tcPr>
            <w:tcW w:w="1276" w:type="dxa"/>
            <w:tcBorders>
              <w:top w:val="single" w:sz="4" w:space="0" w:color="auto"/>
              <w:left w:val="single" w:sz="4" w:space="0" w:color="auto"/>
              <w:bottom w:val="single" w:sz="4" w:space="0" w:color="auto"/>
              <w:right w:val="single" w:sz="4" w:space="0" w:color="auto"/>
            </w:tcBorders>
            <w:vAlign w:val="center"/>
          </w:tcPr>
          <w:p w14:paraId="606D0CEE" w14:textId="075806AA" w:rsidR="0095631B" w:rsidRDefault="0095631B" w:rsidP="007777E1">
            <w:pPr>
              <w:spacing w:before="60" w:after="20" w:line="288" w:lineRule="auto"/>
              <w:ind w:firstLine="0"/>
              <w:jc w:val="right"/>
              <w:rPr>
                <w:rFonts w:cs="Tahoma"/>
                <w:sz w:val="18"/>
                <w:szCs w:val="18"/>
              </w:rPr>
            </w:pPr>
            <w:r>
              <w:rPr>
                <w:rFonts w:cs="Tahoma"/>
                <w:sz w:val="18"/>
                <w:szCs w:val="18"/>
              </w:rPr>
              <w:t>EEV</w:t>
            </w:r>
          </w:p>
        </w:tc>
        <w:tc>
          <w:tcPr>
            <w:tcW w:w="1000" w:type="dxa"/>
            <w:tcBorders>
              <w:top w:val="single" w:sz="4" w:space="0" w:color="auto"/>
              <w:left w:val="single" w:sz="4" w:space="0" w:color="auto"/>
              <w:bottom w:val="single" w:sz="4" w:space="0" w:color="auto"/>
              <w:right w:val="single" w:sz="4" w:space="0" w:color="auto"/>
            </w:tcBorders>
            <w:vAlign w:val="center"/>
          </w:tcPr>
          <w:p w14:paraId="5295F461" w14:textId="33FF5123" w:rsidR="0095631B" w:rsidRDefault="0095631B" w:rsidP="007777E1">
            <w:pPr>
              <w:spacing w:before="60" w:after="20" w:line="288" w:lineRule="auto"/>
              <w:ind w:firstLine="0"/>
              <w:jc w:val="right"/>
              <w:rPr>
                <w:rFonts w:cs="Tahoma"/>
                <w:sz w:val="18"/>
                <w:szCs w:val="18"/>
              </w:rPr>
            </w:pPr>
            <w:r>
              <w:rPr>
                <w:rFonts w:cs="Tahoma"/>
                <w:sz w:val="18"/>
                <w:szCs w:val="18"/>
              </w:rPr>
              <w:t>Miasto</w:t>
            </w:r>
          </w:p>
        </w:tc>
      </w:tr>
      <w:tr w:rsidR="0095631B" w:rsidRPr="00561DCD" w14:paraId="2F7CFBBD"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33AF1D85" w14:textId="68D24073" w:rsidR="0095631B" w:rsidRDefault="0095631B" w:rsidP="007777E1">
            <w:pPr>
              <w:spacing w:before="60" w:after="20" w:line="288" w:lineRule="auto"/>
              <w:ind w:firstLine="0"/>
              <w:jc w:val="center"/>
              <w:rPr>
                <w:rFonts w:cs="Tahoma"/>
                <w:sz w:val="18"/>
                <w:szCs w:val="18"/>
              </w:rPr>
            </w:pPr>
            <w:r>
              <w:rPr>
                <w:rFonts w:cs="Tahoma"/>
                <w:sz w:val="18"/>
                <w:szCs w:val="18"/>
              </w:rPr>
              <w:t>12</w:t>
            </w:r>
          </w:p>
        </w:tc>
        <w:tc>
          <w:tcPr>
            <w:tcW w:w="1984" w:type="dxa"/>
            <w:tcBorders>
              <w:top w:val="single" w:sz="4" w:space="0" w:color="auto"/>
              <w:left w:val="single" w:sz="4" w:space="0" w:color="auto"/>
              <w:bottom w:val="single" w:sz="4" w:space="0" w:color="auto"/>
              <w:right w:val="single" w:sz="4" w:space="0" w:color="auto"/>
            </w:tcBorders>
            <w:vAlign w:val="center"/>
          </w:tcPr>
          <w:p w14:paraId="600C37E7" w14:textId="2E11CDFE" w:rsidR="0095631B" w:rsidRDefault="0095631B" w:rsidP="007777E1">
            <w:pPr>
              <w:spacing w:before="60" w:after="20" w:line="288" w:lineRule="auto"/>
              <w:ind w:firstLine="0"/>
              <w:jc w:val="left"/>
              <w:rPr>
                <w:rFonts w:cs="Tahoma"/>
                <w:sz w:val="18"/>
                <w:szCs w:val="18"/>
              </w:rPr>
            </w:pPr>
            <w:r>
              <w:rPr>
                <w:rFonts w:cs="Tahoma"/>
                <w:sz w:val="18"/>
                <w:szCs w:val="18"/>
              </w:rPr>
              <w:t>Autosan Sancity 10</w:t>
            </w:r>
          </w:p>
        </w:tc>
        <w:tc>
          <w:tcPr>
            <w:tcW w:w="851" w:type="dxa"/>
            <w:tcBorders>
              <w:top w:val="single" w:sz="4" w:space="0" w:color="auto"/>
              <w:left w:val="single" w:sz="4" w:space="0" w:color="auto"/>
              <w:bottom w:val="single" w:sz="4" w:space="0" w:color="auto"/>
              <w:right w:val="single" w:sz="4" w:space="0" w:color="auto"/>
            </w:tcBorders>
            <w:vAlign w:val="center"/>
          </w:tcPr>
          <w:p w14:paraId="4FC988C9" w14:textId="7C18516D" w:rsidR="0095631B" w:rsidRDefault="0095631B" w:rsidP="007777E1">
            <w:pPr>
              <w:spacing w:before="60" w:after="20" w:line="288" w:lineRule="auto"/>
              <w:ind w:firstLine="0"/>
              <w:jc w:val="center"/>
              <w:rPr>
                <w:rFonts w:cs="Tahoma"/>
                <w:sz w:val="18"/>
                <w:szCs w:val="18"/>
              </w:rPr>
            </w:pPr>
            <w:r>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916821" w14:textId="4BF8BFBA" w:rsidR="0095631B" w:rsidRDefault="0095631B" w:rsidP="007777E1">
            <w:pPr>
              <w:spacing w:before="60" w:after="20" w:line="288" w:lineRule="auto"/>
              <w:ind w:firstLine="0"/>
              <w:jc w:val="right"/>
              <w:rPr>
                <w:rFonts w:cs="Tahoma"/>
                <w:sz w:val="18"/>
                <w:szCs w:val="18"/>
              </w:rPr>
            </w:pPr>
            <w:r>
              <w:rPr>
                <w:rFonts w:cs="Tahoma"/>
                <w:sz w:val="18"/>
                <w:szCs w:val="18"/>
              </w:rPr>
              <w:t>20</w:t>
            </w:r>
          </w:p>
        </w:tc>
        <w:tc>
          <w:tcPr>
            <w:tcW w:w="851" w:type="dxa"/>
            <w:tcBorders>
              <w:top w:val="single" w:sz="4" w:space="0" w:color="auto"/>
              <w:left w:val="single" w:sz="4" w:space="0" w:color="auto"/>
              <w:bottom w:val="single" w:sz="4" w:space="0" w:color="auto"/>
              <w:right w:val="single" w:sz="4" w:space="0" w:color="auto"/>
            </w:tcBorders>
            <w:vAlign w:val="center"/>
          </w:tcPr>
          <w:p w14:paraId="42547D0D" w14:textId="20E02999" w:rsidR="0095631B" w:rsidRDefault="0095631B" w:rsidP="007777E1">
            <w:pPr>
              <w:spacing w:before="60" w:after="20" w:line="288" w:lineRule="auto"/>
              <w:ind w:firstLine="0"/>
              <w:jc w:val="right"/>
              <w:rPr>
                <w:rFonts w:cs="Tahoma"/>
                <w:sz w:val="18"/>
                <w:szCs w:val="18"/>
              </w:rPr>
            </w:pPr>
            <w:r>
              <w:rPr>
                <w:rFonts w:cs="Tahoma"/>
                <w:sz w:val="18"/>
                <w:szCs w:val="18"/>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3E4E2501" w14:textId="52A8A30E" w:rsidR="0095631B" w:rsidRDefault="0095631B" w:rsidP="007777E1">
            <w:pPr>
              <w:spacing w:before="60" w:after="20" w:line="288" w:lineRule="auto"/>
              <w:ind w:firstLine="0"/>
              <w:jc w:val="right"/>
              <w:rPr>
                <w:rFonts w:cs="Tahoma"/>
                <w:sz w:val="18"/>
                <w:szCs w:val="18"/>
              </w:rPr>
            </w:pPr>
            <w:r>
              <w:rPr>
                <w:rFonts w:cs="Tahoma"/>
                <w:sz w:val="18"/>
                <w:szCs w:val="18"/>
              </w:rPr>
              <w:t>2013</w:t>
            </w:r>
          </w:p>
        </w:tc>
        <w:tc>
          <w:tcPr>
            <w:tcW w:w="850" w:type="dxa"/>
            <w:tcBorders>
              <w:top w:val="single" w:sz="4" w:space="0" w:color="auto"/>
              <w:left w:val="single" w:sz="4" w:space="0" w:color="auto"/>
              <w:bottom w:val="single" w:sz="4" w:space="0" w:color="auto"/>
              <w:right w:val="single" w:sz="4" w:space="0" w:color="auto"/>
            </w:tcBorders>
            <w:vAlign w:val="center"/>
          </w:tcPr>
          <w:p w14:paraId="56EE6F07" w14:textId="2BC1F557" w:rsidR="0095631B" w:rsidRDefault="0095631B" w:rsidP="007777E1">
            <w:pPr>
              <w:spacing w:before="60" w:after="20" w:line="288" w:lineRule="auto"/>
              <w:ind w:firstLine="0"/>
              <w:jc w:val="right"/>
              <w:rPr>
                <w:rFonts w:cs="Tahoma"/>
                <w:sz w:val="18"/>
                <w:szCs w:val="18"/>
              </w:rPr>
            </w:pPr>
            <w:r>
              <w:rPr>
                <w:rFonts w:cs="Tahoma"/>
                <w:sz w:val="18"/>
                <w:szCs w:val="18"/>
              </w:rPr>
              <w:t>91</w:t>
            </w:r>
          </w:p>
        </w:tc>
        <w:tc>
          <w:tcPr>
            <w:tcW w:w="1276" w:type="dxa"/>
            <w:tcBorders>
              <w:top w:val="single" w:sz="4" w:space="0" w:color="auto"/>
              <w:left w:val="single" w:sz="4" w:space="0" w:color="auto"/>
              <w:bottom w:val="single" w:sz="4" w:space="0" w:color="auto"/>
              <w:right w:val="single" w:sz="4" w:space="0" w:color="auto"/>
            </w:tcBorders>
            <w:vAlign w:val="center"/>
          </w:tcPr>
          <w:p w14:paraId="14264D51" w14:textId="2A842D13" w:rsidR="0095631B" w:rsidRDefault="0095631B" w:rsidP="007777E1">
            <w:pPr>
              <w:spacing w:before="60" w:after="20" w:line="288" w:lineRule="auto"/>
              <w:ind w:firstLine="0"/>
              <w:jc w:val="right"/>
              <w:rPr>
                <w:rFonts w:cs="Tahoma"/>
                <w:sz w:val="18"/>
                <w:szCs w:val="18"/>
              </w:rPr>
            </w:pPr>
            <w:r>
              <w:rPr>
                <w:rFonts w:cs="Tahoma"/>
                <w:sz w:val="18"/>
                <w:szCs w:val="18"/>
              </w:rPr>
              <w:t>EEV</w:t>
            </w:r>
          </w:p>
        </w:tc>
        <w:tc>
          <w:tcPr>
            <w:tcW w:w="1000" w:type="dxa"/>
            <w:tcBorders>
              <w:top w:val="single" w:sz="4" w:space="0" w:color="auto"/>
              <w:left w:val="single" w:sz="4" w:space="0" w:color="auto"/>
              <w:bottom w:val="single" w:sz="4" w:space="0" w:color="auto"/>
              <w:right w:val="single" w:sz="4" w:space="0" w:color="auto"/>
            </w:tcBorders>
            <w:vAlign w:val="center"/>
          </w:tcPr>
          <w:p w14:paraId="1C70D3E0" w14:textId="205F5DBF" w:rsidR="0095631B" w:rsidRDefault="0095631B" w:rsidP="007777E1">
            <w:pPr>
              <w:spacing w:before="60" w:after="20" w:line="288" w:lineRule="auto"/>
              <w:ind w:firstLine="0"/>
              <w:jc w:val="right"/>
              <w:rPr>
                <w:rFonts w:cs="Tahoma"/>
                <w:sz w:val="18"/>
                <w:szCs w:val="18"/>
              </w:rPr>
            </w:pPr>
            <w:r>
              <w:rPr>
                <w:rFonts w:cs="Tahoma"/>
                <w:sz w:val="18"/>
                <w:szCs w:val="18"/>
              </w:rPr>
              <w:t>Miasto</w:t>
            </w:r>
          </w:p>
        </w:tc>
      </w:tr>
      <w:tr w:rsidR="0095631B" w:rsidRPr="00561DCD" w14:paraId="1562E428"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4EE3B740" w14:textId="0DD79572" w:rsidR="0095631B" w:rsidRDefault="0095631B" w:rsidP="007777E1">
            <w:pPr>
              <w:spacing w:before="60" w:after="20" w:line="288" w:lineRule="auto"/>
              <w:ind w:firstLine="0"/>
              <w:jc w:val="center"/>
              <w:rPr>
                <w:rFonts w:cs="Tahoma"/>
                <w:sz w:val="18"/>
                <w:szCs w:val="18"/>
              </w:rPr>
            </w:pPr>
            <w:r>
              <w:rPr>
                <w:rFonts w:cs="Tahoma"/>
                <w:sz w:val="18"/>
                <w:szCs w:val="18"/>
              </w:rPr>
              <w:lastRenderedPageBreak/>
              <w:t>13</w:t>
            </w:r>
          </w:p>
        </w:tc>
        <w:tc>
          <w:tcPr>
            <w:tcW w:w="1984" w:type="dxa"/>
            <w:tcBorders>
              <w:top w:val="single" w:sz="4" w:space="0" w:color="auto"/>
              <w:left w:val="single" w:sz="4" w:space="0" w:color="auto"/>
              <w:bottom w:val="single" w:sz="4" w:space="0" w:color="auto"/>
              <w:right w:val="single" w:sz="4" w:space="0" w:color="auto"/>
            </w:tcBorders>
            <w:vAlign w:val="center"/>
          </w:tcPr>
          <w:p w14:paraId="10FA0126" w14:textId="6B1AA608" w:rsidR="0095631B" w:rsidRDefault="0095631B" w:rsidP="007777E1">
            <w:pPr>
              <w:spacing w:before="60" w:after="20" w:line="288" w:lineRule="auto"/>
              <w:ind w:firstLine="0"/>
              <w:jc w:val="left"/>
              <w:rPr>
                <w:rFonts w:cs="Tahoma"/>
                <w:sz w:val="18"/>
                <w:szCs w:val="18"/>
              </w:rPr>
            </w:pPr>
            <w:r>
              <w:rPr>
                <w:rFonts w:cs="Tahoma"/>
                <w:sz w:val="18"/>
                <w:szCs w:val="18"/>
              </w:rPr>
              <w:t xml:space="preserve">Autosan Sancity M12LF </w:t>
            </w:r>
          </w:p>
        </w:tc>
        <w:tc>
          <w:tcPr>
            <w:tcW w:w="851" w:type="dxa"/>
            <w:tcBorders>
              <w:top w:val="single" w:sz="4" w:space="0" w:color="auto"/>
              <w:left w:val="single" w:sz="4" w:space="0" w:color="auto"/>
              <w:bottom w:val="single" w:sz="4" w:space="0" w:color="auto"/>
              <w:right w:val="single" w:sz="4" w:space="0" w:color="auto"/>
            </w:tcBorders>
            <w:vAlign w:val="center"/>
          </w:tcPr>
          <w:p w14:paraId="620ABBAF" w14:textId="385A3141" w:rsidR="0095631B" w:rsidRDefault="0095631B" w:rsidP="007777E1">
            <w:pPr>
              <w:spacing w:before="60" w:after="20" w:line="288" w:lineRule="auto"/>
              <w:ind w:firstLine="0"/>
              <w:jc w:val="center"/>
              <w:rPr>
                <w:rFonts w:cs="Tahoma"/>
                <w:sz w:val="18"/>
                <w:szCs w:val="18"/>
              </w:rPr>
            </w:pPr>
            <w:r>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CF2135" w14:textId="2E678296" w:rsidR="0095631B" w:rsidRDefault="0095631B" w:rsidP="007777E1">
            <w:pPr>
              <w:spacing w:before="60" w:after="20" w:line="288" w:lineRule="auto"/>
              <w:ind w:firstLine="0"/>
              <w:jc w:val="right"/>
              <w:rPr>
                <w:rFonts w:cs="Tahoma"/>
                <w:sz w:val="18"/>
                <w:szCs w:val="18"/>
              </w:rPr>
            </w:pPr>
            <w:r>
              <w:rPr>
                <w:rFonts w:cs="Tahoma"/>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3539D907" w14:textId="0933D7C4" w:rsidR="0095631B"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747B52B" w14:textId="23925AF8" w:rsidR="0095631B" w:rsidRDefault="0095631B" w:rsidP="007777E1">
            <w:pPr>
              <w:spacing w:before="60" w:after="20" w:line="288" w:lineRule="auto"/>
              <w:ind w:firstLine="0"/>
              <w:jc w:val="right"/>
              <w:rPr>
                <w:rFonts w:cs="Tahoma"/>
                <w:sz w:val="18"/>
                <w:szCs w:val="18"/>
              </w:rPr>
            </w:pPr>
            <w:r>
              <w:rPr>
                <w:rFonts w:cs="Tahoma"/>
                <w:sz w:val="18"/>
                <w:szCs w:val="18"/>
              </w:rPr>
              <w:t>2016</w:t>
            </w:r>
          </w:p>
        </w:tc>
        <w:tc>
          <w:tcPr>
            <w:tcW w:w="850" w:type="dxa"/>
            <w:tcBorders>
              <w:top w:val="single" w:sz="4" w:space="0" w:color="auto"/>
              <w:left w:val="single" w:sz="4" w:space="0" w:color="auto"/>
              <w:bottom w:val="single" w:sz="4" w:space="0" w:color="auto"/>
              <w:right w:val="single" w:sz="4" w:space="0" w:color="auto"/>
            </w:tcBorders>
            <w:vAlign w:val="center"/>
          </w:tcPr>
          <w:p w14:paraId="64FDDB01" w14:textId="0351A6C0" w:rsidR="0095631B" w:rsidRDefault="0095631B" w:rsidP="007777E1">
            <w:pPr>
              <w:spacing w:before="60" w:after="20" w:line="288" w:lineRule="auto"/>
              <w:ind w:firstLine="0"/>
              <w:jc w:val="right"/>
              <w:rPr>
                <w:rFonts w:cs="Tahoma"/>
                <w:sz w:val="18"/>
                <w:szCs w:val="18"/>
              </w:rPr>
            </w:pPr>
            <w:r>
              <w:rPr>
                <w:rFonts w:cs="Tahoma"/>
                <w:sz w:val="18"/>
                <w:szCs w:val="18"/>
              </w:rPr>
              <w:t>105</w:t>
            </w:r>
          </w:p>
        </w:tc>
        <w:tc>
          <w:tcPr>
            <w:tcW w:w="1276" w:type="dxa"/>
            <w:tcBorders>
              <w:top w:val="single" w:sz="4" w:space="0" w:color="auto"/>
              <w:left w:val="single" w:sz="4" w:space="0" w:color="auto"/>
              <w:bottom w:val="single" w:sz="4" w:space="0" w:color="auto"/>
              <w:right w:val="single" w:sz="4" w:space="0" w:color="auto"/>
            </w:tcBorders>
            <w:vAlign w:val="center"/>
          </w:tcPr>
          <w:p w14:paraId="79C7B1E4" w14:textId="67BAD930" w:rsidR="0095631B" w:rsidRDefault="0095631B" w:rsidP="007777E1">
            <w:pPr>
              <w:spacing w:before="60" w:after="20" w:line="288" w:lineRule="auto"/>
              <w:ind w:firstLine="0"/>
              <w:jc w:val="right"/>
              <w:rPr>
                <w:rFonts w:cs="Tahoma"/>
                <w:sz w:val="18"/>
                <w:szCs w:val="18"/>
              </w:rPr>
            </w:pPr>
            <w:r>
              <w:rPr>
                <w:rFonts w:cs="Tahoma"/>
                <w:sz w:val="18"/>
                <w:szCs w:val="18"/>
              </w:rPr>
              <w:t>EURO VI</w:t>
            </w:r>
          </w:p>
        </w:tc>
        <w:tc>
          <w:tcPr>
            <w:tcW w:w="1000" w:type="dxa"/>
            <w:tcBorders>
              <w:top w:val="single" w:sz="4" w:space="0" w:color="auto"/>
              <w:left w:val="single" w:sz="4" w:space="0" w:color="auto"/>
              <w:bottom w:val="single" w:sz="4" w:space="0" w:color="auto"/>
              <w:right w:val="single" w:sz="4" w:space="0" w:color="auto"/>
            </w:tcBorders>
            <w:vAlign w:val="center"/>
          </w:tcPr>
          <w:p w14:paraId="7D0073AE" w14:textId="062B024C" w:rsidR="0095631B" w:rsidRDefault="0095631B" w:rsidP="007777E1">
            <w:pPr>
              <w:spacing w:before="60" w:after="20" w:line="288" w:lineRule="auto"/>
              <w:ind w:firstLine="0"/>
              <w:jc w:val="right"/>
              <w:rPr>
                <w:rFonts w:cs="Tahoma"/>
                <w:sz w:val="18"/>
                <w:szCs w:val="18"/>
              </w:rPr>
            </w:pPr>
            <w:r>
              <w:rPr>
                <w:rFonts w:cs="Tahoma"/>
                <w:sz w:val="18"/>
                <w:szCs w:val="18"/>
              </w:rPr>
              <w:t>MPK</w:t>
            </w:r>
          </w:p>
        </w:tc>
      </w:tr>
      <w:tr w:rsidR="0095631B" w:rsidRPr="00561DCD" w14:paraId="64323A34"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28DFCC8B" w14:textId="78607D95" w:rsidR="0095631B" w:rsidRDefault="0095631B" w:rsidP="007777E1">
            <w:pPr>
              <w:spacing w:before="60" w:after="20" w:line="288" w:lineRule="auto"/>
              <w:ind w:firstLine="0"/>
              <w:jc w:val="center"/>
              <w:rPr>
                <w:rFonts w:cs="Tahoma"/>
                <w:sz w:val="18"/>
                <w:szCs w:val="18"/>
              </w:rPr>
            </w:pPr>
            <w:r>
              <w:rPr>
                <w:rFonts w:cs="Tahoma"/>
                <w:sz w:val="18"/>
                <w:szCs w:val="18"/>
              </w:rPr>
              <w:t>14</w:t>
            </w:r>
          </w:p>
        </w:tc>
        <w:tc>
          <w:tcPr>
            <w:tcW w:w="1984" w:type="dxa"/>
            <w:tcBorders>
              <w:top w:val="single" w:sz="4" w:space="0" w:color="auto"/>
              <w:left w:val="single" w:sz="4" w:space="0" w:color="auto"/>
              <w:bottom w:val="single" w:sz="4" w:space="0" w:color="auto"/>
              <w:right w:val="single" w:sz="4" w:space="0" w:color="auto"/>
            </w:tcBorders>
            <w:vAlign w:val="center"/>
          </w:tcPr>
          <w:p w14:paraId="2CB6CAC9" w14:textId="0B96EEF7" w:rsidR="0095631B" w:rsidRDefault="0095631B" w:rsidP="007777E1">
            <w:pPr>
              <w:spacing w:before="60" w:after="20" w:line="288" w:lineRule="auto"/>
              <w:ind w:firstLine="0"/>
              <w:jc w:val="left"/>
              <w:rPr>
                <w:rFonts w:cs="Tahoma"/>
                <w:sz w:val="18"/>
                <w:szCs w:val="18"/>
              </w:rPr>
            </w:pPr>
            <w:r>
              <w:rPr>
                <w:rFonts w:cs="Tahoma"/>
                <w:sz w:val="18"/>
                <w:szCs w:val="18"/>
              </w:rPr>
              <w:t>Autosan Sancity 12 LF CNG</w:t>
            </w:r>
          </w:p>
        </w:tc>
        <w:tc>
          <w:tcPr>
            <w:tcW w:w="851" w:type="dxa"/>
            <w:tcBorders>
              <w:top w:val="single" w:sz="4" w:space="0" w:color="auto"/>
              <w:left w:val="single" w:sz="4" w:space="0" w:color="auto"/>
              <w:bottom w:val="single" w:sz="4" w:space="0" w:color="auto"/>
              <w:right w:val="single" w:sz="4" w:space="0" w:color="auto"/>
            </w:tcBorders>
            <w:vAlign w:val="center"/>
          </w:tcPr>
          <w:p w14:paraId="7B8E5622" w14:textId="772054F0" w:rsidR="0095631B" w:rsidRDefault="0095631B"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8B63BE" w14:textId="540970A9" w:rsidR="0095631B" w:rsidRDefault="0095631B" w:rsidP="007777E1">
            <w:pPr>
              <w:spacing w:before="60" w:after="20" w:line="288" w:lineRule="auto"/>
              <w:ind w:firstLine="0"/>
              <w:jc w:val="right"/>
              <w:rPr>
                <w:rFonts w:cs="Tahoma"/>
                <w:sz w:val="18"/>
                <w:szCs w:val="18"/>
              </w:rPr>
            </w:pPr>
            <w:r>
              <w:rPr>
                <w:rFonts w:cs="Tahoma"/>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647E4092" w14:textId="24E941E9" w:rsidR="0095631B" w:rsidRDefault="0095631B"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A8004FE" w14:textId="40B88EF8" w:rsidR="0095631B" w:rsidRDefault="0095631B" w:rsidP="007777E1">
            <w:pPr>
              <w:spacing w:before="60" w:after="20" w:line="288" w:lineRule="auto"/>
              <w:ind w:firstLine="0"/>
              <w:jc w:val="right"/>
              <w:rPr>
                <w:rFonts w:cs="Tahoma"/>
                <w:sz w:val="18"/>
                <w:szCs w:val="18"/>
              </w:rPr>
            </w:pPr>
            <w:r>
              <w:rPr>
                <w:rFonts w:cs="Tahoma"/>
                <w:sz w:val="18"/>
                <w:szCs w:val="18"/>
              </w:rPr>
              <w:t>2016</w:t>
            </w:r>
          </w:p>
        </w:tc>
        <w:tc>
          <w:tcPr>
            <w:tcW w:w="850" w:type="dxa"/>
            <w:tcBorders>
              <w:top w:val="single" w:sz="4" w:space="0" w:color="auto"/>
              <w:left w:val="single" w:sz="4" w:space="0" w:color="auto"/>
              <w:bottom w:val="single" w:sz="4" w:space="0" w:color="auto"/>
              <w:right w:val="single" w:sz="4" w:space="0" w:color="auto"/>
            </w:tcBorders>
            <w:vAlign w:val="center"/>
          </w:tcPr>
          <w:p w14:paraId="7C4C69F3" w14:textId="6E76C161" w:rsidR="0095631B" w:rsidRDefault="0095631B" w:rsidP="007777E1">
            <w:pPr>
              <w:spacing w:before="60" w:after="20" w:line="288" w:lineRule="auto"/>
              <w:ind w:firstLine="0"/>
              <w:jc w:val="right"/>
              <w:rPr>
                <w:rFonts w:cs="Tahoma"/>
                <w:sz w:val="18"/>
                <w:szCs w:val="18"/>
              </w:rPr>
            </w:pPr>
            <w:r>
              <w:rPr>
                <w:rFonts w:cs="Tahoma"/>
                <w:sz w:val="18"/>
                <w:szCs w:val="18"/>
              </w:rPr>
              <w:t>94</w:t>
            </w:r>
          </w:p>
        </w:tc>
        <w:tc>
          <w:tcPr>
            <w:tcW w:w="1276" w:type="dxa"/>
            <w:tcBorders>
              <w:top w:val="single" w:sz="4" w:space="0" w:color="auto"/>
              <w:left w:val="single" w:sz="4" w:space="0" w:color="auto"/>
              <w:bottom w:val="single" w:sz="4" w:space="0" w:color="auto"/>
              <w:right w:val="single" w:sz="4" w:space="0" w:color="auto"/>
            </w:tcBorders>
            <w:vAlign w:val="center"/>
          </w:tcPr>
          <w:p w14:paraId="1A897BC7" w14:textId="5CE597D5" w:rsidR="0095631B" w:rsidRDefault="0095631B" w:rsidP="007777E1">
            <w:pPr>
              <w:spacing w:before="60" w:after="20" w:line="288" w:lineRule="auto"/>
              <w:ind w:firstLine="0"/>
              <w:jc w:val="right"/>
              <w:rPr>
                <w:rFonts w:cs="Tahoma"/>
                <w:sz w:val="18"/>
                <w:szCs w:val="18"/>
              </w:rPr>
            </w:pPr>
            <w:r>
              <w:rPr>
                <w:rFonts w:cs="Tahoma"/>
                <w:sz w:val="18"/>
                <w:szCs w:val="18"/>
              </w:rPr>
              <w:t>EURO VI</w:t>
            </w:r>
          </w:p>
        </w:tc>
        <w:tc>
          <w:tcPr>
            <w:tcW w:w="1000" w:type="dxa"/>
            <w:tcBorders>
              <w:top w:val="single" w:sz="4" w:space="0" w:color="auto"/>
              <w:left w:val="single" w:sz="4" w:space="0" w:color="auto"/>
              <w:bottom w:val="single" w:sz="4" w:space="0" w:color="auto"/>
              <w:right w:val="single" w:sz="4" w:space="0" w:color="auto"/>
            </w:tcBorders>
            <w:vAlign w:val="center"/>
          </w:tcPr>
          <w:p w14:paraId="275E355F" w14:textId="6EFE9F04" w:rsidR="0095631B" w:rsidRDefault="0095631B" w:rsidP="007777E1">
            <w:pPr>
              <w:spacing w:before="60" w:after="20" w:line="288" w:lineRule="auto"/>
              <w:ind w:firstLine="0"/>
              <w:jc w:val="right"/>
              <w:rPr>
                <w:rFonts w:cs="Tahoma"/>
                <w:sz w:val="18"/>
                <w:szCs w:val="18"/>
              </w:rPr>
            </w:pPr>
            <w:r>
              <w:rPr>
                <w:rFonts w:cs="Tahoma"/>
                <w:sz w:val="18"/>
                <w:szCs w:val="18"/>
              </w:rPr>
              <w:t>MPK</w:t>
            </w:r>
          </w:p>
        </w:tc>
      </w:tr>
      <w:tr w:rsidR="0095631B" w:rsidRPr="00561DCD" w14:paraId="0CC50692"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47EE5A1D" w14:textId="7D99CA4E" w:rsidR="0095631B" w:rsidRDefault="0095631B" w:rsidP="007777E1">
            <w:pPr>
              <w:spacing w:before="60" w:after="20" w:line="288" w:lineRule="auto"/>
              <w:ind w:firstLine="0"/>
              <w:jc w:val="center"/>
              <w:rPr>
                <w:rFonts w:cs="Tahoma"/>
                <w:sz w:val="18"/>
                <w:szCs w:val="18"/>
              </w:rPr>
            </w:pPr>
            <w:r>
              <w:rPr>
                <w:rFonts w:cs="Tahoma"/>
                <w:sz w:val="18"/>
                <w:szCs w:val="18"/>
              </w:rPr>
              <w:t>15</w:t>
            </w:r>
          </w:p>
        </w:tc>
        <w:tc>
          <w:tcPr>
            <w:tcW w:w="1984" w:type="dxa"/>
            <w:tcBorders>
              <w:top w:val="single" w:sz="4" w:space="0" w:color="auto"/>
              <w:left w:val="single" w:sz="4" w:space="0" w:color="auto"/>
              <w:bottom w:val="single" w:sz="4" w:space="0" w:color="auto"/>
              <w:right w:val="single" w:sz="4" w:space="0" w:color="auto"/>
            </w:tcBorders>
            <w:vAlign w:val="center"/>
          </w:tcPr>
          <w:p w14:paraId="1E03F34A" w14:textId="08838AC6" w:rsidR="0095631B" w:rsidRDefault="0095631B" w:rsidP="007777E1">
            <w:pPr>
              <w:spacing w:before="60" w:after="20" w:line="288" w:lineRule="auto"/>
              <w:ind w:firstLine="0"/>
              <w:jc w:val="left"/>
              <w:rPr>
                <w:rFonts w:cs="Tahoma"/>
                <w:sz w:val="18"/>
                <w:szCs w:val="18"/>
              </w:rPr>
            </w:pPr>
            <w:r>
              <w:rPr>
                <w:rFonts w:cs="Tahoma"/>
                <w:sz w:val="18"/>
                <w:szCs w:val="18"/>
              </w:rPr>
              <w:t>Autosan Sancity 12</w:t>
            </w:r>
          </w:p>
        </w:tc>
        <w:tc>
          <w:tcPr>
            <w:tcW w:w="851" w:type="dxa"/>
            <w:tcBorders>
              <w:top w:val="single" w:sz="4" w:space="0" w:color="auto"/>
              <w:left w:val="single" w:sz="4" w:space="0" w:color="auto"/>
              <w:bottom w:val="single" w:sz="4" w:space="0" w:color="auto"/>
              <w:right w:val="single" w:sz="4" w:space="0" w:color="auto"/>
            </w:tcBorders>
            <w:vAlign w:val="center"/>
          </w:tcPr>
          <w:p w14:paraId="18990ED0" w14:textId="396F87A0" w:rsidR="0095631B" w:rsidRDefault="0095631B" w:rsidP="007777E1">
            <w:pPr>
              <w:spacing w:before="60" w:after="20" w:line="288" w:lineRule="auto"/>
              <w:ind w:firstLine="0"/>
              <w:jc w:val="center"/>
              <w:rPr>
                <w:rFonts w:cs="Tahoma"/>
                <w:sz w:val="18"/>
                <w:szCs w:val="18"/>
              </w:rPr>
            </w:pPr>
            <w:r>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DA0C7E" w14:textId="639D7838" w:rsidR="0095631B" w:rsidRDefault="00572CE9" w:rsidP="007777E1">
            <w:pPr>
              <w:spacing w:before="60" w:after="20" w:line="288" w:lineRule="auto"/>
              <w:ind w:firstLine="0"/>
              <w:jc w:val="right"/>
              <w:rPr>
                <w:rFonts w:cs="Tahoma"/>
                <w:sz w:val="18"/>
                <w:szCs w:val="18"/>
              </w:rPr>
            </w:pPr>
            <w:r>
              <w:rPr>
                <w:rFonts w:cs="Tahoma"/>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421E09D3" w14:textId="2B19F38E" w:rsidR="0095631B" w:rsidRDefault="00572CE9"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56BCB82" w14:textId="06B2D9B9" w:rsidR="0095631B" w:rsidRDefault="0095631B" w:rsidP="007777E1">
            <w:pPr>
              <w:spacing w:before="60" w:after="20" w:line="288" w:lineRule="auto"/>
              <w:ind w:firstLine="0"/>
              <w:jc w:val="right"/>
              <w:rPr>
                <w:rFonts w:cs="Tahoma"/>
                <w:sz w:val="18"/>
                <w:szCs w:val="18"/>
              </w:rPr>
            </w:pPr>
            <w:r>
              <w:rPr>
                <w:rFonts w:cs="Tahoma"/>
                <w:sz w:val="18"/>
                <w:szCs w:val="18"/>
              </w:rPr>
              <w:t>2018</w:t>
            </w:r>
          </w:p>
        </w:tc>
        <w:tc>
          <w:tcPr>
            <w:tcW w:w="850" w:type="dxa"/>
            <w:tcBorders>
              <w:top w:val="single" w:sz="4" w:space="0" w:color="auto"/>
              <w:left w:val="single" w:sz="4" w:space="0" w:color="auto"/>
              <w:bottom w:val="single" w:sz="4" w:space="0" w:color="auto"/>
              <w:right w:val="single" w:sz="4" w:space="0" w:color="auto"/>
            </w:tcBorders>
            <w:vAlign w:val="center"/>
          </w:tcPr>
          <w:p w14:paraId="636AE442" w14:textId="2893A03C" w:rsidR="0095631B" w:rsidRDefault="00572CE9" w:rsidP="007777E1">
            <w:pPr>
              <w:spacing w:before="60" w:after="20" w:line="288" w:lineRule="auto"/>
              <w:ind w:firstLine="0"/>
              <w:jc w:val="right"/>
              <w:rPr>
                <w:rFonts w:cs="Tahoma"/>
                <w:sz w:val="18"/>
                <w:szCs w:val="18"/>
              </w:rPr>
            </w:pPr>
            <w:r>
              <w:rPr>
                <w:rFonts w:cs="Tahoma"/>
                <w:sz w:val="18"/>
                <w:szCs w:val="18"/>
              </w:rPr>
              <w:t>106</w:t>
            </w:r>
          </w:p>
        </w:tc>
        <w:tc>
          <w:tcPr>
            <w:tcW w:w="1276" w:type="dxa"/>
            <w:tcBorders>
              <w:top w:val="single" w:sz="4" w:space="0" w:color="auto"/>
              <w:left w:val="single" w:sz="4" w:space="0" w:color="auto"/>
              <w:bottom w:val="single" w:sz="4" w:space="0" w:color="auto"/>
              <w:right w:val="single" w:sz="4" w:space="0" w:color="auto"/>
            </w:tcBorders>
            <w:vAlign w:val="center"/>
          </w:tcPr>
          <w:p w14:paraId="16C3B45C" w14:textId="4276D385" w:rsidR="0095631B" w:rsidRDefault="00572CE9" w:rsidP="007777E1">
            <w:pPr>
              <w:spacing w:before="60" w:after="20" w:line="288" w:lineRule="auto"/>
              <w:ind w:firstLine="0"/>
              <w:jc w:val="right"/>
              <w:rPr>
                <w:rFonts w:cs="Tahoma"/>
                <w:sz w:val="18"/>
                <w:szCs w:val="18"/>
              </w:rPr>
            </w:pPr>
            <w:r>
              <w:rPr>
                <w:rFonts w:cs="Tahoma"/>
                <w:sz w:val="18"/>
                <w:szCs w:val="18"/>
              </w:rPr>
              <w:t>EURO VI</w:t>
            </w:r>
          </w:p>
        </w:tc>
        <w:tc>
          <w:tcPr>
            <w:tcW w:w="1000" w:type="dxa"/>
            <w:tcBorders>
              <w:top w:val="single" w:sz="4" w:space="0" w:color="auto"/>
              <w:left w:val="single" w:sz="4" w:space="0" w:color="auto"/>
              <w:bottom w:val="single" w:sz="4" w:space="0" w:color="auto"/>
              <w:right w:val="single" w:sz="4" w:space="0" w:color="auto"/>
            </w:tcBorders>
            <w:vAlign w:val="center"/>
          </w:tcPr>
          <w:p w14:paraId="6CEAF4FA" w14:textId="54218FEA" w:rsidR="0095631B" w:rsidRDefault="00572CE9" w:rsidP="007777E1">
            <w:pPr>
              <w:spacing w:before="60" w:after="20" w:line="288" w:lineRule="auto"/>
              <w:ind w:firstLine="0"/>
              <w:jc w:val="right"/>
              <w:rPr>
                <w:rFonts w:cs="Tahoma"/>
                <w:sz w:val="18"/>
                <w:szCs w:val="18"/>
              </w:rPr>
            </w:pPr>
            <w:r>
              <w:rPr>
                <w:rFonts w:cs="Tahoma"/>
                <w:sz w:val="18"/>
                <w:szCs w:val="18"/>
              </w:rPr>
              <w:t>Miasto</w:t>
            </w:r>
          </w:p>
        </w:tc>
      </w:tr>
      <w:tr w:rsidR="003F4FA6" w:rsidRPr="00561DCD" w14:paraId="57CDE3AA"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147E0EF4" w14:textId="10A3CFFF" w:rsidR="003F4FA6" w:rsidRDefault="003F4FA6" w:rsidP="007777E1">
            <w:pPr>
              <w:spacing w:before="60" w:after="20" w:line="288" w:lineRule="auto"/>
              <w:ind w:firstLine="0"/>
              <w:jc w:val="center"/>
              <w:rPr>
                <w:rFonts w:cs="Tahoma"/>
                <w:sz w:val="18"/>
                <w:szCs w:val="18"/>
              </w:rPr>
            </w:pPr>
            <w:r>
              <w:rPr>
                <w:rFonts w:cs="Tahoma"/>
                <w:sz w:val="18"/>
                <w:szCs w:val="18"/>
              </w:rPr>
              <w:t>16</w:t>
            </w:r>
          </w:p>
        </w:tc>
        <w:tc>
          <w:tcPr>
            <w:tcW w:w="1984" w:type="dxa"/>
            <w:tcBorders>
              <w:top w:val="single" w:sz="4" w:space="0" w:color="auto"/>
              <w:left w:val="single" w:sz="4" w:space="0" w:color="auto"/>
              <w:bottom w:val="single" w:sz="4" w:space="0" w:color="auto"/>
              <w:right w:val="single" w:sz="4" w:space="0" w:color="auto"/>
            </w:tcBorders>
            <w:vAlign w:val="center"/>
          </w:tcPr>
          <w:p w14:paraId="43107551" w14:textId="716FB71E" w:rsidR="003F4FA6" w:rsidRDefault="003F4FA6" w:rsidP="007777E1">
            <w:pPr>
              <w:spacing w:before="60" w:after="20" w:line="288" w:lineRule="auto"/>
              <w:ind w:firstLine="0"/>
              <w:jc w:val="left"/>
              <w:rPr>
                <w:rFonts w:cs="Tahoma"/>
                <w:sz w:val="18"/>
                <w:szCs w:val="18"/>
              </w:rPr>
            </w:pPr>
            <w:r>
              <w:rPr>
                <w:rFonts w:cs="Tahoma"/>
                <w:sz w:val="18"/>
                <w:szCs w:val="18"/>
              </w:rPr>
              <w:t>Solaris Urbino 18</w:t>
            </w:r>
          </w:p>
        </w:tc>
        <w:tc>
          <w:tcPr>
            <w:tcW w:w="851" w:type="dxa"/>
            <w:tcBorders>
              <w:top w:val="single" w:sz="4" w:space="0" w:color="auto"/>
              <w:left w:val="single" w:sz="4" w:space="0" w:color="auto"/>
              <w:bottom w:val="single" w:sz="4" w:space="0" w:color="auto"/>
              <w:right w:val="single" w:sz="4" w:space="0" w:color="auto"/>
            </w:tcBorders>
            <w:vAlign w:val="center"/>
          </w:tcPr>
          <w:p w14:paraId="6971739F" w14:textId="65D0FBAC" w:rsidR="003F4FA6" w:rsidRDefault="003F4FA6" w:rsidP="007777E1">
            <w:pPr>
              <w:spacing w:before="60" w:after="20" w:line="288" w:lineRule="auto"/>
              <w:ind w:firstLine="0"/>
              <w:jc w:val="center"/>
              <w:rPr>
                <w:rFonts w:cs="Tahoma"/>
                <w:sz w:val="18"/>
                <w:szCs w:val="18"/>
              </w:rPr>
            </w:pPr>
            <w:r>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6D9ABD" w14:textId="074DA95C" w:rsidR="003F4FA6" w:rsidRDefault="003F4FA6" w:rsidP="007777E1">
            <w:pPr>
              <w:spacing w:before="60" w:after="20" w:line="288" w:lineRule="auto"/>
              <w:ind w:firstLine="0"/>
              <w:jc w:val="right"/>
              <w:rPr>
                <w:rFonts w:cs="Tahoma"/>
                <w:sz w:val="18"/>
                <w:szCs w:val="18"/>
              </w:rPr>
            </w:pPr>
            <w:r>
              <w:rPr>
                <w:rFonts w:cs="Tahoma"/>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tcPr>
          <w:p w14:paraId="47D627CA" w14:textId="1D53E667" w:rsidR="003F4FA6" w:rsidRDefault="003F4FA6" w:rsidP="007777E1">
            <w:pPr>
              <w:spacing w:before="60" w:after="20" w:line="288" w:lineRule="auto"/>
              <w:ind w:firstLine="0"/>
              <w:jc w:val="right"/>
              <w:rPr>
                <w:rFonts w:cs="Tahoma"/>
                <w:sz w:val="18"/>
                <w:szCs w:val="18"/>
              </w:rPr>
            </w:pPr>
            <w:r>
              <w:rPr>
                <w:rFonts w:cs="Tahoma"/>
                <w:sz w:val="18"/>
                <w:szCs w:val="18"/>
              </w:rPr>
              <w:t>18</w:t>
            </w:r>
          </w:p>
        </w:tc>
        <w:tc>
          <w:tcPr>
            <w:tcW w:w="1134" w:type="dxa"/>
            <w:tcBorders>
              <w:top w:val="single" w:sz="4" w:space="0" w:color="auto"/>
              <w:left w:val="single" w:sz="4" w:space="0" w:color="auto"/>
              <w:bottom w:val="single" w:sz="4" w:space="0" w:color="auto"/>
              <w:right w:val="single" w:sz="4" w:space="0" w:color="auto"/>
            </w:tcBorders>
            <w:vAlign w:val="center"/>
          </w:tcPr>
          <w:p w14:paraId="7DC15622" w14:textId="36BACCFE" w:rsidR="003F4FA6" w:rsidRDefault="003F4FA6" w:rsidP="007777E1">
            <w:pPr>
              <w:spacing w:before="60" w:after="20" w:line="288" w:lineRule="auto"/>
              <w:ind w:firstLine="0"/>
              <w:jc w:val="right"/>
              <w:rPr>
                <w:rFonts w:cs="Tahoma"/>
                <w:sz w:val="18"/>
                <w:szCs w:val="18"/>
              </w:rPr>
            </w:pPr>
            <w:r>
              <w:rPr>
                <w:rFonts w:cs="Tahoma"/>
                <w:sz w:val="18"/>
                <w:szCs w:val="18"/>
              </w:rPr>
              <w:t>2018</w:t>
            </w:r>
          </w:p>
        </w:tc>
        <w:tc>
          <w:tcPr>
            <w:tcW w:w="850" w:type="dxa"/>
            <w:tcBorders>
              <w:top w:val="single" w:sz="4" w:space="0" w:color="auto"/>
              <w:left w:val="single" w:sz="4" w:space="0" w:color="auto"/>
              <w:bottom w:val="single" w:sz="4" w:space="0" w:color="auto"/>
              <w:right w:val="single" w:sz="4" w:space="0" w:color="auto"/>
            </w:tcBorders>
            <w:vAlign w:val="center"/>
          </w:tcPr>
          <w:p w14:paraId="7D1249D0" w14:textId="3757025E" w:rsidR="003F4FA6" w:rsidRDefault="003F4FA6" w:rsidP="007777E1">
            <w:pPr>
              <w:spacing w:before="60" w:after="20" w:line="288" w:lineRule="auto"/>
              <w:ind w:firstLine="0"/>
              <w:jc w:val="right"/>
              <w:rPr>
                <w:rFonts w:cs="Tahoma"/>
                <w:sz w:val="18"/>
                <w:szCs w:val="18"/>
              </w:rPr>
            </w:pPr>
            <w:r>
              <w:rPr>
                <w:rFonts w:cs="Tahoma"/>
                <w:sz w:val="18"/>
                <w:szCs w:val="18"/>
              </w:rPr>
              <w:t>140</w:t>
            </w:r>
          </w:p>
        </w:tc>
        <w:tc>
          <w:tcPr>
            <w:tcW w:w="1276" w:type="dxa"/>
            <w:tcBorders>
              <w:top w:val="single" w:sz="4" w:space="0" w:color="auto"/>
              <w:left w:val="single" w:sz="4" w:space="0" w:color="auto"/>
              <w:bottom w:val="single" w:sz="4" w:space="0" w:color="auto"/>
              <w:right w:val="single" w:sz="4" w:space="0" w:color="auto"/>
            </w:tcBorders>
            <w:vAlign w:val="center"/>
          </w:tcPr>
          <w:p w14:paraId="41A6AD51" w14:textId="28A65808" w:rsidR="003F4FA6" w:rsidRDefault="003F4FA6" w:rsidP="007777E1">
            <w:pPr>
              <w:spacing w:before="60" w:after="20" w:line="288" w:lineRule="auto"/>
              <w:ind w:firstLine="0"/>
              <w:jc w:val="right"/>
              <w:rPr>
                <w:rFonts w:cs="Tahoma"/>
                <w:sz w:val="18"/>
                <w:szCs w:val="18"/>
              </w:rPr>
            </w:pPr>
            <w:r>
              <w:rPr>
                <w:rFonts w:cs="Tahoma"/>
                <w:sz w:val="18"/>
                <w:szCs w:val="18"/>
              </w:rPr>
              <w:t>EURO VI</w:t>
            </w:r>
          </w:p>
        </w:tc>
        <w:tc>
          <w:tcPr>
            <w:tcW w:w="1000" w:type="dxa"/>
            <w:tcBorders>
              <w:top w:val="single" w:sz="4" w:space="0" w:color="auto"/>
              <w:left w:val="single" w:sz="4" w:space="0" w:color="auto"/>
              <w:bottom w:val="single" w:sz="4" w:space="0" w:color="auto"/>
              <w:right w:val="single" w:sz="4" w:space="0" w:color="auto"/>
            </w:tcBorders>
            <w:vAlign w:val="center"/>
          </w:tcPr>
          <w:p w14:paraId="3253E6E6" w14:textId="6226D887" w:rsidR="003F4FA6" w:rsidRDefault="003F4FA6" w:rsidP="007777E1">
            <w:pPr>
              <w:spacing w:before="60" w:after="20" w:line="288" w:lineRule="auto"/>
              <w:ind w:firstLine="0"/>
              <w:jc w:val="right"/>
              <w:rPr>
                <w:rFonts w:cs="Tahoma"/>
                <w:sz w:val="18"/>
                <w:szCs w:val="18"/>
              </w:rPr>
            </w:pPr>
            <w:r>
              <w:rPr>
                <w:rFonts w:cs="Tahoma"/>
                <w:sz w:val="18"/>
                <w:szCs w:val="18"/>
              </w:rPr>
              <w:t>Miasto</w:t>
            </w:r>
          </w:p>
        </w:tc>
      </w:tr>
      <w:tr w:rsidR="003F4FA6" w:rsidRPr="00561DCD" w14:paraId="2BF0E83C"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5C9797CF" w14:textId="540A0509" w:rsidR="003F4FA6" w:rsidRDefault="003F4FA6" w:rsidP="007777E1">
            <w:pPr>
              <w:spacing w:before="60" w:after="20" w:line="288" w:lineRule="auto"/>
              <w:ind w:firstLine="0"/>
              <w:jc w:val="center"/>
              <w:rPr>
                <w:rFonts w:cs="Tahoma"/>
                <w:sz w:val="18"/>
                <w:szCs w:val="18"/>
              </w:rPr>
            </w:pPr>
            <w:r>
              <w:rPr>
                <w:rFonts w:cs="Tahoma"/>
                <w:sz w:val="18"/>
                <w:szCs w:val="18"/>
              </w:rPr>
              <w:t>17</w:t>
            </w:r>
          </w:p>
        </w:tc>
        <w:tc>
          <w:tcPr>
            <w:tcW w:w="1984" w:type="dxa"/>
            <w:tcBorders>
              <w:top w:val="single" w:sz="4" w:space="0" w:color="auto"/>
              <w:left w:val="single" w:sz="4" w:space="0" w:color="auto"/>
              <w:bottom w:val="single" w:sz="4" w:space="0" w:color="auto"/>
              <w:right w:val="single" w:sz="4" w:space="0" w:color="auto"/>
            </w:tcBorders>
            <w:vAlign w:val="center"/>
          </w:tcPr>
          <w:p w14:paraId="3EA7D457" w14:textId="61EBBCEB" w:rsidR="003F4FA6" w:rsidRDefault="003F4FA6" w:rsidP="007777E1">
            <w:pPr>
              <w:spacing w:before="60" w:after="20" w:line="288" w:lineRule="auto"/>
              <w:ind w:firstLine="0"/>
              <w:jc w:val="left"/>
              <w:rPr>
                <w:rFonts w:cs="Tahoma"/>
                <w:sz w:val="18"/>
                <w:szCs w:val="18"/>
              </w:rPr>
            </w:pPr>
            <w:r>
              <w:rPr>
                <w:rFonts w:cs="Tahoma"/>
                <w:sz w:val="18"/>
                <w:szCs w:val="18"/>
              </w:rPr>
              <w:t>Solaris Urbino 12</w:t>
            </w:r>
            <w:r w:rsidR="00327703">
              <w:rPr>
                <w:rFonts w:cs="Tahoma"/>
                <w:sz w:val="18"/>
                <w:szCs w:val="18"/>
              </w:rPr>
              <w:br/>
            </w:r>
            <w:proofErr w:type="spellStart"/>
            <w:r>
              <w:rPr>
                <w:rFonts w:cs="Tahoma"/>
                <w:sz w:val="18"/>
                <w:szCs w:val="18"/>
              </w:rPr>
              <w:t>electric</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789D5E9" w14:textId="17F22B20" w:rsidR="003F4FA6" w:rsidRDefault="003F4FA6" w:rsidP="007777E1">
            <w:pPr>
              <w:spacing w:before="60" w:after="20" w:line="288" w:lineRule="auto"/>
              <w:ind w:firstLine="0"/>
              <w:jc w:val="center"/>
              <w:rPr>
                <w:rFonts w:cs="Tahoma"/>
                <w:sz w:val="18"/>
                <w:szCs w:val="18"/>
              </w:rPr>
            </w:pPr>
            <w:r>
              <w:rPr>
                <w:rFonts w:cs="Tahoma"/>
                <w:sz w:val="18"/>
                <w:szCs w:val="18"/>
              </w:rPr>
              <w:t>elektryczny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E0305A" w14:textId="344B4714" w:rsidR="003F4FA6" w:rsidRDefault="003F4FA6" w:rsidP="007777E1">
            <w:pPr>
              <w:spacing w:before="60" w:after="20" w:line="288" w:lineRule="auto"/>
              <w:ind w:firstLine="0"/>
              <w:jc w:val="right"/>
              <w:rPr>
                <w:rFonts w:cs="Tahoma"/>
                <w:sz w:val="18"/>
                <w:szCs w:val="18"/>
              </w:rPr>
            </w:pPr>
            <w:r>
              <w:rPr>
                <w:rFonts w:cs="Tahoma"/>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6CABA4F7" w14:textId="46F287B5" w:rsidR="003F4FA6" w:rsidRDefault="003F4FA6"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FE48162" w14:textId="614D027E" w:rsidR="003F4FA6" w:rsidRDefault="003F4FA6" w:rsidP="007777E1">
            <w:pPr>
              <w:spacing w:before="60" w:after="20" w:line="288" w:lineRule="auto"/>
              <w:ind w:firstLine="0"/>
              <w:jc w:val="right"/>
              <w:rPr>
                <w:rFonts w:cs="Tahoma"/>
                <w:sz w:val="18"/>
                <w:szCs w:val="18"/>
              </w:rPr>
            </w:pPr>
            <w:r>
              <w:rPr>
                <w:rFonts w:cs="Tahoma"/>
                <w:sz w:val="18"/>
                <w:szCs w:val="18"/>
              </w:rPr>
              <w:t>2018</w:t>
            </w:r>
          </w:p>
        </w:tc>
        <w:tc>
          <w:tcPr>
            <w:tcW w:w="850" w:type="dxa"/>
            <w:tcBorders>
              <w:top w:val="single" w:sz="4" w:space="0" w:color="auto"/>
              <w:left w:val="single" w:sz="4" w:space="0" w:color="auto"/>
              <w:bottom w:val="single" w:sz="4" w:space="0" w:color="auto"/>
              <w:right w:val="single" w:sz="4" w:space="0" w:color="auto"/>
            </w:tcBorders>
            <w:vAlign w:val="center"/>
          </w:tcPr>
          <w:p w14:paraId="4C444493" w14:textId="62659083" w:rsidR="003F4FA6" w:rsidRDefault="003F4FA6" w:rsidP="007777E1">
            <w:pPr>
              <w:spacing w:before="60" w:after="20" w:line="288" w:lineRule="auto"/>
              <w:ind w:firstLine="0"/>
              <w:jc w:val="right"/>
              <w:rPr>
                <w:rFonts w:cs="Tahoma"/>
                <w:sz w:val="18"/>
                <w:szCs w:val="18"/>
              </w:rPr>
            </w:pPr>
            <w:r>
              <w:rPr>
                <w:rFonts w:cs="Tahoma"/>
                <w:sz w:val="18"/>
                <w:szCs w:val="18"/>
              </w:rPr>
              <w:t>78</w:t>
            </w:r>
          </w:p>
        </w:tc>
        <w:tc>
          <w:tcPr>
            <w:tcW w:w="1276" w:type="dxa"/>
            <w:tcBorders>
              <w:top w:val="single" w:sz="4" w:space="0" w:color="auto"/>
              <w:left w:val="single" w:sz="4" w:space="0" w:color="auto"/>
              <w:bottom w:val="single" w:sz="4" w:space="0" w:color="auto"/>
              <w:right w:val="single" w:sz="4" w:space="0" w:color="auto"/>
            </w:tcBorders>
            <w:vAlign w:val="center"/>
          </w:tcPr>
          <w:p w14:paraId="7207892D" w14:textId="406D1855" w:rsidR="003F4FA6" w:rsidRDefault="003F4FA6" w:rsidP="007777E1">
            <w:pPr>
              <w:spacing w:before="60" w:after="20" w:line="288" w:lineRule="auto"/>
              <w:ind w:firstLine="0"/>
              <w:jc w:val="right"/>
              <w:rPr>
                <w:rFonts w:cs="Tahoma"/>
                <w:sz w:val="18"/>
                <w:szCs w:val="18"/>
              </w:rPr>
            </w:pPr>
            <w:r>
              <w:rPr>
                <w:rFonts w:cs="Tahoma"/>
                <w:sz w:val="18"/>
                <w:szCs w:val="18"/>
              </w:rPr>
              <w:t>-</w:t>
            </w:r>
          </w:p>
        </w:tc>
        <w:tc>
          <w:tcPr>
            <w:tcW w:w="1000" w:type="dxa"/>
            <w:tcBorders>
              <w:top w:val="single" w:sz="4" w:space="0" w:color="auto"/>
              <w:left w:val="single" w:sz="4" w:space="0" w:color="auto"/>
              <w:bottom w:val="single" w:sz="4" w:space="0" w:color="auto"/>
              <w:right w:val="single" w:sz="4" w:space="0" w:color="auto"/>
            </w:tcBorders>
            <w:vAlign w:val="center"/>
          </w:tcPr>
          <w:p w14:paraId="26267205" w14:textId="75344CE3" w:rsidR="003F4FA6" w:rsidRDefault="003F4FA6" w:rsidP="007777E1">
            <w:pPr>
              <w:spacing w:before="60" w:after="20" w:line="288" w:lineRule="auto"/>
              <w:ind w:firstLine="0"/>
              <w:jc w:val="right"/>
              <w:rPr>
                <w:rFonts w:cs="Tahoma"/>
                <w:sz w:val="18"/>
                <w:szCs w:val="18"/>
              </w:rPr>
            </w:pPr>
            <w:r>
              <w:rPr>
                <w:rFonts w:cs="Tahoma"/>
                <w:sz w:val="18"/>
                <w:szCs w:val="18"/>
              </w:rPr>
              <w:t>Miasto</w:t>
            </w:r>
          </w:p>
        </w:tc>
      </w:tr>
      <w:tr w:rsidR="003F4FA6" w:rsidRPr="00561DCD" w14:paraId="39DEBD3E"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7761CBB4" w14:textId="310EC246" w:rsidR="003F4FA6" w:rsidRDefault="003F4FA6" w:rsidP="007777E1">
            <w:pPr>
              <w:spacing w:before="60" w:after="20" w:line="288" w:lineRule="auto"/>
              <w:ind w:firstLine="0"/>
              <w:jc w:val="center"/>
              <w:rPr>
                <w:rFonts w:cs="Tahoma"/>
                <w:sz w:val="18"/>
                <w:szCs w:val="18"/>
              </w:rPr>
            </w:pPr>
            <w:r>
              <w:rPr>
                <w:rFonts w:cs="Tahoma"/>
                <w:sz w:val="18"/>
                <w:szCs w:val="18"/>
              </w:rPr>
              <w:t>18</w:t>
            </w:r>
          </w:p>
        </w:tc>
        <w:tc>
          <w:tcPr>
            <w:tcW w:w="1984" w:type="dxa"/>
            <w:tcBorders>
              <w:top w:val="single" w:sz="4" w:space="0" w:color="auto"/>
              <w:left w:val="single" w:sz="4" w:space="0" w:color="auto"/>
              <w:bottom w:val="single" w:sz="4" w:space="0" w:color="auto"/>
              <w:right w:val="single" w:sz="4" w:space="0" w:color="auto"/>
            </w:tcBorders>
            <w:vAlign w:val="center"/>
          </w:tcPr>
          <w:p w14:paraId="7DD09FCA" w14:textId="1FF6C07E" w:rsidR="003F4FA6" w:rsidRDefault="003F4FA6" w:rsidP="007777E1">
            <w:pPr>
              <w:spacing w:before="60" w:after="20" w:line="288" w:lineRule="auto"/>
              <w:ind w:firstLine="0"/>
              <w:jc w:val="left"/>
              <w:rPr>
                <w:rFonts w:cs="Tahoma"/>
                <w:sz w:val="18"/>
                <w:szCs w:val="18"/>
              </w:rPr>
            </w:pPr>
            <w:r>
              <w:rPr>
                <w:rFonts w:cs="Tahoma"/>
                <w:sz w:val="18"/>
                <w:szCs w:val="18"/>
              </w:rPr>
              <w:t>Autosan M12LF CNG</w:t>
            </w:r>
          </w:p>
        </w:tc>
        <w:tc>
          <w:tcPr>
            <w:tcW w:w="851" w:type="dxa"/>
            <w:tcBorders>
              <w:top w:val="single" w:sz="4" w:space="0" w:color="auto"/>
              <w:left w:val="single" w:sz="4" w:space="0" w:color="auto"/>
              <w:bottom w:val="single" w:sz="4" w:space="0" w:color="auto"/>
              <w:right w:val="single" w:sz="4" w:space="0" w:color="auto"/>
            </w:tcBorders>
            <w:vAlign w:val="center"/>
          </w:tcPr>
          <w:p w14:paraId="478EFBB3" w14:textId="584369B4" w:rsidR="003F4FA6" w:rsidRDefault="003F4FA6"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5ACA7B" w14:textId="4A7C53D0" w:rsidR="003F4FA6" w:rsidRDefault="003F4FA6" w:rsidP="007777E1">
            <w:pPr>
              <w:spacing w:before="60" w:after="20" w:line="288" w:lineRule="auto"/>
              <w:ind w:firstLine="0"/>
              <w:jc w:val="right"/>
              <w:rPr>
                <w:rFonts w:cs="Tahoma"/>
                <w:sz w:val="18"/>
                <w:szCs w:val="18"/>
              </w:rPr>
            </w:pPr>
            <w:r>
              <w:rPr>
                <w:rFonts w:cs="Tahoma"/>
                <w:sz w:val="18"/>
                <w:szCs w:val="18"/>
              </w:rPr>
              <w:t>40</w:t>
            </w:r>
          </w:p>
        </w:tc>
        <w:tc>
          <w:tcPr>
            <w:tcW w:w="851" w:type="dxa"/>
            <w:tcBorders>
              <w:top w:val="single" w:sz="4" w:space="0" w:color="auto"/>
              <w:left w:val="single" w:sz="4" w:space="0" w:color="auto"/>
              <w:bottom w:val="single" w:sz="4" w:space="0" w:color="auto"/>
              <w:right w:val="single" w:sz="4" w:space="0" w:color="auto"/>
            </w:tcBorders>
            <w:vAlign w:val="center"/>
          </w:tcPr>
          <w:p w14:paraId="5D16C353" w14:textId="1EA8303A" w:rsidR="003F4FA6" w:rsidRDefault="003F4FA6"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4D501D8B" w14:textId="0B0B45AA" w:rsidR="003F4FA6" w:rsidRDefault="003F4FA6" w:rsidP="007777E1">
            <w:pPr>
              <w:spacing w:before="60" w:after="20" w:line="288" w:lineRule="auto"/>
              <w:ind w:firstLine="0"/>
              <w:jc w:val="right"/>
              <w:rPr>
                <w:rFonts w:cs="Tahoma"/>
                <w:sz w:val="18"/>
                <w:szCs w:val="18"/>
              </w:rPr>
            </w:pPr>
            <w:r>
              <w:rPr>
                <w:rFonts w:cs="Tahoma"/>
                <w:sz w:val="18"/>
                <w:szCs w:val="18"/>
              </w:rPr>
              <w:t>2020</w:t>
            </w:r>
          </w:p>
        </w:tc>
        <w:tc>
          <w:tcPr>
            <w:tcW w:w="850" w:type="dxa"/>
            <w:tcBorders>
              <w:top w:val="single" w:sz="4" w:space="0" w:color="auto"/>
              <w:left w:val="single" w:sz="4" w:space="0" w:color="auto"/>
              <w:bottom w:val="single" w:sz="4" w:space="0" w:color="auto"/>
              <w:right w:val="single" w:sz="4" w:space="0" w:color="auto"/>
            </w:tcBorders>
            <w:vAlign w:val="center"/>
          </w:tcPr>
          <w:p w14:paraId="158A47E6" w14:textId="354ED67F" w:rsidR="003F4FA6" w:rsidRDefault="003F4FA6" w:rsidP="007777E1">
            <w:pPr>
              <w:spacing w:before="60" w:after="20" w:line="288" w:lineRule="auto"/>
              <w:ind w:firstLine="0"/>
              <w:jc w:val="right"/>
              <w:rPr>
                <w:rFonts w:cs="Tahoma"/>
                <w:sz w:val="18"/>
                <w:szCs w:val="18"/>
              </w:rPr>
            </w:pPr>
            <w:r>
              <w:rPr>
                <w:rFonts w:cs="Tahoma"/>
                <w:sz w:val="18"/>
                <w:szCs w:val="18"/>
              </w:rPr>
              <w:t>94</w:t>
            </w:r>
          </w:p>
        </w:tc>
        <w:tc>
          <w:tcPr>
            <w:tcW w:w="1276" w:type="dxa"/>
            <w:tcBorders>
              <w:top w:val="single" w:sz="4" w:space="0" w:color="auto"/>
              <w:left w:val="single" w:sz="4" w:space="0" w:color="auto"/>
              <w:bottom w:val="single" w:sz="4" w:space="0" w:color="auto"/>
              <w:right w:val="single" w:sz="4" w:space="0" w:color="auto"/>
            </w:tcBorders>
            <w:vAlign w:val="center"/>
          </w:tcPr>
          <w:p w14:paraId="74F4F355" w14:textId="72396D34" w:rsidR="003F4FA6" w:rsidRDefault="003F4FA6" w:rsidP="007777E1">
            <w:pPr>
              <w:spacing w:before="60" w:after="20" w:line="288" w:lineRule="auto"/>
              <w:ind w:firstLine="0"/>
              <w:jc w:val="right"/>
              <w:rPr>
                <w:rFonts w:cs="Tahoma"/>
                <w:sz w:val="18"/>
                <w:szCs w:val="18"/>
              </w:rPr>
            </w:pPr>
            <w:r>
              <w:rPr>
                <w:rFonts w:cs="Tahoma"/>
                <w:sz w:val="18"/>
                <w:szCs w:val="18"/>
              </w:rPr>
              <w:t>EURO VI</w:t>
            </w:r>
          </w:p>
        </w:tc>
        <w:tc>
          <w:tcPr>
            <w:tcW w:w="1000" w:type="dxa"/>
            <w:tcBorders>
              <w:top w:val="single" w:sz="4" w:space="0" w:color="auto"/>
              <w:left w:val="single" w:sz="4" w:space="0" w:color="auto"/>
              <w:bottom w:val="single" w:sz="4" w:space="0" w:color="auto"/>
              <w:right w:val="single" w:sz="4" w:space="0" w:color="auto"/>
            </w:tcBorders>
            <w:vAlign w:val="center"/>
          </w:tcPr>
          <w:p w14:paraId="7427E73B" w14:textId="6CDA3AB6" w:rsidR="003F4FA6" w:rsidRDefault="003F4FA6" w:rsidP="007777E1">
            <w:pPr>
              <w:spacing w:before="60" w:after="20" w:line="288" w:lineRule="auto"/>
              <w:ind w:firstLine="0"/>
              <w:jc w:val="right"/>
              <w:rPr>
                <w:rFonts w:cs="Tahoma"/>
                <w:sz w:val="18"/>
                <w:szCs w:val="18"/>
              </w:rPr>
            </w:pPr>
            <w:r>
              <w:rPr>
                <w:rFonts w:cs="Tahoma"/>
                <w:sz w:val="18"/>
                <w:szCs w:val="18"/>
              </w:rPr>
              <w:t>Miasto</w:t>
            </w:r>
          </w:p>
        </w:tc>
      </w:tr>
      <w:tr w:rsidR="008C47E6" w:rsidRPr="00561DCD" w14:paraId="026700D0"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vAlign w:val="center"/>
          </w:tcPr>
          <w:p w14:paraId="2E17D3BE" w14:textId="673F8BF3" w:rsidR="008C47E6" w:rsidRPr="00561DCD" w:rsidRDefault="003F4FA6" w:rsidP="007777E1">
            <w:pPr>
              <w:spacing w:before="60" w:after="20" w:line="288" w:lineRule="auto"/>
              <w:ind w:firstLine="0"/>
              <w:jc w:val="center"/>
              <w:rPr>
                <w:rFonts w:cs="Tahoma"/>
                <w:sz w:val="18"/>
                <w:szCs w:val="18"/>
              </w:rPr>
            </w:pPr>
            <w:r>
              <w:rPr>
                <w:rFonts w:cs="Tahoma"/>
                <w:sz w:val="18"/>
                <w:szCs w:val="18"/>
              </w:rPr>
              <w:t>19</w:t>
            </w:r>
          </w:p>
        </w:tc>
        <w:tc>
          <w:tcPr>
            <w:tcW w:w="1984" w:type="dxa"/>
            <w:tcBorders>
              <w:top w:val="single" w:sz="4" w:space="0" w:color="auto"/>
              <w:left w:val="single" w:sz="4" w:space="0" w:color="auto"/>
              <w:bottom w:val="single" w:sz="4" w:space="0" w:color="auto"/>
              <w:right w:val="single" w:sz="4" w:space="0" w:color="auto"/>
            </w:tcBorders>
            <w:vAlign w:val="center"/>
          </w:tcPr>
          <w:p w14:paraId="6322F49E" w14:textId="5E966C81" w:rsidR="008C47E6" w:rsidRPr="00561DCD" w:rsidRDefault="003F4FA6" w:rsidP="007777E1">
            <w:pPr>
              <w:spacing w:before="60" w:after="20" w:line="288" w:lineRule="auto"/>
              <w:ind w:firstLine="0"/>
              <w:jc w:val="left"/>
              <w:rPr>
                <w:rFonts w:cs="Tahoma"/>
                <w:sz w:val="18"/>
                <w:szCs w:val="18"/>
              </w:rPr>
            </w:pPr>
            <w:r>
              <w:rPr>
                <w:rFonts w:cs="Tahoma"/>
                <w:sz w:val="18"/>
                <w:szCs w:val="18"/>
              </w:rPr>
              <w:t>Autosan M12LF</w:t>
            </w:r>
          </w:p>
        </w:tc>
        <w:tc>
          <w:tcPr>
            <w:tcW w:w="851" w:type="dxa"/>
            <w:tcBorders>
              <w:top w:val="single" w:sz="4" w:space="0" w:color="auto"/>
              <w:left w:val="single" w:sz="4" w:space="0" w:color="auto"/>
              <w:bottom w:val="single" w:sz="4" w:space="0" w:color="auto"/>
              <w:right w:val="single" w:sz="4" w:space="0" w:color="auto"/>
            </w:tcBorders>
            <w:vAlign w:val="center"/>
          </w:tcPr>
          <w:p w14:paraId="4F0F2E02" w14:textId="4BCD732B" w:rsidR="008C47E6" w:rsidRPr="00561DCD" w:rsidRDefault="003F4FA6" w:rsidP="007777E1">
            <w:pPr>
              <w:spacing w:before="60" w:after="20" w:line="288" w:lineRule="auto"/>
              <w:ind w:firstLine="0"/>
              <w:jc w:val="center"/>
              <w:rPr>
                <w:rFonts w:cs="Tahoma"/>
                <w:sz w:val="18"/>
                <w:szCs w:val="18"/>
              </w:rPr>
            </w:pPr>
            <w:r>
              <w:rPr>
                <w:rFonts w:cs="Tahoma"/>
                <w:sz w:val="18"/>
                <w:szCs w:val="18"/>
              </w:rPr>
              <w:t>CNG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64F00D" w14:textId="2C878D2C" w:rsidR="008C47E6" w:rsidRPr="00561DCD" w:rsidRDefault="003F4FA6" w:rsidP="007777E1">
            <w:pPr>
              <w:spacing w:before="60" w:after="20" w:line="288" w:lineRule="auto"/>
              <w:ind w:firstLine="0"/>
              <w:jc w:val="right"/>
              <w:rPr>
                <w:rFonts w:cs="Tahoma"/>
                <w:sz w:val="18"/>
                <w:szCs w:val="18"/>
              </w:rPr>
            </w:pPr>
            <w:r>
              <w:rPr>
                <w:rFonts w:cs="Tahoma"/>
                <w:sz w:val="18"/>
                <w:szCs w:val="18"/>
              </w:rPr>
              <w:t>20</w:t>
            </w:r>
          </w:p>
        </w:tc>
        <w:tc>
          <w:tcPr>
            <w:tcW w:w="851" w:type="dxa"/>
            <w:tcBorders>
              <w:top w:val="single" w:sz="4" w:space="0" w:color="auto"/>
              <w:left w:val="single" w:sz="4" w:space="0" w:color="auto"/>
              <w:bottom w:val="single" w:sz="4" w:space="0" w:color="auto"/>
              <w:right w:val="single" w:sz="4" w:space="0" w:color="auto"/>
            </w:tcBorders>
            <w:vAlign w:val="center"/>
          </w:tcPr>
          <w:p w14:paraId="7F59D6B8" w14:textId="23C81E73" w:rsidR="008C47E6" w:rsidRPr="00561DCD" w:rsidRDefault="003F4FA6" w:rsidP="007777E1">
            <w:pPr>
              <w:spacing w:before="60" w:after="20" w:line="288" w:lineRule="auto"/>
              <w:ind w:firstLine="0"/>
              <w:jc w:val="right"/>
              <w:rPr>
                <w:rFonts w:cs="Tahoma"/>
                <w:sz w:val="18"/>
                <w:szCs w:val="18"/>
              </w:rPr>
            </w:pPr>
            <w:r>
              <w:rPr>
                <w:rFonts w:cs="Tahoma"/>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48F534C" w14:textId="4F44F5D9" w:rsidR="008C47E6" w:rsidRPr="00561DCD" w:rsidRDefault="003F4FA6" w:rsidP="007777E1">
            <w:pPr>
              <w:spacing w:before="60" w:after="20" w:line="288" w:lineRule="auto"/>
              <w:ind w:firstLine="0"/>
              <w:jc w:val="right"/>
              <w:rPr>
                <w:rFonts w:cs="Tahoma"/>
                <w:sz w:val="18"/>
                <w:szCs w:val="18"/>
              </w:rPr>
            </w:pPr>
            <w:r>
              <w:rPr>
                <w:rFonts w:cs="Tahoma"/>
                <w:sz w:val="18"/>
                <w:szCs w:val="18"/>
              </w:rPr>
              <w:t>2021</w:t>
            </w:r>
          </w:p>
        </w:tc>
        <w:tc>
          <w:tcPr>
            <w:tcW w:w="850" w:type="dxa"/>
            <w:tcBorders>
              <w:top w:val="single" w:sz="4" w:space="0" w:color="auto"/>
              <w:left w:val="single" w:sz="4" w:space="0" w:color="auto"/>
              <w:bottom w:val="single" w:sz="4" w:space="0" w:color="auto"/>
              <w:right w:val="single" w:sz="4" w:space="0" w:color="auto"/>
            </w:tcBorders>
            <w:vAlign w:val="center"/>
          </w:tcPr>
          <w:p w14:paraId="797B4739" w14:textId="23985808" w:rsidR="008C47E6" w:rsidRPr="00561DCD" w:rsidRDefault="003F4FA6" w:rsidP="007777E1">
            <w:pPr>
              <w:spacing w:before="60" w:after="20" w:line="288" w:lineRule="auto"/>
              <w:ind w:firstLine="0"/>
              <w:jc w:val="right"/>
              <w:rPr>
                <w:rFonts w:cs="Tahoma"/>
                <w:sz w:val="18"/>
                <w:szCs w:val="18"/>
              </w:rPr>
            </w:pPr>
            <w:r>
              <w:rPr>
                <w:rFonts w:cs="Tahoma"/>
                <w:sz w:val="18"/>
                <w:szCs w:val="18"/>
              </w:rPr>
              <w:t>94</w:t>
            </w:r>
          </w:p>
        </w:tc>
        <w:tc>
          <w:tcPr>
            <w:tcW w:w="1276" w:type="dxa"/>
            <w:tcBorders>
              <w:top w:val="single" w:sz="4" w:space="0" w:color="auto"/>
              <w:left w:val="single" w:sz="4" w:space="0" w:color="auto"/>
              <w:bottom w:val="single" w:sz="4" w:space="0" w:color="auto"/>
              <w:right w:val="single" w:sz="4" w:space="0" w:color="auto"/>
            </w:tcBorders>
            <w:vAlign w:val="center"/>
          </w:tcPr>
          <w:p w14:paraId="6D889253" w14:textId="2D418547" w:rsidR="008C47E6" w:rsidRPr="00561DCD" w:rsidRDefault="003F4FA6" w:rsidP="007777E1">
            <w:pPr>
              <w:spacing w:before="60" w:after="20" w:line="288" w:lineRule="auto"/>
              <w:ind w:firstLine="0"/>
              <w:jc w:val="right"/>
              <w:rPr>
                <w:rFonts w:cs="Tahoma"/>
                <w:sz w:val="18"/>
                <w:szCs w:val="18"/>
              </w:rPr>
            </w:pPr>
            <w:r>
              <w:rPr>
                <w:rFonts w:cs="Tahoma"/>
                <w:sz w:val="18"/>
                <w:szCs w:val="18"/>
              </w:rPr>
              <w:t>EURO VI</w:t>
            </w:r>
          </w:p>
        </w:tc>
        <w:tc>
          <w:tcPr>
            <w:tcW w:w="1000" w:type="dxa"/>
            <w:tcBorders>
              <w:top w:val="single" w:sz="4" w:space="0" w:color="auto"/>
              <w:left w:val="single" w:sz="4" w:space="0" w:color="auto"/>
              <w:bottom w:val="single" w:sz="4" w:space="0" w:color="auto"/>
              <w:right w:val="single" w:sz="4" w:space="0" w:color="auto"/>
            </w:tcBorders>
            <w:vAlign w:val="center"/>
          </w:tcPr>
          <w:p w14:paraId="096853E4" w14:textId="11D82EC9" w:rsidR="008C47E6" w:rsidRPr="00561DCD" w:rsidRDefault="003F4FA6" w:rsidP="007777E1">
            <w:pPr>
              <w:spacing w:before="60" w:after="20" w:line="288" w:lineRule="auto"/>
              <w:ind w:firstLine="0"/>
              <w:jc w:val="right"/>
              <w:rPr>
                <w:rFonts w:cs="Tahoma"/>
                <w:sz w:val="18"/>
                <w:szCs w:val="18"/>
              </w:rPr>
            </w:pPr>
            <w:r>
              <w:rPr>
                <w:rFonts w:cs="Tahoma"/>
                <w:sz w:val="18"/>
                <w:szCs w:val="18"/>
              </w:rPr>
              <w:t>Miasto</w:t>
            </w:r>
          </w:p>
        </w:tc>
      </w:tr>
      <w:tr w:rsidR="00035535" w:rsidRPr="00561DCD" w14:paraId="4835E36A" w14:textId="77777777" w:rsidTr="00064BE1">
        <w:trPr>
          <w:cantSplit/>
          <w:jc w:val="center"/>
        </w:trPr>
        <w:tc>
          <w:tcPr>
            <w:tcW w:w="4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C768A8D" w14:textId="131AE9E1" w:rsidR="00035535" w:rsidRPr="00561DCD" w:rsidRDefault="00035535" w:rsidP="007777E1">
            <w:pPr>
              <w:spacing w:before="60" w:after="20" w:line="288" w:lineRule="auto"/>
              <w:ind w:firstLine="0"/>
              <w:jc w:val="center"/>
              <w:rPr>
                <w:rFonts w:cs="Tahoma"/>
                <w:b/>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AAE2334" w14:textId="22628664" w:rsidR="00035535" w:rsidRPr="00561DCD" w:rsidRDefault="00035535" w:rsidP="007777E1">
            <w:pPr>
              <w:spacing w:before="60" w:after="20" w:line="288" w:lineRule="auto"/>
              <w:ind w:firstLine="0"/>
              <w:jc w:val="left"/>
              <w:rPr>
                <w:rFonts w:cs="Tahoma"/>
                <w:b/>
                <w:sz w:val="18"/>
                <w:szCs w:val="18"/>
              </w:rPr>
            </w:pPr>
            <w:r w:rsidRPr="00561DCD">
              <w:rPr>
                <w:rFonts w:cs="Tahoma"/>
                <w:b/>
                <w:sz w:val="18"/>
                <w:szCs w:val="18"/>
              </w:rPr>
              <w:t>Ogółem</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58975E2" w14:textId="7D8D6680" w:rsidR="00035535" w:rsidRPr="003F4FA6" w:rsidRDefault="00035535" w:rsidP="003F4FA6">
            <w:pPr>
              <w:spacing w:before="60" w:after="20" w:line="288" w:lineRule="auto"/>
              <w:ind w:firstLine="0"/>
              <w:jc w:val="center"/>
              <w:rPr>
                <w:rFonts w:cs="Tahoma"/>
                <w:b/>
                <w:sz w:val="17"/>
                <w:szCs w:val="17"/>
              </w:rPr>
            </w:pPr>
            <w:r w:rsidRPr="003F4FA6">
              <w:rPr>
                <w:rFonts w:cs="Tahoma"/>
                <w:b/>
                <w:sz w:val="17"/>
                <w:szCs w:val="17"/>
              </w:rPr>
              <w:t>ON</w:t>
            </w:r>
            <w:r w:rsidR="00EB3C1F" w:rsidRPr="003F4FA6">
              <w:rPr>
                <w:rFonts w:cs="Tahoma"/>
                <w:b/>
                <w:sz w:val="17"/>
                <w:szCs w:val="17"/>
              </w:rPr>
              <w:t>/CNG</w:t>
            </w:r>
            <w:r w:rsidR="003F4FA6" w:rsidRPr="003F4FA6">
              <w:rPr>
                <w:rFonts w:cs="Tahoma"/>
                <w:b/>
                <w:sz w:val="17"/>
                <w:szCs w:val="17"/>
              </w:rPr>
              <w:br/>
            </w:r>
            <w:proofErr w:type="spellStart"/>
            <w:r w:rsidR="003F4FA6" w:rsidRPr="003F4FA6">
              <w:rPr>
                <w:rFonts w:cs="Tahoma"/>
                <w:b/>
                <w:sz w:val="17"/>
                <w:szCs w:val="17"/>
              </w:rPr>
              <w:t>elektr</w:t>
            </w:r>
            <w:proofErr w:type="spellEnd"/>
            <w:r w:rsidR="003F4FA6" w:rsidRPr="003F4FA6">
              <w:rPr>
                <w:rFonts w:cs="Tahoma"/>
                <w:b/>
                <w:sz w:val="17"/>
                <w:szCs w:val="17"/>
              </w:rPr>
              <w:t>.</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57C1979" w14:textId="2D87904A" w:rsidR="00035535" w:rsidRPr="00561DCD" w:rsidRDefault="003F4FA6" w:rsidP="007777E1">
            <w:pPr>
              <w:spacing w:before="60" w:after="20" w:line="288" w:lineRule="auto"/>
              <w:ind w:firstLine="0"/>
              <w:jc w:val="right"/>
              <w:rPr>
                <w:rFonts w:cs="Tahoma"/>
                <w:b/>
                <w:sz w:val="18"/>
                <w:szCs w:val="18"/>
              </w:rPr>
            </w:pPr>
            <w:r>
              <w:rPr>
                <w:rFonts w:cs="Tahoma"/>
                <w:b/>
                <w:sz w:val="18"/>
                <w:szCs w:val="18"/>
              </w:rPr>
              <w:t>226</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4E9FD8B" w14:textId="44B7345C" w:rsidR="00035535" w:rsidRPr="00561DCD" w:rsidRDefault="003F4FA6" w:rsidP="007777E1">
            <w:pPr>
              <w:spacing w:before="60" w:after="20" w:line="288" w:lineRule="auto"/>
              <w:ind w:firstLine="0"/>
              <w:jc w:val="right"/>
              <w:rPr>
                <w:rFonts w:cs="Tahoma"/>
                <w:b/>
                <w:sz w:val="18"/>
                <w:szCs w:val="18"/>
              </w:rPr>
            </w:pPr>
            <w:r>
              <w:rPr>
                <w:rFonts w:cs="Tahoma"/>
                <w:b/>
                <w:sz w:val="18"/>
                <w:szCs w:val="18"/>
              </w:rPr>
              <w:t>7,8-18</w:t>
            </w:r>
          </w:p>
        </w:tc>
        <w:tc>
          <w:tcPr>
            <w:tcW w:w="113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FB07505" w14:textId="43608038" w:rsidR="00035535" w:rsidRPr="00561DCD" w:rsidRDefault="003F4FA6" w:rsidP="007777E1">
            <w:pPr>
              <w:spacing w:before="60" w:after="20" w:line="288" w:lineRule="auto"/>
              <w:ind w:firstLine="0"/>
              <w:jc w:val="right"/>
              <w:rPr>
                <w:rFonts w:cs="Tahoma"/>
                <w:b/>
                <w:sz w:val="18"/>
                <w:szCs w:val="18"/>
              </w:rPr>
            </w:pPr>
            <w:r>
              <w:rPr>
                <w:rFonts w:cs="Tahoma"/>
                <w:b/>
                <w:sz w:val="18"/>
                <w:szCs w:val="18"/>
              </w:rPr>
              <w:t>1999-2021</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F860B25" w14:textId="6823B32B" w:rsidR="00035535" w:rsidRPr="00561DCD" w:rsidRDefault="003F4FA6" w:rsidP="007777E1">
            <w:pPr>
              <w:spacing w:before="60" w:after="20" w:line="288" w:lineRule="auto"/>
              <w:ind w:firstLine="0"/>
              <w:jc w:val="right"/>
              <w:rPr>
                <w:rFonts w:cs="Tahoma"/>
                <w:b/>
                <w:sz w:val="18"/>
                <w:szCs w:val="18"/>
              </w:rPr>
            </w:pPr>
            <w:r>
              <w:rPr>
                <w:rFonts w:cs="Tahoma"/>
                <w:b/>
                <w:sz w:val="18"/>
                <w:szCs w:val="18"/>
              </w:rPr>
              <w:t>44-140</w:t>
            </w:r>
          </w:p>
        </w:tc>
        <w:tc>
          <w:tcPr>
            <w:tcW w:w="127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F8D5AEE" w14:textId="37F2F2B9" w:rsidR="00035535" w:rsidRPr="00561DCD" w:rsidRDefault="003F4FA6" w:rsidP="007777E1">
            <w:pPr>
              <w:spacing w:before="60" w:after="20" w:line="288" w:lineRule="auto"/>
              <w:ind w:firstLine="0"/>
              <w:jc w:val="right"/>
              <w:rPr>
                <w:rFonts w:cs="Tahoma"/>
                <w:b/>
                <w:sz w:val="18"/>
                <w:szCs w:val="18"/>
              </w:rPr>
            </w:pPr>
            <w:r>
              <w:rPr>
                <w:rFonts w:cs="Tahoma"/>
                <w:b/>
                <w:sz w:val="18"/>
                <w:szCs w:val="18"/>
              </w:rPr>
              <w:t>EURO II-VI/</w:t>
            </w:r>
            <w:r>
              <w:rPr>
                <w:rFonts w:cs="Tahoma"/>
                <w:b/>
                <w:sz w:val="18"/>
                <w:szCs w:val="18"/>
              </w:rPr>
              <w:br/>
              <w:t>elektryczny</w:t>
            </w:r>
          </w:p>
        </w:tc>
        <w:tc>
          <w:tcPr>
            <w:tcW w:w="100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4666B79" w14:textId="7E35070E" w:rsidR="00035535" w:rsidRPr="00561DCD" w:rsidRDefault="00B5104D" w:rsidP="007777E1">
            <w:pPr>
              <w:spacing w:before="60" w:after="20" w:line="288" w:lineRule="auto"/>
              <w:ind w:firstLine="0"/>
              <w:jc w:val="right"/>
              <w:rPr>
                <w:rFonts w:cs="Tahoma"/>
                <w:b/>
                <w:sz w:val="18"/>
                <w:szCs w:val="18"/>
              </w:rPr>
            </w:pPr>
            <w:r w:rsidRPr="00561DCD">
              <w:rPr>
                <w:rFonts w:cs="Tahoma"/>
                <w:b/>
                <w:sz w:val="18"/>
                <w:szCs w:val="18"/>
              </w:rPr>
              <w:t>-</w:t>
            </w:r>
          </w:p>
        </w:tc>
      </w:tr>
    </w:tbl>
    <w:p w14:paraId="566226E8" w14:textId="00AE5FE5" w:rsidR="000C512A" w:rsidRPr="00821AF6" w:rsidRDefault="000C512A" w:rsidP="007777E1">
      <w:pPr>
        <w:spacing w:before="120" w:after="240"/>
        <w:ind w:firstLine="0"/>
        <w:jc w:val="left"/>
        <w:rPr>
          <w:rFonts w:cs="Tahoma"/>
          <w:sz w:val="20"/>
          <w:szCs w:val="20"/>
        </w:rPr>
      </w:pPr>
      <w:r w:rsidRPr="00561DCD">
        <w:rPr>
          <w:rFonts w:cs="Tahoma"/>
          <w:sz w:val="20"/>
          <w:szCs w:val="20"/>
        </w:rPr>
        <w:t xml:space="preserve">Źródło: dane </w:t>
      </w:r>
      <w:r w:rsidR="007777E1">
        <w:rPr>
          <w:rFonts w:cs="Tahoma"/>
          <w:sz w:val="20"/>
          <w:szCs w:val="20"/>
        </w:rPr>
        <w:t>ZTM w Rzeszowie</w:t>
      </w:r>
      <w:r w:rsidR="00CF3775" w:rsidRPr="00561DCD">
        <w:rPr>
          <w:rFonts w:cs="Tahoma"/>
          <w:sz w:val="20"/>
          <w:szCs w:val="20"/>
        </w:rPr>
        <w:t>.</w:t>
      </w:r>
    </w:p>
    <w:bookmarkEnd w:id="36"/>
    <w:p w14:paraId="49058E1C" w14:textId="50629D49" w:rsidR="007608F0" w:rsidRPr="00821AF6" w:rsidRDefault="007608F0" w:rsidP="003F4FA6">
      <w:r w:rsidRPr="00821AF6">
        <w:t xml:space="preserve">Polityka odtwarzania taboru wykorzystywanego do przewozów w komunikacji miejskiej realizowana </w:t>
      </w:r>
      <w:r>
        <w:t>była</w:t>
      </w:r>
      <w:r w:rsidRPr="00821AF6">
        <w:t xml:space="preserve"> od wielu lat przez </w:t>
      </w:r>
      <w:r>
        <w:t>Miasto, które na</w:t>
      </w:r>
      <w:r w:rsidRPr="00821AF6">
        <w:t>by</w:t>
      </w:r>
      <w:r>
        <w:t>wa</w:t>
      </w:r>
      <w:r w:rsidRPr="00821AF6">
        <w:t>ło autobus</w:t>
      </w:r>
      <w:r>
        <w:t>y</w:t>
      </w:r>
      <w:r w:rsidRPr="00821AF6">
        <w:t>, przekaz</w:t>
      </w:r>
      <w:r>
        <w:t xml:space="preserve">ując je następnie </w:t>
      </w:r>
      <w:r w:rsidRPr="00821AF6">
        <w:t xml:space="preserve">do eksploatacji Spółce. </w:t>
      </w:r>
      <w:r>
        <w:t xml:space="preserve">W obecnej flocie pojazdów </w:t>
      </w:r>
      <w:r w:rsidR="00064BE1">
        <w:t xml:space="preserve">tylko </w:t>
      </w:r>
      <w:r w:rsidR="003F4FA6">
        <w:t>16% floty (36 autobusów)</w:t>
      </w:r>
      <w:r>
        <w:t xml:space="preserve"> jest własnością </w:t>
      </w:r>
      <w:r w:rsidR="00C73F5E">
        <w:t>MPK</w:t>
      </w:r>
      <w:r w:rsidR="003F4FA6">
        <w:t>-Rzeszów</w:t>
      </w:r>
      <w:r w:rsidR="00C73F5E">
        <w:t xml:space="preserve"> </w:t>
      </w:r>
      <w:r>
        <w:t>sp. z o.o.</w:t>
      </w:r>
    </w:p>
    <w:p w14:paraId="7DA8B2B0" w14:textId="39CEAD00" w:rsidR="00456339" w:rsidRPr="00821AF6" w:rsidRDefault="00456339" w:rsidP="00333F5B">
      <w:r w:rsidRPr="00821AF6">
        <w:t xml:space="preserve">Tabor, którym dysponuje </w:t>
      </w:r>
      <w:r w:rsidR="00C73F5E">
        <w:t xml:space="preserve">MPK </w:t>
      </w:r>
      <w:r w:rsidR="00265608">
        <w:t>d</w:t>
      </w:r>
      <w:r w:rsidR="00064BE1">
        <w:t>o</w:t>
      </w:r>
      <w:r w:rsidR="00265608">
        <w:t xml:space="preserve"> komunikacji miejskiej</w:t>
      </w:r>
      <w:r w:rsidR="00E801F0" w:rsidRPr="00821AF6">
        <w:t>,</w:t>
      </w:r>
      <w:r w:rsidRPr="00821AF6">
        <w:t xml:space="preserve"> jest </w:t>
      </w:r>
      <w:r w:rsidR="00BA15A2" w:rsidRPr="00821AF6">
        <w:t xml:space="preserve">obecnie </w:t>
      </w:r>
      <w:r w:rsidRPr="00821AF6">
        <w:t xml:space="preserve">zróżnicowany pod względem pojemności pasażerskiej. </w:t>
      </w:r>
      <w:r w:rsidR="00BA15A2" w:rsidRPr="00821AF6">
        <w:t>Park</w:t>
      </w:r>
      <w:r w:rsidRPr="00821AF6">
        <w:t xml:space="preserve"> taborow</w:t>
      </w:r>
      <w:r w:rsidR="00BA15A2" w:rsidRPr="00821AF6">
        <w:t>y</w:t>
      </w:r>
      <w:r w:rsidRPr="00821AF6">
        <w:t xml:space="preserve"> </w:t>
      </w:r>
      <w:r w:rsidR="00BA15A2" w:rsidRPr="00821AF6">
        <w:t xml:space="preserve">komunikacji miejskiej </w:t>
      </w:r>
      <w:r w:rsidRPr="00821AF6">
        <w:t>składa się z</w:t>
      </w:r>
      <w:r w:rsidR="001874DA">
        <w:t> </w:t>
      </w:r>
      <w:r w:rsidRPr="00821AF6">
        <w:t>autobusów o</w:t>
      </w:r>
      <w:r w:rsidR="00431201" w:rsidRPr="00821AF6">
        <w:t> </w:t>
      </w:r>
      <w:r w:rsidR="00E801F0" w:rsidRPr="00821AF6">
        <w:t xml:space="preserve">nominalnej </w:t>
      </w:r>
      <w:r w:rsidRPr="00821AF6">
        <w:t xml:space="preserve">pojemności </w:t>
      </w:r>
      <w:r w:rsidR="00170DD1" w:rsidRPr="00821AF6">
        <w:t xml:space="preserve">pasażerskiej </w:t>
      </w:r>
      <w:r w:rsidRPr="006E2A12">
        <w:t xml:space="preserve">od </w:t>
      </w:r>
      <w:r w:rsidR="003F4FA6">
        <w:t>44</w:t>
      </w:r>
      <w:r w:rsidRPr="006E2A12">
        <w:t xml:space="preserve"> do </w:t>
      </w:r>
      <w:r w:rsidR="00EB3C1F">
        <w:t>1</w:t>
      </w:r>
      <w:r w:rsidR="003F4FA6">
        <w:t>40</w:t>
      </w:r>
      <w:r w:rsidRPr="006E2A12">
        <w:t xml:space="preserve"> osób</w:t>
      </w:r>
      <w:r w:rsidR="00BA15A2" w:rsidRPr="006E2A12">
        <w:t xml:space="preserve">, </w:t>
      </w:r>
      <w:r w:rsidR="00E801F0" w:rsidRPr="006E2A12">
        <w:t xml:space="preserve">posiadających od </w:t>
      </w:r>
      <w:r w:rsidR="00333F5B">
        <w:t>19</w:t>
      </w:r>
      <w:r w:rsidR="00F851AB" w:rsidRPr="006E2A12">
        <w:t xml:space="preserve"> </w:t>
      </w:r>
      <w:r w:rsidR="00333F5B">
        <w:t>do 4</w:t>
      </w:r>
      <w:r w:rsidR="00EB3C1F">
        <w:t>2</w:t>
      </w:r>
      <w:r w:rsidR="00BA15A2" w:rsidRPr="006E2A12">
        <w:t xml:space="preserve"> miejsc siedzących</w:t>
      </w:r>
      <w:r w:rsidRPr="006E2A12">
        <w:t>.</w:t>
      </w:r>
    </w:p>
    <w:p w14:paraId="02211A98" w14:textId="4F9AC4D8" w:rsidR="00431201" w:rsidRPr="00821AF6" w:rsidRDefault="00431201" w:rsidP="00333F5B">
      <w:r w:rsidRPr="00821AF6">
        <w:t>W</w:t>
      </w:r>
      <w:r w:rsidR="006F3619" w:rsidRPr="00821AF6">
        <w:t>g</w:t>
      </w:r>
      <w:r w:rsidRPr="00821AF6">
        <w:t xml:space="preserve"> stanu na </w:t>
      </w:r>
      <w:r w:rsidR="00170DD1" w:rsidRPr="00821AF6">
        <w:t xml:space="preserve">dzień </w:t>
      </w:r>
      <w:r w:rsidR="00FF4839" w:rsidRPr="00FF4839">
        <w:t xml:space="preserve">30 października </w:t>
      </w:r>
      <w:r w:rsidR="00170DD1" w:rsidRPr="00821AF6">
        <w:t xml:space="preserve">2021 r. średni wiek taboru </w:t>
      </w:r>
      <w:r w:rsidR="00265608">
        <w:t xml:space="preserve">autobusowego </w:t>
      </w:r>
      <w:r w:rsidR="00C73F5E">
        <w:t>MPK</w:t>
      </w:r>
      <w:r w:rsidR="00333F5B">
        <w:t>-Rzeszów</w:t>
      </w:r>
      <w:r w:rsidR="00C73F5E">
        <w:t xml:space="preserve"> </w:t>
      </w:r>
      <w:r w:rsidR="00170DD1" w:rsidRPr="00821AF6">
        <w:t>s</w:t>
      </w:r>
      <w:r w:rsidR="006119BE" w:rsidRPr="00821AF6">
        <w:t>p. z</w:t>
      </w:r>
      <w:r w:rsidR="000C7444" w:rsidRPr="00821AF6">
        <w:t> </w:t>
      </w:r>
      <w:r w:rsidR="006119BE" w:rsidRPr="00821AF6">
        <w:t>o.o.</w:t>
      </w:r>
      <w:r w:rsidR="00170DD1" w:rsidRPr="00821AF6">
        <w:t xml:space="preserve"> </w:t>
      </w:r>
      <w:r w:rsidR="00187723">
        <w:t>był stosunkowo niski</w:t>
      </w:r>
      <w:r w:rsidR="00333F5B">
        <w:t xml:space="preserve"> i </w:t>
      </w:r>
      <w:r w:rsidR="006119BE" w:rsidRPr="00821AF6">
        <w:t xml:space="preserve">wynosił </w:t>
      </w:r>
      <w:r w:rsidR="00333F5B">
        <w:t>6,2</w:t>
      </w:r>
      <w:r w:rsidR="006119BE" w:rsidRPr="00821AF6">
        <w:t xml:space="preserve"> lat. </w:t>
      </w:r>
      <w:bookmarkStart w:id="37" w:name="_Hlk73392915"/>
      <w:r w:rsidR="00FB1B4C">
        <w:t>W</w:t>
      </w:r>
      <w:r w:rsidR="00064BE1">
        <w:t xml:space="preserve"> całej flocie </w:t>
      </w:r>
      <w:r w:rsidR="00333F5B">
        <w:t>34 autobusy były</w:t>
      </w:r>
      <w:r w:rsidR="00FB1B4C">
        <w:t xml:space="preserve"> </w:t>
      </w:r>
      <w:r w:rsidR="00064BE1">
        <w:t xml:space="preserve">już </w:t>
      </w:r>
      <w:r w:rsidR="00FB1B4C">
        <w:t>w</w:t>
      </w:r>
      <w:r w:rsidR="00650340">
        <w:t> </w:t>
      </w:r>
      <w:r w:rsidR="00FB1B4C">
        <w:t xml:space="preserve">wieku </w:t>
      </w:r>
      <w:r w:rsidR="00333F5B">
        <w:t xml:space="preserve">ponad </w:t>
      </w:r>
      <w:r w:rsidR="00FB1B4C">
        <w:t>10</w:t>
      </w:r>
      <w:r w:rsidR="006119BE" w:rsidRPr="00821AF6">
        <w:t xml:space="preserve"> lat </w:t>
      </w:r>
      <w:r w:rsidR="001874DA">
        <w:t>–</w:t>
      </w:r>
      <w:r w:rsidR="00170DD1" w:rsidRPr="00821AF6">
        <w:t xml:space="preserve"> </w:t>
      </w:r>
      <w:r w:rsidR="00FB1B4C">
        <w:t xml:space="preserve">stanowiły one </w:t>
      </w:r>
      <w:r w:rsidR="00333F5B">
        <w:t>15%</w:t>
      </w:r>
      <w:r w:rsidR="00FB1B4C">
        <w:t xml:space="preserve"> </w:t>
      </w:r>
      <w:r w:rsidR="001874DA">
        <w:t xml:space="preserve">stanu </w:t>
      </w:r>
      <w:r w:rsidR="00FB1B4C">
        <w:t>taboru</w:t>
      </w:r>
      <w:r w:rsidR="00064BE1">
        <w:t xml:space="preserve">, przy czym </w:t>
      </w:r>
      <w:r w:rsidR="00333F5B">
        <w:t>24</w:t>
      </w:r>
      <w:r w:rsidR="00E64A61">
        <w:t xml:space="preserve"> pojazdy </w:t>
      </w:r>
      <w:r w:rsidR="00333F5B">
        <w:t>były w wieku 15</w:t>
      </w:r>
      <w:r w:rsidR="00E64A61">
        <w:t xml:space="preserve"> lat </w:t>
      </w:r>
      <w:r w:rsidR="00333F5B">
        <w:t>lub starsze (10,6</w:t>
      </w:r>
      <w:r w:rsidR="00E64A61">
        <w:t>% floty)</w:t>
      </w:r>
      <w:r w:rsidR="00333F5B">
        <w:t>, w tym dwa autobusy przekroczyły wiek 20 lat (0,9%)</w:t>
      </w:r>
      <w:r w:rsidR="00E64A61">
        <w:t>.</w:t>
      </w:r>
      <w:bookmarkEnd w:id="37"/>
    </w:p>
    <w:p w14:paraId="2CEC3291" w14:textId="41AE8BFA" w:rsidR="00FF0338" w:rsidRDefault="00FF0338" w:rsidP="00333F5B">
      <w:r w:rsidRPr="00821AF6">
        <w:t xml:space="preserve">Strukturę taboru </w:t>
      </w:r>
      <w:r w:rsidR="00C73F5E">
        <w:t>rzeszowskie</w:t>
      </w:r>
      <w:r w:rsidR="00AE0C28">
        <w:t>j</w:t>
      </w:r>
      <w:r w:rsidR="00590098">
        <w:t xml:space="preserve"> </w:t>
      </w:r>
      <w:r w:rsidRPr="00821AF6">
        <w:t xml:space="preserve">komunikacji miejskiej w podziale na normy emisji spalin, wg stanu na dzień </w:t>
      </w:r>
      <w:r w:rsidR="00FF4839" w:rsidRPr="00FF4839">
        <w:t xml:space="preserve">30 października </w:t>
      </w:r>
      <w:r w:rsidRPr="00821AF6">
        <w:t>2021 r., przedstawiono w tabeli 4.</w:t>
      </w:r>
    </w:p>
    <w:p w14:paraId="7F2CB978" w14:textId="766BBD5E" w:rsidR="000C512A" w:rsidRPr="00821AF6" w:rsidRDefault="000C512A" w:rsidP="00333F5B">
      <w:pPr>
        <w:pStyle w:val="Legenda"/>
        <w:keepNext/>
        <w:spacing w:before="240" w:after="0"/>
        <w:ind w:firstLine="0"/>
        <w:jc w:val="left"/>
        <w:rPr>
          <w:color w:val="000000"/>
          <w:sz w:val="22"/>
          <w:szCs w:val="22"/>
        </w:rPr>
      </w:pPr>
      <w:r w:rsidRPr="00821AF6">
        <w:rPr>
          <w:color w:val="000000"/>
          <w:sz w:val="22"/>
          <w:szCs w:val="22"/>
        </w:rPr>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4</w:t>
      </w:r>
      <w:r w:rsidR="00B60ABE" w:rsidRPr="00821AF6">
        <w:rPr>
          <w:color w:val="000000"/>
          <w:sz w:val="22"/>
          <w:szCs w:val="22"/>
        </w:rPr>
        <w:fldChar w:fldCharType="end"/>
      </w:r>
      <w:r w:rsidRPr="00821AF6">
        <w:rPr>
          <w:color w:val="000000"/>
          <w:sz w:val="22"/>
          <w:szCs w:val="22"/>
        </w:rPr>
        <w:t xml:space="preserve">. Struktura taboru </w:t>
      </w:r>
      <w:r w:rsidR="00C73F5E">
        <w:rPr>
          <w:color w:val="000000"/>
          <w:sz w:val="22"/>
          <w:szCs w:val="22"/>
        </w:rPr>
        <w:t>rzeszowskie</w:t>
      </w:r>
      <w:r w:rsidR="00AE0C28">
        <w:rPr>
          <w:color w:val="000000"/>
          <w:sz w:val="22"/>
          <w:szCs w:val="22"/>
        </w:rPr>
        <w:t>j</w:t>
      </w:r>
      <w:r w:rsidR="00E64A61">
        <w:rPr>
          <w:color w:val="000000"/>
          <w:sz w:val="22"/>
          <w:szCs w:val="22"/>
        </w:rPr>
        <w:t xml:space="preserve"> </w:t>
      </w:r>
      <w:r w:rsidR="007D78DD" w:rsidRPr="00821AF6">
        <w:rPr>
          <w:color w:val="000000"/>
          <w:sz w:val="22"/>
          <w:szCs w:val="22"/>
        </w:rPr>
        <w:t xml:space="preserve">komunikacji miejskiej </w:t>
      </w:r>
      <w:r w:rsidRPr="00821AF6">
        <w:rPr>
          <w:color w:val="000000"/>
          <w:sz w:val="22"/>
          <w:szCs w:val="22"/>
        </w:rPr>
        <w:t>w podziale</w:t>
      </w:r>
      <w:r w:rsidR="00D31D10" w:rsidRPr="00821AF6">
        <w:rPr>
          <w:color w:val="000000"/>
          <w:sz w:val="22"/>
          <w:szCs w:val="22"/>
        </w:rPr>
        <w:br/>
      </w:r>
      <w:r w:rsidRPr="00821AF6">
        <w:rPr>
          <w:color w:val="000000"/>
          <w:sz w:val="22"/>
          <w:szCs w:val="22"/>
        </w:rPr>
        <w:t>na normy emisji spalin</w:t>
      </w:r>
      <w:r w:rsidR="007D78DD" w:rsidRPr="00821AF6">
        <w:rPr>
          <w:color w:val="000000"/>
          <w:sz w:val="22"/>
          <w:szCs w:val="22"/>
        </w:rPr>
        <w:t xml:space="preserve"> </w:t>
      </w:r>
      <w:r w:rsidR="00424924" w:rsidRPr="00821AF6">
        <w:rPr>
          <w:color w:val="000000"/>
          <w:sz w:val="22"/>
          <w:szCs w:val="22"/>
        </w:rPr>
        <w:t xml:space="preserve">– stan na </w:t>
      </w:r>
      <w:r w:rsidR="00FF4839" w:rsidRPr="00FF4839">
        <w:rPr>
          <w:color w:val="000000"/>
          <w:sz w:val="22"/>
          <w:szCs w:val="22"/>
        </w:rPr>
        <w:t xml:space="preserve">30 października </w:t>
      </w:r>
      <w:r w:rsidR="007D78DD" w:rsidRPr="00821AF6">
        <w:rPr>
          <w:color w:val="000000"/>
          <w:sz w:val="22"/>
          <w:szCs w:val="22"/>
        </w:rPr>
        <w:t>2</w:t>
      </w:r>
      <w:r w:rsidR="0047389C" w:rsidRPr="00821AF6">
        <w:rPr>
          <w:color w:val="000000"/>
          <w:sz w:val="22"/>
          <w:szCs w:val="22"/>
        </w:rPr>
        <w:t>021</w:t>
      </w:r>
      <w:r w:rsidR="00424924" w:rsidRPr="00821AF6">
        <w:rPr>
          <w:color w:val="000000"/>
          <w:sz w:val="22"/>
          <w:szCs w:val="22"/>
        </w:rPr>
        <w:t xml:space="preserve"> r.</w:t>
      </w:r>
    </w:p>
    <w:tbl>
      <w:tblPr>
        <w:tblStyle w:val="Tabela-Siatka3"/>
        <w:tblW w:w="9072" w:type="dxa"/>
        <w:tblLayout w:type="fixed"/>
        <w:tblLook w:val="04A0" w:firstRow="1" w:lastRow="0" w:firstColumn="1" w:lastColumn="0" w:noHBand="0" w:noVBand="1"/>
      </w:tblPr>
      <w:tblGrid>
        <w:gridCol w:w="2122"/>
        <w:gridCol w:w="992"/>
        <w:gridCol w:w="992"/>
        <w:gridCol w:w="992"/>
        <w:gridCol w:w="992"/>
        <w:gridCol w:w="992"/>
        <w:gridCol w:w="993"/>
        <w:gridCol w:w="997"/>
      </w:tblGrid>
      <w:tr w:rsidR="00D31D10" w:rsidRPr="00821AF6" w14:paraId="231A3227" w14:textId="77777777" w:rsidTr="00333F5B">
        <w:tc>
          <w:tcPr>
            <w:tcW w:w="2122" w:type="dxa"/>
            <w:vMerge w:val="restart"/>
            <w:shd w:val="clear" w:color="auto" w:fill="FFFF99"/>
            <w:vAlign w:val="center"/>
          </w:tcPr>
          <w:p w14:paraId="71D43075" w14:textId="5F2AF260" w:rsidR="00D31D10" w:rsidRPr="00821AF6" w:rsidRDefault="00D31D10" w:rsidP="00333F5B">
            <w:pPr>
              <w:spacing w:before="60" w:after="20" w:line="288" w:lineRule="auto"/>
              <w:ind w:firstLine="0"/>
              <w:jc w:val="center"/>
              <w:rPr>
                <w:rFonts w:cs="Tahoma"/>
                <w:b/>
                <w:sz w:val="20"/>
                <w:szCs w:val="20"/>
              </w:rPr>
            </w:pPr>
            <w:r w:rsidRPr="00821AF6">
              <w:rPr>
                <w:rFonts w:cs="Tahoma"/>
                <w:b/>
                <w:sz w:val="20"/>
                <w:szCs w:val="20"/>
              </w:rPr>
              <w:t>Wyszczególnienie</w:t>
            </w:r>
          </w:p>
        </w:tc>
        <w:tc>
          <w:tcPr>
            <w:tcW w:w="992" w:type="dxa"/>
            <w:vMerge w:val="restart"/>
            <w:shd w:val="clear" w:color="auto" w:fill="FFFF99"/>
            <w:vAlign w:val="center"/>
          </w:tcPr>
          <w:p w14:paraId="7453E479" w14:textId="29D3FB6F" w:rsidR="00D31D10" w:rsidRPr="00821AF6" w:rsidRDefault="00E64A61" w:rsidP="00333F5B">
            <w:pPr>
              <w:spacing w:before="60" w:after="20" w:line="288" w:lineRule="auto"/>
              <w:ind w:firstLine="0"/>
              <w:jc w:val="center"/>
              <w:rPr>
                <w:rFonts w:cs="Tahoma"/>
                <w:b/>
                <w:sz w:val="20"/>
                <w:szCs w:val="20"/>
              </w:rPr>
            </w:pPr>
            <w:r>
              <w:rPr>
                <w:rFonts w:cs="Tahoma"/>
                <w:b/>
                <w:sz w:val="20"/>
                <w:szCs w:val="20"/>
              </w:rPr>
              <w:t>Jednostka</w:t>
            </w:r>
          </w:p>
        </w:tc>
        <w:tc>
          <w:tcPr>
            <w:tcW w:w="4961" w:type="dxa"/>
            <w:gridSpan w:val="5"/>
            <w:shd w:val="clear" w:color="auto" w:fill="FFFF99"/>
            <w:vAlign w:val="center"/>
          </w:tcPr>
          <w:p w14:paraId="5170EC6B" w14:textId="5298424F" w:rsidR="00D31D10" w:rsidRPr="00821AF6" w:rsidRDefault="00D31D10" w:rsidP="00333F5B">
            <w:pPr>
              <w:spacing w:before="60" w:after="20" w:line="288" w:lineRule="auto"/>
              <w:ind w:firstLine="0"/>
              <w:jc w:val="center"/>
              <w:rPr>
                <w:rFonts w:cs="Tahoma"/>
                <w:b/>
                <w:sz w:val="20"/>
                <w:szCs w:val="20"/>
              </w:rPr>
            </w:pPr>
            <w:r w:rsidRPr="00821AF6">
              <w:rPr>
                <w:rFonts w:cs="Tahoma"/>
                <w:b/>
                <w:sz w:val="20"/>
                <w:szCs w:val="20"/>
              </w:rPr>
              <w:t>Norma czystości spalin EURO</w:t>
            </w:r>
          </w:p>
        </w:tc>
        <w:tc>
          <w:tcPr>
            <w:tcW w:w="997" w:type="dxa"/>
            <w:vMerge w:val="restart"/>
            <w:shd w:val="clear" w:color="auto" w:fill="FFFF99"/>
            <w:vAlign w:val="center"/>
          </w:tcPr>
          <w:p w14:paraId="742AA573" w14:textId="77777777" w:rsidR="00D31D10" w:rsidRPr="00821AF6" w:rsidRDefault="00D31D10" w:rsidP="00333F5B">
            <w:pPr>
              <w:spacing w:before="60" w:after="20" w:line="288" w:lineRule="auto"/>
              <w:ind w:firstLine="0"/>
              <w:jc w:val="center"/>
              <w:rPr>
                <w:rFonts w:cs="Tahoma"/>
                <w:b/>
                <w:sz w:val="20"/>
                <w:szCs w:val="20"/>
              </w:rPr>
            </w:pPr>
            <w:r w:rsidRPr="00821AF6">
              <w:rPr>
                <w:rFonts w:cs="Tahoma"/>
                <w:b/>
                <w:sz w:val="20"/>
                <w:szCs w:val="20"/>
              </w:rPr>
              <w:t>Razem</w:t>
            </w:r>
          </w:p>
        </w:tc>
      </w:tr>
      <w:tr w:rsidR="00333F5B" w:rsidRPr="00821AF6" w14:paraId="30C1C668" w14:textId="77777777" w:rsidTr="00333F5B">
        <w:tc>
          <w:tcPr>
            <w:tcW w:w="2122" w:type="dxa"/>
            <w:vMerge/>
            <w:shd w:val="clear" w:color="auto" w:fill="FFFF99"/>
            <w:vAlign w:val="center"/>
          </w:tcPr>
          <w:p w14:paraId="3F02C1EF" w14:textId="77777777" w:rsidR="00333F5B" w:rsidRPr="00821AF6" w:rsidRDefault="00333F5B" w:rsidP="00333F5B">
            <w:pPr>
              <w:spacing w:before="60" w:after="20" w:line="288" w:lineRule="auto"/>
              <w:ind w:firstLine="0"/>
              <w:jc w:val="center"/>
              <w:rPr>
                <w:rFonts w:cs="Tahoma"/>
                <w:b/>
                <w:sz w:val="20"/>
                <w:szCs w:val="20"/>
              </w:rPr>
            </w:pPr>
          </w:p>
        </w:tc>
        <w:tc>
          <w:tcPr>
            <w:tcW w:w="992" w:type="dxa"/>
            <w:vMerge/>
            <w:shd w:val="clear" w:color="auto" w:fill="FFFF99"/>
            <w:vAlign w:val="center"/>
          </w:tcPr>
          <w:p w14:paraId="67D6B767" w14:textId="77777777" w:rsidR="00333F5B" w:rsidRPr="00821AF6" w:rsidRDefault="00333F5B" w:rsidP="00333F5B">
            <w:pPr>
              <w:spacing w:before="60" w:after="20" w:line="288" w:lineRule="auto"/>
              <w:ind w:firstLine="0"/>
              <w:jc w:val="center"/>
              <w:rPr>
                <w:rFonts w:cs="Tahoma"/>
                <w:b/>
                <w:sz w:val="20"/>
                <w:szCs w:val="20"/>
              </w:rPr>
            </w:pPr>
          </w:p>
        </w:tc>
        <w:tc>
          <w:tcPr>
            <w:tcW w:w="992" w:type="dxa"/>
            <w:shd w:val="clear" w:color="auto" w:fill="FFFF99"/>
            <w:vAlign w:val="center"/>
          </w:tcPr>
          <w:p w14:paraId="7BF362B7" w14:textId="1C7D9CA8" w:rsidR="00333F5B" w:rsidRPr="00821AF6" w:rsidRDefault="00333F5B" w:rsidP="00333F5B">
            <w:pPr>
              <w:spacing w:before="60" w:after="20" w:line="288" w:lineRule="auto"/>
              <w:ind w:firstLine="0"/>
              <w:jc w:val="center"/>
              <w:rPr>
                <w:rFonts w:cs="Tahoma"/>
                <w:b/>
                <w:sz w:val="20"/>
                <w:szCs w:val="20"/>
              </w:rPr>
            </w:pPr>
            <w:r w:rsidRPr="00821AF6">
              <w:rPr>
                <w:rFonts w:cs="Tahoma"/>
                <w:b/>
                <w:sz w:val="20"/>
                <w:szCs w:val="20"/>
              </w:rPr>
              <w:t>II</w:t>
            </w:r>
          </w:p>
        </w:tc>
        <w:tc>
          <w:tcPr>
            <w:tcW w:w="992" w:type="dxa"/>
            <w:shd w:val="clear" w:color="auto" w:fill="FFFF99"/>
            <w:vAlign w:val="center"/>
          </w:tcPr>
          <w:p w14:paraId="3346D27F" w14:textId="19FEBA16" w:rsidR="00333F5B" w:rsidRPr="00821AF6" w:rsidRDefault="00333F5B" w:rsidP="00333F5B">
            <w:pPr>
              <w:spacing w:before="60" w:after="20" w:line="288" w:lineRule="auto"/>
              <w:ind w:firstLine="0"/>
              <w:jc w:val="center"/>
              <w:rPr>
                <w:rFonts w:cs="Tahoma"/>
                <w:b/>
                <w:sz w:val="20"/>
                <w:szCs w:val="20"/>
              </w:rPr>
            </w:pPr>
            <w:r w:rsidRPr="00821AF6">
              <w:rPr>
                <w:rFonts w:cs="Tahoma"/>
                <w:b/>
                <w:sz w:val="20"/>
                <w:szCs w:val="20"/>
              </w:rPr>
              <w:t>I</w:t>
            </w:r>
            <w:r>
              <w:rPr>
                <w:rFonts w:cs="Tahoma"/>
                <w:b/>
                <w:sz w:val="20"/>
                <w:szCs w:val="20"/>
              </w:rPr>
              <w:t>II</w:t>
            </w:r>
          </w:p>
        </w:tc>
        <w:tc>
          <w:tcPr>
            <w:tcW w:w="992" w:type="dxa"/>
            <w:shd w:val="clear" w:color="auto" w:fill="FFFF99"/>
            <w:vAlign w:val="center"/>
          </w:tcPr>
          <w:p w14:paraId="3F061114" w14:textId="0EAFF38B" w:rsidR="00333F5B" w:rsidRPr="00821AF6" w:rsidRDefault="00333F5B" w:rsidP="00333F5B">
            <w:pPr>
              <w:spacing w:before="60" w:after="20" w:line="288" w:lineRule="auto"/>
              <w:ind w:firstLine="0"/>
              <w:jc w:val="center"/>
              <w:rPr>
                <w:rFonts w:cs="Tahoma"/>
                <w:b/>
                <w:sz w:val="20"/>
                <w:szCs w:val="20"/>
              </w:rPr>
            </w:pPr>
            <w:r>
              <w:rPr>
                <w:rFonts w:cs="Tahoma"/>
                <w:b/>
                <w:sz w:val="20"/>
                <w:szCs w:val="20"/>
              </w:rPr>
              <w:t>EEV</w:t>
            </w:r>
          </w:p>
        </w:tc>
        <w:tc>
          <w:tcPr>
            <w:tcW w:w="992" w:type="dxa"/>
            <w:shd w:val="clear" w:color="auto" w:fill="FFFF99"/>
            <w:vAlign w:val="center"/>
          </w:tcPr>
          <w:p w14:paraId="0D9D5120" w14:textId="77777777" w:rsidR="00333F5B" w:rsidRPr="00821AF6" w:rsidRDefault="00333F5B" w:rsidP="00333F5B">
            <w:pPr>
              <w:spacing w:before="60" w:after="20" w:line="288" w:lineRule="auto"/>
              <w:ind w:firstLine="0"/>
              <w:jc w:val="center"/>
              <w:rPr>
                <w:rFonts w:cs="Tahoma"/>
                <w:b/>
                <w:sz w:val="20"/>
                <w:szCs w:val="20"/>
              </w:rPr>
            </w:pPr>
            <w:r w:rsidRPr="00821AF6">
              <w:rPr>
                <w:rFonts w:cs="Tahoma"/>
                <w:b/>
                <w:sz w:val="20"/>
                <w:szCs w:val="20"/>
              </w:rPr>
              <w:t>VI</w:t>
            </w:r>
          </w:p>
        </w:tc>
        <w:tc>
          <w:tcPr>
            <w:tcW w:w="993" w:type="dxa"/>
            <w:shd w:val="clear" w:color="auto" w:fill="FFFF99"/>
            <w:vAlign w:val="center"/>
          </w:tcPr>
          <w:p w14:paraId="6CEC276A" w14:textId="0ADDFEC2" w:rsidR="00333F5B" w:rsidRPr="00333F5B" w:rsidRDefault="00333F5B" w:rsidP="00333F5B">
            <w:pPr>
              <w:spacing w:before="60" w:after="20" w:line="288" w:lineRule="auto"/>
              <w:ind w:firstLine="0"/>
              <w:jc w:val="center"/>
              <w:rPr>
                <w:rFonts w:cs="Tahoma"/>
                <w:b/>
                <w:sz w:val="18"/>
                <w:szCs w:val="18"/>
              </w:rPr>
            </w:pPr>
            <w:r w:rsidRPr="00333F5B">
              <w:rPr>
                <w:rFonts w:cs="Tahoma"/>
                <w:b/>
                <w:sz w:val="18"/>
                <w:szCs w:val="18"/>
              </w:rPr>
              <w:t>elektryczne</w:t>
            </w:r>
          </w:p>
        </w:tc>
        <w:tc>
          <w:tcPr>
            <w:tcW w:w="997" w:type="dxa"/>
            <w:vMerge/>
            <w:shd w:val="clear" w:color="auto" w:fill="FFFF99"/>
            <w:vAlign w:val="center"/>
          </w:tcPr>
          <w:p w14:paraId="3AB0EEB1" w14:textId="77777777" w:rsidR="00333F5B" w:rsidRPr="00821AF6" w:rsidRDefault="00333F5B" w:rsidP="00333F5B">
            <w:pPr>
              <w:spacing w:before="60" w:after="20" w:line="288" w:lineRule="auto"/>
              <w:ind w:firstLine="0"/>
              <w:jc w:val="center"/>
              <w:rPr>
                <w:rFonts w:cs="Tahoma"/>
                <w:b/>
                <w:sz w:val="20"/>
                <w:szCs w:val="20"/>
              </w:rPr>
            </w:pPr>
          </w:p>
        </w:tc>
      </w:tr>
      <w:tr w:rsidR="00333F5B" w:rsidRPr="00821AF6" w14:paraId="76F04F85" w14:textId="77777777" w:rsidTr="00333F5B">
        <w:tc>
          <w:tcPr>
            <w:tcW w:w="2122" w:type="dxa"/>
          </w:tcPr>
          <w:p w14:paraId="14E54FE9" w14:textId="473B7E0A" w:rsidR="00333F5B" w:rsidRPr="00821AF6" w:rsidRDefault="00333F5B" w:rsidP="00333F5B">
            <w:pPr>
              <w:spacing w:before="60" w:after="20" w:line="288" w:lineRule="auto"/>
              <w:ind w:firstLine="0"/>
              <w:jc w:val="left"/>
              <w:rPr>
                <w:rFonts w:cs="Tahoma"/>
                <w:sz w:val="20"/>
                <w:szCs w:val="20"/>
              </w:rPr>
            </w:pPr>
            <w:r w:rsidRPr="00821AF6">
              <w:rPr>
                <w:rFonts w:cs="Tahoma"/>
                <w:sz w:val="20"/>
                <w:szCs w:val="20"/>
              </w:rPr>
              <w:t xml:space="preserve">Liczba pojazdów </w:t>
            </w:r>
          </w:p>
        </w:tc>
        <w:tc>
          <w:tcPr>
            <w:tcW w:w="992" w:type="dxa"/>
          </w:tcPr>
          <w:p w14:paraId="3C37661A" w14:textId="77777777" w:rsidR="00333F5B" w:rsidRPr="00821AF6" w:rsidRDefault="00333F5B" w:rsidP="00333F5B">
            <w:pPr>
              <w:spacing w:before="60" w:after="20" w:line="288" w:lineRule="auto"/>
              <w:ind w:firstLine="0"/>
              <w:jc w:val="center"/>
              <w:rPr>
                <w:rFonts w:cs="Tahoma"/>
                <w:sz w:val="20"/>
                <w:szCs w:val="20"/>
              </w:rPr>
            </w:pPr>
            <w:r w:rsidRPr="00821AF6">
              <w:rPr>
                <w:rFonts w:cs="Tahoma"/>
                <w:sz w:val="20"/>
                <w:szCs w:val="20"/>
              </w:rPr>
              <w:t>szt.</w:t>
            </w:r>
          </w:p>
        </w:tc>
        <w:tc>
          <w:tcPr>
            <w:tcW w:w="992" w:type="dxa"/>
            <w:vAlign w:val="center"/>
          </w:tcPr>
          <w:p w14:paraId="7CF8F1B1" w14:textId="346D8375" w:rsidR="00333F5B" w:rsidRPr="00BD2007" w:rsidRDefault="00333F5B" w:rsidP="00333F5B">
            <w:pPr>
              <w:spacing w:before="60" w:after="20" w:line="288" w:lineRule="auto"/>
              <w:ind w:firstLine="0"/>
              <w:jc w:val="right"/>
              <w:rPr>
                <w:rFonts w:cs="Tahoma"/>
                <w:sz w:val="20"/>
                <w:szCs w:val="20"/>
              </w:rPr>
            </w:pPr>
            <w:r>
              <w:rPr>
                <w:rFonts w:cs="Tahoma"/>
                <w:sz w:val="20"/>
                <w:szCs w:val="20"/>
              </w:rPr>
              <w:t>2</w:t>
            </w:r>
          </w:p>
        </w:tc>
        <w:tc>
          <w:tcPr>
            <w:tcW w:w="992" w:type="dxa"/>
            <w:vAlign w:val="center"/>
          </w:tcPr>
          <w:p w14:paraId="3454BFB9" w14:textId="58A6DD91" w:rsidR="00333F5B" w:rsidRPr="000D3943" w:rsidRDefault="00333F5B" w:rsidP="00333F5B">
            <w:pPr>
              <w:spacing w:before="60" w:after="20" w:line="288" w:lineRule="auto"/>
              <w:ind w:firstLine="0"/>
              <w:jc w:val="right"/>
              <w:rPr>
                <w:rFonts w:cs="Tahoma"/>
                <w:sz w:val="20"/>
                <w:szCs w:val="20"/>
              </w:rPr>
            </w:pPr>
            <w:r>
              <w:rPr>
                <w:rFonts w:cs="Tahoma"/>
                <w:sz w:val="20"/>
                <w:szCs w:val="20"/>
              </w:rPr>
              <w:t>32</w:t>
            </w:r>
          </w:p>
        </w:tc>
        <w:tc>
          <w:tcPr>
            <w:tcW w:w="992" w:type="dxa"/>
            <w:vAlign w:val="center"/>
          </w:tcPr>
          <w:p w14:paraId="324BF29A" w14:textId="303D4F56" w:rsidR="00333F5B" w:rsidRPr="000D3943" w:rsidRDefault="00333F5B" w:rsidP="00333F5B">
            <w:pPr>
              <w:spacing w:before="60" w:after="20" w:line="288" w:lineRule="auto"/>
              <w:ind w:firstLine="0"/>
              <w:jc w:val="right"/>
              <w:rPr>
                <w:rFonts w:cs="Tahoma"/>
                <w:sz w:val="20"/>
                <w:szCs w:val="20"/>
              </w:rPr>
            </w:pPr>
            <w:r>
              <w:rPr>
                <w:rFonts w:cs="Tahoma"/>
                <w:sz w:val="20"/>
                <w:szCs w:val="20"/>
              </w:rPr>
              <w:t>110</w:t>
            </w:r>
          </w:p>
        </w:tc>
        <w:tc>
          <w:tcPr>
            <w:tcW w:w="992" w:type="dxa"/>
            <w:vAlign w:val="center"/>
          </w:tcPr>
          <w:p w14:paraId="6849CF58" w14:textId="72E8961A" w:rsidR="00333F5B" w:rsidRPr="00BD2007" w:rsidRDefault="00333F5B" w:rsidP="00333F5B">
            <w:pPr>
              <w:spacing w:before="60" w:after="20" w:line="288" w:lineRule="auto"/>
              <w:ind w:firstLine="0"/>
              <w:jc w:val="right"/>
              <w:rPr>
                <w:rFonts w:cs="Tahoma"/>
                <w:sz w:val="20"/>
                <w:szCs w:val="20"/>
              </w:rPr>
            </w:pPr>
            <w:r>
              <w:rPr>
                <w:rFonts w:cs="Tahoma"/>
                <w:sz w:val="20"/>
                <w:szCs w:val="20"/>
              </w:rPr>
              <w:t>72</w:t>
            </w:r>
          </w:p>
        </w:tc>
        <w:tc>
          <w:tcPr>
            <w:tcW w:w="993" w:type="dxa"/>
            <w:vAlign w:val="center"/>
          </w:tcPr>
          <w:p w14:paraId="666C9153" w14:textId="675B9C6C" w:rsidR="00333F5B" w:rsidRPr="00BD2007" w:rsidRDefault="00333F5B" w:rsidP="00333F5B">
            <w:pPr>
              <w:spacing w:before="60" w:after="20" w:line="288" w:lineRule="auto"/>
              <w:ind w:firstLine="0"/>
              <w:jc w:val="right"/>
              <w:rPr>
                <w:rFonts w:cs="Tahoma"/>
                <w:sz w:val="20"/>
                <w:szCs w:val="20"/>
              </w:rPr>
            </w:pPr>
            <w:r>
              <w:rPr>
                <w:rFonts w:cs="Tahoma"/>
                <w:sz w:val="20"/>
                <w:szCs w:val="20"/>
              </w:rPr>
              <w:t>10</w:t>
            </w:r>
          </w:p>
        </w:tc>
        <w:tc>
          <w:tcPr>
            <w:tcW w:w="997" w:type="dxa"/>
            <w:vAlign w:val="center"/>
          </w:tcPr>
          <w:p w14:paraId="6E100081" w14:textId="432F5890" w:rsidR="00333F5B" w:rsidRPr="00821AF6" w:rsidRDefault="00333F5B" w:rsidP="00333F5B">
            <w:pPr>
              <w:spacing w:before="60" w:after="20" w:line="288" w:lineRule="auto"/>
              <w:ind w:firstLine="0"/>
              <w:jc w:val="right"/>
              <w:rPr>
                <w:rFonts w:cs="Tahoma"/>
                <w:sz w:val="20"/>
                <w:szCs w:val="20"/>
              </w:rPr>
            </w:pPr>
            <w:r>
              <w:rPr>
                <w:rFonts w:cs="Tahoma"/>
                <w:sz w:val="20"/>
                <w:szCs w:val="20"/>
              </w:rPr>
              <w:t>226</w:t>
            </w:r>
          </w:p>
        </w:tc>
      </w:tr>
      <w:tr w:rsidR="00333F5B" w:rsidRPr="00821AF6" w14:paraId="288FDF10" w14:textId="77777777" w:rsidTr="00333F5B">
        <w:tc>
          <w:tcPr>
            <w:tcW w:w="2122" w:type="dxa"/>
          </w:tcPr>
          <w:p w14:paraId="7C27887D" w14:textId="505F1402" w:rsidR="00333F5B" w:rsidRPr="00821AF6" w:rsidRDefault="00333F5B" w:rsidP="00333F5B">
            <w:pPr>
              <w:spacing w:before="60" w:after="20" w:line="288" w:lineRule="auto"/>
              <w:ind w:firstLine="0"/>
              <w:jc w:val="left"/>
              <w:rPr>
                <w:rFonts w:cs="Tahoma"/>
                <w:sz w:val="20"/>
                <w:szCs w:val="20"/>
              </w:rPr>
            </w:pPr>
            <w:r w:rsidRPr="00821AF6">
              <w:rPr>
                <w:rFonts w:cs="Tahoma"/>
                <w:sz w:val="20"/>
                <w:szCs w:val="20"/>
              </w:rPr>
              <w:t xml:space="preserve">Struktura </w:t>
            </w:r>
          </w:p>
        </w:tc>
        <w:tc>
          <w:tcPr>
            <w:tcW w:w="992" w:type="dxa"/>
          </w:tcPr>
          <w:p w14:paraId="13AC2843" w14:textId="77777777" w:rsidR="00333F5B" w:rsidRPr="00821AF6" w:rsidRDefault="00333F5B" w:rsidP="00333F5B">
            <w:pPr>
              <w:spacing w:before="60" w:after="20" w:line="288" w:lineRule="auto"/>
              <w:ind w:firstLine="0"/>
              <w:jc w:val="center"/>
              <w:rPr>
                <w:rFonts w:cs="Tahoma"/>
                <w:sz w:val="20"/>
                <w:szCs w:val="20"/>
              </w:rPr>
            </w:pPr>
            <w:r w:rsidRPr="00821AF6">
              <w:rPr>
                <w:rFonts w:cs="Tahoma"/>
                <w:sz w:val="20"/>
                <w:szCs w:val="20"/>
              </w:rPr>
              <w:t>%</w:t>
            </w:r>
          </w:p>
        </w:tc>
        <w:tc>
          <w:tcPr>
            <w:tcW w:w="992" w:type="dxa"/>
            <w:vAlign w:val="center"/>
          </w:tcPr>
          <w:p w14:paraId="191A6D0D" w14:textId="4B025E07" w:rsidR="00333F5B" w:rsidRPr="00BD2007" w:rsidRDefault="00333F5B" w:rsidP="00333F5B">
            <w:pPr>
              <w:spacing w:before="60" w:after="20" w:line="288" w:lineRule="auto"/>
              <w:ind w:firstLine="0"/>
              <w:jc w:val="right"/>
              <w:rPr>
                <w:rFonts w:cs="Tahoma"/>
                <w:sz w:val="20"/>
                <w:szCs w:val="20"/>
              </w:rPr>
            </w:pPr>
            <w:r>
              <w:rPr>
                <w:rFonts w:cs="Tahoma"/>
                <w:sz w:val="20"/>
                <w:szCs w:val="20"/>
              </w:rPr>
              <w:t>0,9</w:t>
            </w:r>
          </w:p>
        </w:tc>
        <w:tc>
          <w:tcPr>
            <w:tcW w:w="992" w:type="dxa"/>
            <w:vAlign w:val="center"/>
          </w:tcPr>
          <w:p w14:paraId="4E9147C3" w14:textId="6D0FEEBA" w:rsidR="00333F5B" w:rsidRPr="000D3943" w:rsidRDefault="00333F5B" w:rsidP="00333F5B">
            <w:pPr>
              <w:spacing w:before="60" w:after="20" w:line="288" w:lineRule="auto"/>
              <w:ind w:firstLine="0"/>
              <w:jc w:val="right"/>
              <w:rPr>
                <w:rFonts w:cs="Tahoma"/>
                <w:sz w:val="20"/>
                <w:szCs w:val="20"/>
              </w:rPr>
            </w:pPr>
            <w:r>
              <w:rPr>
                <w:rFonts w:cs="Tahoma"/>
                <w:sz w:val="20"/>
                <w:szCs w:val="20"/>
              </w:rPr>
              <w:t>14,2</w:t>
            </w:r>
          </w:p>
        </w:tc>
        <w:tc>
          <w:tcPr>
            <w:tcW w:w="992" w:type="dxa"/>
            <w:vAlign w:val="center"/>
          </w:tcPr>
          <w:p w14:paraId="367AF13C" w14:textId="00583E7A" w:rsidR="00333F5B" w:rsidRPr="000D3943" w:rsidRDefault="00333F5B" w:rsidP="00333F5B">
            <w:pPr>
              <w:spacing w:before="60" w:after="20" w:line="288" w:lineRule="auto"/>
              <w:ind w:firstLine="0"/>
              <w:jc w:val="right"/>
              <w:rPr>
                <w:rFonts w:cs="Tahoma"/>
                <w:sz w:val="20"/>
                <w:szCs w:val="20"/>
              </w:rPr>
            </w:pPr>
            <w:r>
              <w:rPr>
                <w:rFonts w:cs="Tahoma"/>
                <w:sz w:val="20"/>
                <w:szCs w:val="20"/>
              </w:rPr>
              <w:t>48,7</w:t>
            </w:r>
          </w:p>
        </w:tc>
        <w:tc>
          <w:tcPr>
            <w:tcW w:w="992" w:type="dxa"/>
            <w:vAlign w:val="center"/>
          </w:tcPr>
          <w:p w14:paraId="65494A2D" w14:textId="3B0DE8AC" w:rsidR="00333F5B" w:rsidRPr="00BD2007" w:rsidRDefault="00333F5B" w:rsidP="00333F5B">
            <w:pPr>
              <w:spacing w:before="60" w:after="20" w:line="288" w:lineRule="auto"/>
              <w:ind w:firstLine="0"/>
              <w:jc w:val="right"/>
              <w:rPr>
                <w:rFonts w:cs="Tahoma"/>
                <w:sz w:val="20"/>
                <w:szCs w:val="20"/>
              </w:rPr>
            </w:pPr>
            <w:r>
              <w:rPr>
                <w:rFonts w:cs="Tahoma"/>
                <w:sz w:val="20"/>
                <w:szCs w:val="20"/>
              </w:rPr>
              <w:t>31,9</w:t>
            </w:r>
          </w:p>
        </w:tc>
        <w:tc>
          <w:tcPr>
            <w:tcW w:w="993" w:type="dxa"/>
            <w:vAlign w:val="center"/>
          </w:tcPr>
          <w:p w14:paraId="0A9205F5" w14:textId="1FA3E51B" w:rsidR="00333F5B" w:rsidRPr="00BD2007" w:rsidRDefault="00333F5B" w:rsidP="00333F5B">
            <w:pPr>
              <w:spacing w:before="60" w:after="20" w:line="288" w:lineRule="auto"/>
              <w:ind w:firstLine="0"/>
              <w:jc w:val="right"/>
              <w:rPr>
                <w:rFonts w:cs="Tahoma"/>
                <w:sz w:val="20"/>
                <w:szCs w:val="20"/>
              </w:rPr>
            </w:pPr>
            <w:r>
              <w:rPr>
                <w:rFonts w:cs="Tahoma"/>
                <w:sz w:val="20"/>
                <w:szCs w:val="20"/>
              </w:rPr>
              <w:t>4,4</w:t>
            </w:r>
          </w:p>
        </w:tc>
        <w:tc>
          <w:tcPr>
            <w:tcW w:w="997" w:type="dxa"/>
            <w:vAlign w:val="center"/>
          </w:tcPr>
          <w:p w14:paraId="1EFB44EC" w14:textId="7B983C1D" w:rsidR="00333F5B" w:rsidRPr="00821AF6" w:rsidRDefault="00333F5B" w:rsidP="00333F5B">
            <w:pPr>
              <w:spacing w:before="60" w:after="20" w:line="288" w:lineRule="auto"/>
              <w:ind w:firstLine="0"/>
              <w:jc w:val="right"/>
              <w:rPr>
                <w:rFonts w:cs="Tahoma"/>
                <w:sz w:val="20"/>
                <w:szCs w:val="20"/>
              </w:rPr>
            </w:pPr>
            <w:r w:rsidRPr="00821AF6">
              <w:rPr>
                <w:rFonts w:cs="Tahoma"/>
                <w:sz w:val="20"/>
                <w:szCs w:val="20"/>
              </w:rPr>
              <w:t>100,0</w:t>
            </w:r>
          </w:p>
        </w:tc>
      </w:tr>
    </w:tbl>
    <w:p w14:paraId="326D2DAC" w14:textId="70E857CF" w:rsidR="000C512A" w:rsidRPr="00821AF6" w:rsidRDefault="000C512A" w:rsidP="00333F5B">
      <w:pPr>
        <w:spacing w:before="120" w:after="240"/>
        <w:ind w:firstLine="0"/>
        <w:jc w:val="left"/>
        <w:rPr>
          <w:rFonts w:cs="Tahoma"/>
          <w:sz w:val="20"/>
          <w:szCs w:val="20"/>
        </w:rPr>
      </w:pPr>
      <w:r w:rsidRPr="00821AF6">
        <w:rPr>
          <w:rFonts w:cs="Tahoma"/>
          <w:sz w:val="20"/>
          <w:szCs w:val="20"/>
        </w:rPr>
        <w:t xml:space="preserve">Źródło: </w:t>
      </w:r>
      <w:r w:rsidR="00447065" w:rsidRPr="00821AF6">
        <w:rPr>
          <w:rFonts w:cs="Tahoma"/>
          <w:sz w:val="20"/>
          <w:szCs w:val="20"/>
        </w:rPr>
        <w:t>d</w:t>
      </w:r>
      <w:r w:rsidRPr="00821AF6">
        <w:rPr>
          <w:rFonts w:cs="Tahoma"/>
          <w:sz w:val="20"/>
          <w:szCs w:val="20"/>
        </w:rPr>
        <w:t xml:space="preserve">ane </w:t>
      </w:r>
      <w:r w:rsidR="00333F5B">
        <w:rPr>
          <w:rFonts w:cs="Tahoma"/>
          <w:sz w:val="20"/>
          <w:szCs w:val="20"/>
        </w:rPr>
        <w:t>ZTM w Rzeszowie</w:t>
      </w:r>
      <w:r w:rsidR="0047389C" w:rsidRPr="00821AF6">
        <w:rPr>
          <w:rFonts w:cs="Tahoma"/>
          <w:sz w:val="20"/>
          <w:szCs w:val="20"/>
        </w:rPr>
        <w:t>.</w:t>
      </w:r>
    </w:p>
    <w:p w14:paraId="701BDBA2" w14:textId="77777777" w:rsidR="00333F5B" w:rsidRPr="00821AF6" w:rsidRDefault="00333F5B" w:rsidP="00333F5B">
      <w:r w:rsidRPr="00821AF6">
        <w:lastRenderedPageBreak/>
        <w:t xml:space="preserve">W ostatnich </w:t>
      </w:r>
      <w:r>
        <w:t xml:space="preserve">dwóch </w:t>
      </w:r>
      <w:r w:rsidRPr="00821AF6">
        <w:t xml:space="preserve">latach średnia liczba pojazdów w ruchu była </w:t>
      </w:r>
      <w:r>
        <w:t xml:space="preserve">w zasadzie </w:t>
      </w:r>
      <w:r w:rsidRPr="00821AF6">
        <w:t xml:space="preserve">stała i wynosiła </w:t>
      </w:r>
      <w:r>
        <w:t>183 sztuki.</w:t>
      </w:r>
    </w:p>
    <w:p w14:paraId="386BBEFC" w14:textId="2FF6E568" w:rsidR="003A6C6F" w:rsidRDefault="0094018D" w:rsidP="007444FF">
      <w:r>
        <w:t>Względnie wysoki s</w:t>
      </w:r>
      <w:r w:rsidR="00F72B62" w:rsidRPr="005B56E6">
        <w:t xml:space="preserve">tan ilościowy taboru </w:t>
      </w:r>
      <w:r w:rsidR="00C73F5E">
        <w:t>rzeszowskie</w:t>
      </w:r>
      <w:r w:rsidR="00F72B62" w:rsidRPr="005B56E6">
        <w:t xml:space="preserve">j </w:t>
      </w:r>
      <w:r w:rsidR="00333F5B">
        <w:t>komunikacji miejskiej na dzień 3</w:t>
      </w:r>
      <w:r w:rsidR="00F72B62" w:rsidRPr="005B56E6">
        <w:t xml:space="preserve">0 </w:t>
      </w:r>
      <w:r w:rsidR="00333F5B">
        <w:t>października</w:t>
      </w:r>
      <w:r w:rsidR="00F72B62" w:rsidRPr="005B56E6">
        <w:t xml:space="preserve"> 2021 r. </w:t>
      </w:r>
      <w:r>
        <w:t xml:space="preserve">w stosunku do liczby pojazdów w ruchu, </w:t>
      </w:r>
      <w:r w:rsidR="00F72B62" w:rsidRPr="005B56E6">
        <w:t>wynika</w:t>
      </w:r>
      <w:r>
        <w:t>ł</w:t>
      </w:r>
      <w:r w:rsidR="00F72B62" w:rsidRPr="005B56E6">
        <w:t xml:space="preserve"> </w:t>
      </w:r>
      <w:r w:rsidR="004E7309">
        <w:t xml:space="preserve">m.in. </w:t>
      </w:r>
      <w:r w:rsidR="00F72B62" w:rsidRPr="005B56E6">
        <w:t xml:space="preserve">z przyjęcia do eksploatacji </w:t>
      </w:r>
      <w:r w:rsidR="007444FF">
        <w:t>20</w:t>
      </w:r>
      <w:r w:rsidR="00CB3B94" w:rsidRPr="005B56E6">
        <w:t xml:space="preserve"> </w:t>
      </w:r>
      <w:r w:rsidR="00F72B62" w:rsidRPr="005B56E6">
        <w:t>nowych pojazdów zakupionych ze wsparciem środkami pomocowymi Unii Europejskiej, zasilanych spręż</w:t>
      </w:r>
      <w:r w:rsidR="00CB3B94" w:rsidRPr="005B56E6">
        <w:t xml:space="preserve">onym gazem ziemnym, przy </w:t>
      </w:r>
      <w:r>
        <w:t xml:space="preserve">jednoczesnym </w:t>
      </w:r>
      <w:r w:rsidR="00CB3B94" w:rsidRPr="005B56E6">
        <w:t>braku wycofania z</w:t>
      </w:r>
      <w:r>
        <w:t>e</w:t>
      </w:r>
      <w:r w:rsidR="00650340">
        <w:t> </w:t>
      </w:r>
      <w:r>
        <w:t xml:space="preserve">stanu </w:t>
      </w:r>
      <w:r w:rsidR="007444FF">
        <w:t xml:space="preserve">adekwatnej liczby </w:t>
      </w:r>
      <w:r w:rsidR="00CB3B94" w:rsidRPr="005B56E6">
        <w:t>autobusów dotychczas eks</w:t>
      </w:r>
      <w:r w:rsidR="003A6C6F">
        <w:t>ploatowanych.</w:t>
      </w:r>
    </w:p>
    <w:p w14:paraId="5FC0C9D1" w14:textId="04FB129F" w:rsidR="00F72B62" w:rsidRDefault="003A6C6F" w:rsidP="007444FF">
      <w:r w:rsidRPr="004E7309">
        <w:rPr>
          <w:rFonts w:cs="Tahoma"/>
          <w:szCs w:val="22"/>
        </w:rPr>
        <w:t>W okresie analizy przyjęto, z uwagi na przewi</w:t>
      </w:r>
      <w:r w:rsidR="007444FF">
        <w:rPr>
          <w:rFonts w:cs="Tahoma"/>
          <w:szCs w:val="22"/>
        </w:rPr>
        <w:t>dywaną</w:t>
      </w:r>
      <w:r w:rsidRPr="004E7309">
        <w:rPr>
          <w:rFonts w:cs="Tahoma"/>
          <w:szCs w:val="22"/>
        </w:rPr>
        <w:t xml:space="preserve"> </w:t>
      </w:r>
      <w:r w:rsidR="007444FF">
        <w:rPr>
          <w:rFonts w:cs="Tahoma"/>
          <w:szCs w:val="22"/>
        </w:rPr>
        <w:t>stabilizację</w:t>
      </w:r>
      <w:r w:rsidRPr="004E7309">
        <w:rPr>
          <w:rFonts w:cs="Tahoma"/>
          <w:szCs w:val="22"/>
        </w:rPr>
        <w:t xml:space="preserve"> lic</w:t>
      </w:r>
      <w:r w:rsidR="007444FF">
        <w:rPr>
          <w:rFonts w:cs="Tahoma"/>
          <w:szCs w:val="22"/>
        </w:rPr>
        <w:t>zby wykonywanych wozokilometrów,</w:t>
      </w:r>
      <w:r>
        <w:rPr>
          <w:rFonts w:cs="Tahoma"/>
          <w:szCs w:val="22"/>
        </w:rPr>
        <w:t xml:space="preserve"> ż</w:t>
      </w:r>
      <w:r w:rsidR="0094018D">
        <w:rPr>
          <w:rFonts w:cs="Tahoma"/>
          <w:szCs w:val="22"/>
        </w:rPr>
        <w:t>e</w:t>
      </w:r>
      <w:r>
        <w:rPr>
          <w:rFonts w:cs="Tahoma"/>
          <w:szCs w:val="22"/>
        </w:rPr>
        <w:t xml:space="preserve"> </w:t>
      </w:r>
      <w:r w:rsidRPr="004E7309">
        <w:rPr>
          <w:rFonts w:cs="Tahoma"/>
          <w:szCs w:val="22"/>
        </w:rPr>
        <w:t xml:space="preserve">stan floty pojazdów </w:t>
      </w:r>
      <w:r>
        <w:rPr>
          <w:rFonts w:cs="Tahoma"/>
          <w:szCs w:val="22"/>
        </w:rPr>
        <w:t>będzie</w:t>
      </w:r>
      <w:r w:rsidRPr="004E7309">
        <w:rPr>
          <w:rFonts w:cs="Tahoma"/>
          <w:szCs w:val="22"/>
        </w:rPr>
        <w:t xml:space="preserve"> w wariancie konwencjonalnym </w:t>
      </w:r>
      <w:r>
        <w:rPr>
          <w:rFonts w:cs="Tahoma"/>
          <w:szCs w:val="22"/>
        </w:rPr>
        <w:t xml:space="preserve">wynosił </w:t>
      </w:r>
      <w:r w:rsidR="007444FF">
        <w:rPr>
          <w:rFonts w:cs="Tahoma"/>
          <w:szCs w:val="22"/>
        </w:rPr>
        <w:t>220 autobusów</w:t>
      </w:r>
      <w:r w:rsidRPr="004E7309">
        <w:rPr>
          <w:rFonts w:cs="Tahoma"/>
          <w:szCs w:val="22"/>
        </w:rPr>
        <w:t>.</w:t>
      </w:r>
    </w:p>
    <w:p w14:paraId="51CD5AB8" w14:textId="77777777" w:rsidR="000C512A" w:rsidRPr="00821AF6" w:rsidRDefault="000C512A" w:rsidP="007444FF">
      <w:pPr>
        <w:pStyle w:val="Nagwek2"/>
        <w:spacing w:before="120"/>
        <w:ind w:left="567"/>
        <w:jc w:val="center"/>
      </w:pPr>
      <w:bookmarkStart w:id="38" w:name="_Toc524602369"/>
      <w:bookmarkStart w:id="39" w:name="_Toc89417669"/>
      <w:r w:rsidRPr="00821AF6">
        <w:t>Planowane zamierzenia inwestycyjne</w:t>
      </w:r>
      <w:bookmarkEnd w:id="38"/>
      <w:bookmarkEnd w:id="39"/>
    </w:p>
    <w:p w14:paraId="630BA66B" w14:textId="00A0C93B" w:rsidR="003955A1" w:rsidRDefault="003955A1" w:rsidP="007444FF">
      <w:pPr>
        <w:rPr>
          <w:rFonts w:cs="Tahoma"/>
          <w:szCs w:val="22"/>
        </w:rPr>
      </w:pPr>
      <w:r>
        <w:rPr>
          <w:rFonts w:cs="Tahoma"/>
          <w:szCs w:val="22"/>
        </w:rPr>
        <w:t xml:space="preserve">W </w:t>
      </w:r>
      <w:r w:rsidR="00C73F5E">
        <w:rPr>
          <w:rFonts w:cs="Tahoma"/>
          <w:szCs w:val="22"/>
        </w:rPr>
        <w:t>rzeszowskie</w:t>
      </w:r>
      <w:r w:rsidR="00AE0C28">
        <w:rPr>
          <w:rFonts w:cs="Tahoma"/>
          <w:szCs w:val="22"/>
        </w:rPr>
        <w:t>j</w:t>
      </w:r>
      <w:r w:rsidR="00CB3B94">
        <w:rPr>
          <w:rFonts w:cs="Tahoma"/>
          <w:szCs w:val="22"/>
        </w:rPr>
        <w:t xml:space="preserve"> </w:t>
      </w:r>
      <w:r>
        <w:rPr>
          <w:rFonts w:cs="Tahoma"/>
          <w:szCs w:val="22"/>
        </w:rPr>
        <w:t xml:space="preserve">komunikacji miejskiej inwestycje w tabor i infrastrukturę </w:t>
      </w:r>
      <w:r w:rsidR="005A14D0">
        <w:rPr>
          <w:rFonts w:cs="Tahoma"/>
          <w:szCs w:val="22"/>
        </w:rPr>
        <w:t>prowadzi</w:t>
      </w:r>
      <w:r w:rsidR="007444FF">
        <w:rPr>
          <w:rFonts w:cs="Tahoma"/>
          <w:szCs w:val="22"/>
        </w:rPr>
        <w:t>ło</w:t>
      </w:r>
      <w:r w:rsidR="005A14D0">
        <w:rPr>
          <w:rFonts w:cs="Tahoma"/>
          <w:szCs w:val="22"/>
        </w:rPr>
        <w:t xml:space="preserve"> </w:t>
      </w:r>
      <w:r w:rsidR="007444FF">
        <w:rPr>
          <w:rFonts w:cs="Tahoma"/>
          <w:szCs w:val="22"/>
        </w:rPr>
        <w:t xml:space="preserve">przez wiele lat </w:t>
      </w:r>
      <w:r>
        <w:rPr>
          <w:rFonts w:cs="Tahoma"/>
          <w:szCs w:val="22"/>
        </w:rPr>
        <w:t xml:space="preserve">zarówno Miasto, jak i </w:t>
      </w:r>
      <w:r w:rsidR="00C73F5E">
        <w:rPr>
          <w:rFonts w:cs="Tahoma"/>
          <w:szCs w:val="22"/>
        </w:rPr>
        <w:t>MPK</w:t>
      </w:r>
      <w:r w:rsidR="007444FF">
        <w:rPr>
          <w:rFonts w:cs="Tahoma"/>
          <w:szCs w:val="22"/>
        </w:rPr>
        <w:t>-Rzeszów</w:t>
      </w:r>
      <w:r w:rsidR="00C73F5E">
        <w:rPr>
          <w:rFonts w:cs="Tahoma"/>
          <w:szCs w:val="22"/>
        </w:rPr>
        <w:t xml:space="preserve"> </w:t>
      </w:r>
      <w:r>
        <w:rPr>
          <w:rFonts w:cs="Tahoma"/>
          <w:szCs w:val="22"/>
        </w:rPr>
        <w:t>sp. z o.o.</w:t>
      </w:r>
      <w:r w:rsidR="007444FF">
        <w:rPr>
          <w:rFonts w:cs="Tahoma"/>
          <w:szCs w:val="22"/>
        </w:rPr>
        <w:t xml:space="preserve"> W ostatnich kilku latach, w znacznej części z powodu uwarunkowań pozyskania środków wsparcia finansowego, zakupy taboru realizowało przede wszystkim Miasto. </w:t>
      </w:r>
    </w:p>
    <w:p w14:paraId="68EC3173" w14:textId="77777777" w:rsidR="00251059" w:rsidRDefault="00E64359" w:rsidP="009C0130">
      <w:pPr>
        <w:rPr>
          <w:rFonts w:cs="Tahoma"/>
          <w:szCs w:val="22"/>
        </w:rPr>
      </w:pPr>
      <w:r>
        <w:rPr>
          <w:rFonts w:cs="Tahoma"/>
          <w:szCs w:val="22"/>
        </w:rPr>
        <w:t xml:space="preserve">W latach 2009-2011 Miasto </w:t>
      </w:r>
      <w:r w:rsidR="00C73F5E">
        <w:rPr>
          <w:rFonts w:cs="Tahoma"/>
          <w:szCs w:val="22"/>
        </w:rPr>
        <w:t xml:space="preserve">Rzeszów </w:t>
      </w:r>
      <w:r>
        <w:rPr>
          <w:rFonts w:cs="Tahoma"/>
          <w:szCs w:val="22"/>
        </w:rPr>
        <w:t xml:space="preserve">zrealizowało dwa projekty inwestycyjne ze wsparciem środkami pomocowymi Unii Europejskiej, obejmujące zakup jednostek taborowych dla potrzeb komunikacji miejskiej. </w:t>
      </w:r>
    </w:p>
    <w:p w14:paraId="71C68B77" w14:textId="77034F42" w:rsidR="003504A2" w:rsidRDefault="00E64359" w:rsidP="009C0130">
      <w:pPr>
        <w:rPr>
          <w:rFonts w:cs="Tahoma"/>
          <w:szCs w:val="22"/>
        </w:rPr>
      </w:pPr>
      <w:r>
        <w:rPr>
          <w:rFonts w:cs="Tahoma"/>
          <w:szCs w:val="22"/>
        </w:rPr>
        <w:t>W ramach projektu „</w:t>
      </w:r>
      <w:r w:rsidR="00E556D2" w:rsidRPr="00E556D2">
        <w:rPr>
          <w:rFonts w:cs="Tahoma"/>
          <w:bCs/>
          <w:szCs w:val="22"/>
        </w:rPr>
        <w:t>Rozwój systemu transportu publicznego w Rzeszowie</w:t>
      </w:r>
      <w:r w:rsidRPr="00E556D2">
        <w:rPr>
          <w:rFonts w:cs="Tahoma"/>
          <w:szCs w:val="22"/>
        </w:rPr>
        <w:t>”</w:t>
      </w:r>
      <w:r w:rsidR="009C0130">
        <w:rPr>
          <w:rFonts w:cs="Tahoma"/>
          <w:szCs w:val="22"/>
        </w:rPr>
        <w:t xml:space="preserve">, z dofinansowaniem z Programu Operacyjnego Polska Wschodnia, </w:t>
      </w:r>
      <w:r w:rsidR="009C0130" w:rsidRPr="009C0130">
        <w:rPr>
          <w:rFonts w:cs="Tahoma"/>
          <w:szCs w:val="22"/>
        </w:rPr>
        <w:t>Oś Priorytetowa II Nowoczesna Infrastruktura Transportowa, Działanie 2.1 Zrównoważony transport miejski,</w:t>
      </w:r>
      <w:r w:rsidRPr="00E556D2">
        <w:rPr>
          <w:rFonts w:cs="Tahoma"/>
          <w:szCs w:val="22"/>
        </w:rPr>
        <w:t xml:space="preserve"> </w:t>
      </w:r>
      <w:r w:rsidR="00E556D2">
        <w:rPr>
          <w:rFonts w:cs="Tahoma"/>
          <w:szCs w:val="22"/>
        </w:rPr>
        <w:t>zakupiono w 2018 r. 50</w:t>
      </w:r>
      <w:r>
        <w:rPr>
          <w:rFonts w:cs="Tahoma"/>
          <w:szCs w:val="22"/>
        </w:rPr>
        <w:t xml:space="preserve"> autobusów niskopodłogowych</w:t>
      </w:r>
      <w:r w:rsidR="009C0130">
        <w:rPr>
          <w:rFonts w:cs="Tahoma"/>
          <w:szCs w:val="22"/>
        </w:rPr>
        <w:t>. Wśród zakupionych pojazdów</w:t>
      </w:r>
      <w:r w:rsidR="00E556D2">
        <w:rPr>
          <w:rFonts w:cs="Tahoma"/>
          <w:szCs w:val="22"/>
        </w:rPr>
        <w:t xml:space="preserve"> 30 szt. </w:t>
      </w:r>
      <w:r w:rsidR="009C0130">
        <w:rPr>
          <w:rFonts w:cs="Tahoma"/>
          <w:szCs w:val="22"/>
        </w:rPr>
        <w:t xml:space="preserve">stanowiły </w:t>
      </w:r>
      <w:r w:rsidR="00E556D2">
        <w:rPr>
          <w:rFonts w:cs="Tahoma"/>
          <w:szCs w:val="22"/>
        </w:rPr>
        <w:t>autobus</w:t>
      </w:r>
      <w:r w:rsidR="009C0130">
        <w:rPr>
          <w:rFonts w:cs="Tahoma"/>
          <w:szCs w:val="22"/>
        </w:rPr>
        <w:t>y</w:t>
      </w:r>
      <w:r w:rsidR="00E556D2">
        <w:rPr>
          <w:rFonts w:cs="Tahoma"/>
          <w:szCs w:val="22"/>
        </w:rPr>
        <w:t xml:space="preserve"> przegubow</w:t>
      </w:r>
      <w:r w:rsidR="009C0130">
        <w:rPr>
          <w:rFonts w:cs="Tahoma"/>
          <w:szCs w:val="22"/>
        </w:rPr>
        <w:t>e</w:t>
      </w:r>
      <w:r w:rsidR="00E556D2">
        <w:rPr>
          <w:rFonts w:cs="Tahoma"/>
          <w:szCs w:val="22"/>
        </w:rPr>
        <w:t xml:space="preserve"> Solaris Urbino </w:t>
      </w:r>
      <w:r w:rsidR="009C0130">
        <w:rPr>
          <w:rFonts w:cs="Tahoma"/>
          <w:szCs w:val="22"/>
        </w:rPr>
        <w:t xml:space="preserve">18, </w:t>
      </w:r>
      <w:r w:rsidR="00E556D2">
        <w:rPr>
          <w:rFonts w:cs="Tahoma"/>
          <w:szCs w:val="22"/>
        </w:rPr>
        <w:t xml:space="preserve">10 szt. </w:t>
      </w:r>
      <w:r w:rsidR="009C0130">
        <w:rPr>
          <w:rFonts w:cs="Tahoma"/>
          <w:szCs w:val="22"/>
        </w:rPr>
        <w:t xml:space="preserve">to </w:t>
      </w:r>
      <w:r w:rsidR="00E556D2">
        <w:rPr>
          <w:rFonts w:cs="Tahoma"/>
          <w:szCs w:val="22"/>
        </w:rPr>
        <w:t>standardow</w:t>
      </w:r>
      <w:r w:rsidR="009C0130">
        <w:rPr>
          <w:rFonts w:cs="Tahoma"/>
          <w:szCs w:val="22"/>
        </w:rPr>
        <w:t>e</w:t>
      </w:r>
      <w:r w:rsidR="00E556D2">
        <w:rPr>
          <w:rFonts w:cs="Tahoma"/>
          <w:szCs w:val="22"/>
        </w:rPr>
        <w:t xml:space="preserve"> autobus</w:t>
      </w:r>
      <w:r w:rsidR="009C0130">
        <w:rPr>
          <w:rFonts w:cs="Tahoma"/>
          <w:szCs w:val="22"/>
        </w:rPr>
        <w:t>y</w:t>
      </w:r>
      <w:r w:rsidR="00E556D2">
        <w:rPr>
          <w:rFonts w:cs="Tahoma"/>
          <w:szCs w:val="22"/>
        </w:rPr>
        <w:t xml:space="preserve"> klasy maxi Autosan Sancity 12, </w:t>
      </w:r>
      <w:r w:rsidR="009C0130">
        <w:rPr>
          <w:rFonts w:cs="Tahoma"/>
          <w:szCs w:val="22"/>
        </w:rPr>
        <w:t xml:space="preserve">obydwa rodzaje </w:t>
      </w:r>
      <w:r w:rsidR="00E556D2">
        <w:rPr>
          <w:rFonts w:cs="Tahoma"/>
          <w:szCs w:val="22"/>
        </w:rPr>
        <w:t>zasilan</w:t>
      </w:r>
      <w:r w:rsidR="009C0130">
        <w:rPr>
          <w:rFonts w:cs="Tahoma"/>
          <w:szCs w:val="22"/>
        </w:rPr>
        <w:t>e</w:t>
      </w:r>
      <w:r w:rsidR="00E556D2">
        <w:rPr>
          <w:rFonts w:cs="Tahoma"/>
          <w:szCs w:val="22"/>
        </w:rPr>
        <w:t xml:space="preserve"> olejem napędowym</w:t>
      </w:r>
      <w:r w:rsidR="009C0130">
        <w:rPr>
          <w:rFonts w:cs="Tahoma"/>
          <w:szCs w:val="22"/>
        </w:rPr>
        <w:t>. Dodatkowo</w:t>
      </w:r>
      <w:r w:rsidR="00E556D2">
        <w:rPr>
          <w:rFonts w:cs="Tahoma"/>
          <w:szCs w:val="22"/>
        </w:rPr>
        <w:t xml:space="preserve"> 10 szt. </w:t>
      </w:r>
      <w:r w:rsidR="009C0130">
        <w:rPr>
          <w:rFonts w:cs="Tahoma"/>
          <w:szCs w:val="22"/>
        </w:rPr>
        <w:t xml:space="preserve">stanowiły </w:t>
      </w:r>
      <w:r w:rsidR="00E556D2">
        <w:rPr>
          <w:rFonts w:cs="Tahoma"/>
          <w:szCs w:val="22"/>
        </w:rPr>
        <w:t>autobus</w:t>
      </w:r>
      <w:r w:rsidR="009C0130">
        <w:rPr>
          <w:rFonts w:cs="Tahoma"/>
          <w:szCs w:val="22"/>
        </w:rPr>
        <w:t>y elektryczne</w:t>
      </w:r>
      <w:r w:rsidR="00E556D2">
        <w:rPr>
          <w:rFonts w:cs="Tahoma"/>
          <w:szCs w:val="22"/>
        </w:rPr>
        <w:t xml:space="preserve"> Solaris Urbino 12 </w:t>
      </w:r>
      <w:proofErr w:type="spellStart"/>
      <w:r w:rsidR="00E556D2">
        <w:rPr>
          <w:rFonts w:cs="Tahoma"/>
          <w:szCs w:val="22"/>
        </w:rPr>
        <w:t>electric</w:t>
      </w:r>
      <w:proofErr w:type="spellEnd"/>
      <w:r w:rsidR="009C0130">
        <w:rPr>
          <w:rFonts w:cs="Tahoma"/>
          <w:szCs w:val="22"/>
        </w:rPr>
        <w:t>,</w:t>
      </w:r>
      <w:r w:rsidR="00E556D2">
        <w:rPr>
          <w:rFonts w:cs="Tahoma"/>
          <w:szCs w:val="22"/>
        </w:rPr>
        <w:t xml:space="preserve"> z zasilaniem odwróconym pantografem.</w:t>
      </w:r>
      <w:r>
        <w:rPr>
          <w:rFonts w:cs="Tahoma"/>
          <w:szCs w:val="22"/>
        </w:rPr>
        <w:t xml:space="preserve"> </w:t>
      </w:r>
      <w:r w:rsidR="00E556D2">
        <w:rPr>
          <w:rFonts w:cs="Tahoma"/>
          <w:szCs w:val="22"/>
        </w:rPr>
        <w:t>Jednocześnie na</w:t>
      </w:r>
      <w:r w:rsidR="00650340">
        <w:rPr>
          <w:rFonts w:cs="Tahoma"/>
          <w:szCs w:val="22"/>
        </w:rPr>
        <w:t> </w:t>
      </w:r>
      <w:r w:rsidR="00E556D2">
        <w:rPr>
          <w:rFonts w:cs="Tahoma"/>
          <w:szCs w:val="22"/>
        </w:rPr>
        <w:t xml:space="preserve">placu Dworcowym zainstalowano stacje ładowania szybkiego do zasilania na trasie nabytych autobusów zeroemisyjnych. </w:t>
      </w:r>
      <w:r w:rsidR="003504A2">
        <w:rPr>
          <w:rFonts w:cs="Tahoma"/>
          <w:szCs w:val="22"/>
        </w:rPr>
        <w:t xml:space="preserve">W ramach projektu Miasto zakupiło także holownik Iveco </w:t>
      </w:r>
      <w:proofErr w:type="spellStart"/>
      <w:r w:rsidR="003504A2">
        <w:rPr>
          <w:rFonts w:cs="Tahoma"/>
          <w:szCs w:val="22"/>
        </w:rPr>
        <w:t>Trakker</w:t>
      </w:r>
      <w:proofErr w:type="spellEnd"/>
      <w:r w:rsidR="003504A2">
        <w:rPr>
          <w:rFonts w:cs="Tahoma"/>
          <w:szCs w:val="22"/>
        </w:rPr>
        <w:t xml:space="preserve"> Hi-Land 6x4, przeznaczony do holowania uszkodzonych autobusów. </w:t>
      </w:r>
    </w:p>
    <w:p w14:paraId="6FFB0C23" w14:textId="1DF3196A" w:rsidR="009C0130" w:rsidRDefault="009C0130" w:rsidP="009C0130">
      <w:pPr>
        <w:rPr>
          <w:rFonts w:cs="Tahoma"/>
          <w:szCs w:val="22"/>
        </w:rPr>
      </w:pPr>
      <w:r>
        <w:rPr>
          <w:rFonts w:cs="Tahoma"/>
          <w:szCs w:val="22"/>
        </w:rPr>
        <w:t>Projekt obejmował ponadto budowę Dworca Lokalnego z parkingami Kiss</w:t>
      </w:r>
      <w:r w:rsidR="00315266">
        <w:rPr>
          <w:rFonts w:cs="Tahoma"/>
          <w:szCs w:val="22"/>
        </w:rPr>
        <w:t>&amp;</w:t>
      </w:r>
      <w:r>
        <w:rPr>
          <w:rFonts w:cs="Tahoma"/>
          <w:szCs w:val="22"/>
        </w:rPr>
        <w:t>Ride, przebudowę i budowę 137 zatok autobusowych i zespołów przystankowych, infrastrukturę systemów ITS oraz inwestycj</w:t>
      </w:r>
      <w:r w:rsidR="001F6C4F">
        <w:rPr>
          <w:rFonts w:cs="Tahoma"/>
          <w:szCs w:val="22"/>
        </w:rPr>
        <w:t xml:space="preserve">e </w:t>
      </w:r>
      <w:r>
        <w:rPr>
          <w:rFonts w:cs="Tahoma"/>
          <w:szCs w:val="22"/>
        </w:rPr>
        <w:t xml:space="preserve">infrastruktury </w:t>
      </w:r>
      <w:r w:rsidR="001F6C4F">
        <w:rPr>
          <w:rFonts w:cs="Tahoma"/>
          <w:szCs w:val="22"/>
        </w:rPr>
        <w:t>pieszo-rowerowej oraz uzupełniającej drogowej.</w:t>
      </w:r>
    </w:p>
    <w:p w14:paraId="7AD64AE0" w14:textId="4A8B11A2" w:rsidR="00E556D2" w:rsidRDefault="009C0130" w:rsidP="009C0130">
      <w:pPr>
        <w:rPr>
          <w:rFonts w:cs="Tahoma"/>
          <w:szCs w:val="22"/>
        </w:rPr>
      </w:pPr>
      <w:r>
        <w:rPr>
          <w:rFonts w:cs="Tahoma"/>
          <w:szCs w:val="22"/>
        </w:rPr>
        <w:t>Z kolei</w:t>
      </w:r>
      <w:r w:rsidR="00E556D2">
        <w:rPr>
          <w:rFonts w:cs="Tahoma"/>
          <w:szCs w:val="22"/>
        </w:rPr>
        <w:t xml:space="preserve"> w latach 2020-2021, w ramach projektu „</w:t>
      </w:r>
      <w:r w:rsidR="00E556D2" w:rsidRPr="00E556D2">
        <w:rPr>
          <w:rFonts w:cs="Tahoma"/>
          <w:szCs w:val="22"/>
        </w:rPr>
        <w:t>Integracja różnych form publicznego transportu zbiorowego w Rzeszowie</w:t>
      </w:r>
      <w:r w:rsidR="00E556D2">
        <w:rPr>
          <w:rFonts w:cs="Tahoma"/>
          <w:szCs w:val="22"/>
        </w:rPr>
        <w:t xml:space="preserve">”, </w:t>
      </w:r>
      <w:r>
        <w:rPr>
          <w:rFonts w:cs="Tahoma"/>
          <w:szCs w:val="22"/>
        </w:rPr>
        <w:t xml:space="preserve">z dofinansowaniem z Programu Operacyjnego Polska </w:t>
      </w:r>
      <w:r>
        <w:rPr>
          <w:rFonts w:cs="Tahoma"/>
          <w:szCs w:val="22"/>
        </w:rPr>
        <w:lastRenderedPageBreak/>
        <w:t xml:space="preserve">Wschodnia, Oś Priorytetowa II Nowoczesna Infrastruktura Transportowa, Działanie 2.1 Zrównoważony transport miejski, </w:t>
      </w:r>
      <w:r w:rsidR="00E556D2">
        <w:rPr>
          <w:rFonts w:cs="Tahoma"/>
          <w:szCs w:val="22"/>
        </w:rPr>
        <w:t xml:space="preserve">Miasto zakupiło 60 niskopodłogowych autobusów </w:t>
      </w:r>
      <w:r>
        <w:rPr>
          <w:rFonts w:cs="Tahoma"/>
          <w:szCs w:val="22"/>
        </w:rPr>
        <w:t>Autosan M12LF</w:t>
      </w:r>
      <w:r w:rsidR="00E556D2">
        <w:rPr>
          <w:rFonts w:cs="Tahoma"/>
          <w:szCs w:val="22"/>
        </w:rPr>
        <w:t xml:space="preserve">, zasilanych sprężonym gazem ziemnym. </w:t>
      </w:r>
    </w:p>
    <w:p w14:paraId="13CE3AF5" w14:textId="0425F862" w:rsidR="001F6C4F" w:rsidRDefault="001F6C4F" w:rsidP="009C0130">
      <w:pPr>
        <w:rPr>
          <w:rFonts w:cs="Tahoma"/>
          <w:szCs w:val="22"/>
        </w:rPr>
      </w:pPr>
      <w:r>
        <w:rPr>
          <w:rFonts w:cs="Tahoma"/>
          <w:szCs w:val="22"/>
        </w:rPr>
        <w:t>W ramach projektu realizowane są ponadto zadania związane z rozbudową systemów ITS oraz budowy i przebudowy wyposażenia infrastruktury przystankowej (przebudowa i wyposażenie 29 zatok i 27 zespołów przystankowych, utworzenie centrum przesiadkowego), rowerowej i uzupełniającej drogowej.</w:t>
      </w:r>
    </w:p>
    <w:p w14:paraId="4167442D" w14:textId="2D08C75F" w:rsidR="00251059" w:rsidRDefault="00251059" w:rsidP="009C0130">
      <w:pPr>
        <w:rPr>
          <w:rFonts w:cs="Tahoma"/>
          <w:szCs w:val="22"/>
        </w:rPr>
      </w:pPr>
      <w:r>
        <w:rPr>
          <w:rFonts w:cs="Tahoma"/>
          <w:szCs w:val="22"/>
        </w:rPr>
        <w:t>Zakupione autobusy były niskopodłogowe, w kolorystyce miejskiej, klimatyzowane, z</w:t>
      </w:r>
      <w:r w:rsidR="00650340">
        <w:rPr>
          <w:rFonts w:cs="Tahoma"/>
          <w:szCs w:val="22"/>
        </w:rPr>
        <w:t> </w:t>
      </w:r>
      <w:r>
        <w:rPr>
          <w:rFonts w:cs="Tahoma"/>
          <w:szCs w:val="22"/>
        </w:rPr>
        <w:t>systemem GPS, z rampą i dedykowanym miejscem na wózek, wyposażone w wyświetlacze wewnętrzne i zewnętrzne informacji pasażerskiej oraz głosowe zapowiedzi przystanków, a zakupione w latach 2020-2021 dodat</w:t>
      </w:r>
      <w:r w:rsidR="00723ED4">
        <w:rPr>
          <w:rFonts w:cs="Tahoma"/>
          <w:szCs w:val="22"/>
        </w:rPr>
        <w:t xml:space="preserve">kowo wyposażone w ładowarki </w:t>
      </w:r>
      <w:proofErr w:type="spellStart"/>
      <w:r w:rsidR="00723ED4">
        <w:rPr>
          <w:rFonts w:cs="Tahoma"/>
          <w:szCs w:val="22"/>
        </w:rPr>
        <w:t>usb</w:t>
      </w:r>
      <w:proofErr w:type="spellEnd"/>
      <w:r w:rsidR="00723ED4">
        <w:rPr>
          <w:rFonts w:cs="Tahoma"/>
          <w:szCs w:val="22"/>
        </w:rPr>
        <w:t>, bramki liczące pasażerów oraz automaty biletowe.</w:t>
      </w:r>
    </w:p>
    <w:p w14:paraId="75426E28" w14:textId="47D0F934" w:rsidR="00E556D2" w:rsidRDefault="009C0130" w:rsidP="009C0130">
      <w:pPr>
        <w:rPr>
          <w:rFonts w:cs="Tahoma"/>
          <w:szCs w:val="22"/>
        </w:rPr>
      </w:pPr>
      <w:r>
        <w:rPr>
          <w:rFonts w:cs="Tahoma"/>
          <w:szCs w:val="22"/>
        </w:rPr>
        <w:t>Wszystkie wymienione pojazdy</w:t>
      </w:r>
      <w:r w:rsidR="00E556D2">
        <w:rPr>
          <w:rFonts w:cs="Tahoma"/>
          <w:szCs w:val="22"/>
        </w:rPr>
        <w:t xml:space="preserve"> zostały wydzierżawione MPK-Rzeszów sp. z o.o. i są na</w:t>
      </w:r>
      <w:r w:rsidR="00650340">
        <w:rPr>
          <w:rFonts w:cs="Tahoma"/>
          <w:szCs w:val="22"/>
        </w:rPr>
        <w:t> </w:t>
      </w:r>
      <w:r w:rsidR="00E556D2">
        <w:rPr>
          <w:rFonts w:cs="Tahoma"/>
          <w:szCs w:val="22"/>
        </w:rPr>
        <w:t>co dzień eksploatowane na liniach komunikacji miejskiej.</w:t>
      </w:r>
    </w:p>
    <w:p w14:paraId="7E9962EA" w14:textId="272D7A10" w:rsidR="0094018D" w:rsidRDefault="00226635" w:rsidP="00315266">
      <w:pPr>
        <w:rPr>
          <w:rFonts w:cs="Tahoma"/>
          <w:szCs w:val="22"/>
        </w:rPr>
      </w:pPr>
      <w:r>
        <w:rPr>
          <w:rFonts w:cs="Tahoma"/>
          <w:szCs w:val="22"/>
        </w:rPr>
        <w:t xml:space="preserve">Miasto </w:t>
      </w:r>
      <w:r w:rsidR="00C73F5E">
        <w:rPr>
          <w:rFonts w:cs="Tahoma"/>
          <w:szCs w:val="22"/>
        </w:rPr>
        <w:t xml:space="preserve">Rzeszów </w:t>
      </w:r>
      <w:r w:rsidR="00E64359">
        <w:rPr>
          <w:rFonts w:cs="Tahoma"/>
          <w:szCs w:val="22"/>
        </w:rPr>
        <w:t>realiz</w:t>
      </w:r>
      <w:r w:rsidR="00315266">
        <w:rPr>
          <w:rFonts w:cs="Tahoma"/>
          <w:szCs w:val="22"/>
        </w:rPr>
        <w:t>uje także</w:t>
      </w:r>
      <w:r>
        <w:rPr>
          <w:rFonts w:cs="Tahoma"/>
          <w:szCs w:val="22"/>
        </w:rPr>
        <w:t xml:space="preserve"> projekt</w:t>
      </w:r>
      <w:r w:rsidR="00315266">
        <w:rPr>
          <w:rFonts w:cs="Tahoma"/>
          <w:szCs w:val="22"/>
        </w:rPr>
        <w:t xml:space="preserve"> inwestycyjny</w:t>
      </w:r>
      <w:r w:rsidR="008E6735">
        <w:rPr>
          <w:rFonts w:cs="Tahoma"/>
          <w:szCs w:val="22"/>
        </w:rPr>
        <w:t xml:space="preserve"> </w:t>
      </w:r>
      <w:r w:rsidRPr="00226635">
        <w:rPr>
          <w:rFonts w:cs="Tahoma"/>
          <w:bCs/>
          <w:szCs w:val="22"/>
        </w:rPr>
        <w:t>„</w:t>
      </w:r>
      <w:r w:rsidR="00315266" w:rsidRPr="00315266">
        <w:rPr>
          <w:rFonts w:cs="Tahoma"/>
          <w:bCs/>
          <w:szCs w:val="22"/>
        </w:rPr>
        <w:t>Rozbudowa systemu transportu publicznego w Rzeszowie</w:t>
      </w:r>
      <w:r w:rsidRPr="00226635">
        <w:rPr>
          <w:rFonts w:cs="Tahoma"/>
          <w:bCs/>
          <w:szCs w:val="22"/>
        </w:rPr>
        <w:t>”</w:t>
      </w:r>
      <w:r w:rsidR="000C7444" w:rsidRPr="00226635">
        <w:rPr>
          <w:rFonts w:cs="Tahoma"/>
          <w:szCs w:val="22"/>
        </w:rPr>
        <w:t>,</w:t>
      </w:r>
      <w:r w:rsidR="000C7444" w:rsidRPr="00821AF6">
        <w:rPr>
          <w:rFonts w:cs="Tahoma"/>
          <w:szCs w:val="22"/>
        </w:rPr>
        <w:t xml:space="preserve"> </w:t>
      </w:r>
      <w:r w:rsidR="00315266">
        <w:rPr>
          <w:rFonts w:cs="Tahoma"/>
          <w:szCs w:val="22"/>
        </w:rPr>
        <w:t xml:space="preserve">także </w:t>
      </w:r>
      <w:r w:rsidR="008D7906">
        <w:rPr>
          <w:rFonts w:cs="Tahoma"/>
          <w:szCs w:val="22"/>
        </w:rPr>
        <w:t xml:space="preserve">z dofinansowaniem środkami pomocowymi Unii Europejskiej, </w:t>
      </w:r>
      <w:r>
        <w:rPr>
          <w:rFonts w:cs="Tahoma"/>
          <w:szCs w:val="22"/>
        </w:rPr>
        <w:t xml:space="preserve">w ramach </w:t>
      </w:r>
      <w:r w:rsidR="00315266" w:rsidRPr="00315266">
        <w:rPr>
          <w:rFonts w:cs="Tahoma"/>
          <w:szCs w:val="22"/>
        </w:rPr>
        <w:t>Programu Operacyjnego Polska Wschodnia, Oś Priorytetowa II Nowoczesna Infrastruktura Transportowa, Działanie 2.1 Zrównoważony tran</w:t>
      </w:r>
      <w:r w:rsidR="00315266">
        <w:rPr>
          <w:rFonts w:cs="Tahoma"/>
          <w:szCs w:val="22"/>
        </w:rPr>
        <w:t>sport miejski</w:t>
      </w:r>
      <w:r w:rsidRPr="00226635">
        <w:rPr>
          <w:rFonts w:cs="Tahoma"/>
          <w:szCs w:val="22"/>
        </w:rPr>
        <w:t>.</w:t>
      </w:r>
      <w:r>
        <w:rPr>
          <w:rFonts w:cs="Tahoma"/>
          <w:szCs w:val="22"/>
        </w:rPr>
        <w:t xml:space="preserve"> Jednym z głównych elementów tego projektu </w:t>
      </w:r>
      <w:r w:rsidR="00315266">
        <w:rPr>
          <w:rFonts w:cs="Tahoma"/>
          <w:szCs w:val="22"/>
        </w:rPr>
        <w:t>jest</w:t>
      </w:r>
      <w:r>
        <w:rPr>
          <w:rFonts w:cs="Tahoma"/>
          <w:szCs w:val="22"/>
        </w:rPr>
        <w:t xml:space="preserve"> </w:t>
      </w:r>
      <w:r w:rsidR="00315266">
        <w:rPr>
          <w:rFonts w:cs="Tahoma"/>
          <w:szCs w:val="22"/>
        </w:rPr>
        <w:t xml:space="preserve">planowany </w:t>
      </w:r>
      <w:r>
        <w:rPr>
          <w:rFonts w:cs="Tahoma"/>
          <w:szCs w:val="22"/>
        </w:rPr>
        <w:t xml:space="preserve">zakup </w:t>
      </w:r>
      <w:r w:rsidR="00315266">
        <w:rPr>
          <w:rFonts w:cs="Tahoma"/>
          <w:szCs w:val="22"/>
        </w:rPr>
        <w:t>20</w:t>
      </w:r>
      <w:r>
        <w:rPr>
          <w:rFonts w:cs="Tahoma"/>
          <w:szCs w:val="22"/>
        </w:rPr>
        <w:t xml:space="preserve"> autobusów </w:t>
      </w:r>
      <w:r w:rsidR="008D7906">
        <w:rPr>
          <w:rFonts w:cs="Tahoma"/>
          <w:szCs w:val="22"/>
        </w:rPr>
        <w:t xml:space="preserve">niskoemisyjnych </w:t>
      </w:r>
      <w:r w:rsidR="00315266">
        <w:rPr>
          <w:rFonts w:cs="Tahoma"/>
          <w:szCs w:val="22"/>
        </w:rPr>
        <w:t>dla komunikacji miejskiej:</w:t>
      </w:r>
      <w:r>
        <w:rPr>
          <w:rFonts w:cs="Tahoma"/>
          <w:szCs w:val="22"/>
        </w:rPr>
        <w:t xml:space="preserve"> </w:t>
      </w:r>
    </w:p>
    <w:p w14:paraId="17DC0A9B" w14:textId="5CFFC825" w:rsidR="00571546" w:rsidRDefault="00315266" w:rsidP="00315266">
      <w:pPr>
        <w:numPr>
          <w:ilvl w:val="0"/>
          <w:numId w:val="14"/>
        </w:numPr>
        <w:tabs>
          <w:tab w:val="clear" w:pos="360"/>
          <w:tab w:val="num" w:pos="426"/>
        </w:tabs>
        <w:ind w:left="357" w:hanging="357"/>
      </w:pPr>
      <w:r>
        <w:t>2 autobusów</w:t>
      </w:r>
      <w:r w:rsidR="006A6263" w:rsidRPr="00571546">
        <w:t xml:space="preserve"> </w:t>
      </w:r>
      <w:r w:rsidR="008C47E6" w:rsidRPr="00571546">
        <w:t xml:space="preserve">klasy </w:t>
      </w:r>
      <w:r>
        <w:t>mega</w:t>
      </w:r>
      <w:r w:rsidR="008C47E6" w:rsidRPr="00571546">
        <w:t xml:space="preserve"> </w:t>
      </w:r>
      <w:r>
        <w:t>zasilanych sprężonym gazem ziemnym</w:t>
      </w:r>
      <w:r w:rsidR="00571546">
        <w:t>;</w:t>
      </w:r>
    </w:p>
    <w:p w14:paraId="474CCB21" w14:textId="3E81FA78" w:rsidR="006A6263" w:rsidRPr="00571546" w:rsidRDefault="00315266" w:rsidP="00315266">
      <w:pPr>
        <w:numPr>
          <w:ilvl w:val="0"/>
          <w:numId w:val="14"/>
        </w:numPr>
        <w:tabs>
          <w:tab w:val="clear" w:pos="360"/>
          <w:tab w:val="num" w:pos="426"/>
        </w:tabs>
        <w:ind w:left="357" w:hanging="357"/>
      </w:pPr>
      <w:r>
        <w:t>16</w:t>
      </w:r>
      <w:r w:rsidR="006A6263" w:rsidRPr="00571546">
        <w:t xml:space="preserve"> autobusów </w:t>
      </w:r>
      <w:r w:rsidR="008C47E6" w:rsidRPr="00571546">
        <w:t xml:space="preserve">klasy maxi </w:t>
      </w:r>
      <w:r w:rsidRPr="00315266">
        <w:t>zasilanych sprężonym gazem ziemnym</w:t>
      </w:r>
      <w:r w:rsidR="00571546">
        <w:t>;</w:t>
      </w:r>
    </w:p>
    <w:p w14:paraId="65ED6F7C" w14:textId="64641E8B" w:rsidR="006A6263" w:rsidRPr="00571546" w:rsidRDefault="00315266" w:rsidP="00315266">
      <w:pPr>
        <w:numPr>
          <w:ilvl w:val="0"/>
          <w:numId w:val="14"/>
        </w:numPr>
        <w:tabs>
          <w:tab w:val="clear" w:pos="360"/>
          <w:tab w:val="num" w:pos="426"/>
        </w:tabs>
        <w:ind w:left="357" w:hanging="357"/>
      </w:pPr>
      <w:r>
        <w:t>2</w:t>
      </w:r>
      <w:r w:rsidR="006A6263" w:rsidRPr="00571546">
        <w:t xml:space="preserve"> autobus</w:t>
      </w:r>
      <w:r>
        <w:t>ów</w:t>
      </w:r>
      <w:r w:rsidR="006A6263" w:rsidRPr="00571546">
        <w:t xml:space="preserve"> </w:t>
      </w:r>
      <w:r w:rsidR="008C47E6" w:rsidRPr="00571546">
        <w:t xml:space="preserve">klasy mega </w:t>
      </w:r>
      <w:r>
        <w:t xml:space="preserve">z napędem elektrycznym z zasilaniem w systemie odwróconego pantografu, wraz z ładowarkami </w:t>
      </w:r>
      <w:proofErr w:type="spellStart"/>
      <w:r>
        <w:t>zajezdniowymi</w:t>
      </w:r>
      <w:proofErr w:type="spellEnd"/>
      <w:r>
        <w:t>.</w:t>
      </w:r>
    </w:p>
    <w:p w14:paraId="6FF49E26" w14:textId="795F6438" w:rsidR="00315266" w:rsidRDefault="00315266" w:rsidP="00315266">
      <w:pPr>
        <w:rPr>
          <w:rFonts w:cs="Tahoma"/>
          <w:szCs w:val="22"/>
        </w:rPr>
      </w:pPr>
      <w:r>
        <w:rPr>
          <w:rFonts w:cs="Tahoma"/>
          <w:szCs w:val="22"/>
        </w:rPr>
        <w:t>Przewiduje się dostawę taboru w okresie kwiecień – sierpień 2023 r.</w:t>
      </w:r>
    </w:p>
    <w:p w14:paraId="261593F1" w14:textId="76AEECA9" w:rsidR="008D7906" w:rsidRDefault="00E64359" w:rsidP="00315266">
      <w:pPr>
        <w:rPr>
          <w:rFonts w:cs="Tahoma"/>
          <w:szCs w:val="22"/>
        </w:rPr>
      </w:pPr>
      <w:r>
        <w:rPr>
          <w:rFonts w:cs="Tahoma"/>
          <w:szCs w:val="22"/>
        </w:rPr>
        <w:t>Projekt obejm</w:t>
      </w:r>
      <w:r w:rsidR="00315266">
        <w:rPr>
          <w:rFonts w:cs="Tahoma"/>
          <w:szCs w:val="22"/>
        </w:rPr>
        <w:t>uje</w:t>
      </w:r>
      <w:r>
        <w:rPr>
          <w:rFonts w:cs="Tahoma"/>
          <w:szCs w:val="22"/>
        </w:rPr>
        <w:t xml:space="preserve"> </w:t>
      </w:r>
      <w:r w:rsidR="00571546">
        <w:rPr>
          <w:rFonts w:cs="Tahoma"/>
          <w:szCs w:val="22"/>
        </w:rPr>
        <w:t xml:space="preserve">także </w:t>
      </w:r>
      <w:r w:rsidR="00315266">
        <w:rPr>
          <w:rFonts w:cs="Tahoma"/>
          <w:szCs w:val="22"/>
        </w:rPr>
        <w:t>budowę i przebudowę infrastruktury przystankowej (50 zatok i</w:t>
      </w:r>
      <w:r w:rsidR="00650340">
        <w:rPr>
          <w:rFonts w:cs="Tahoma"/>
          <w:szCs w:val="22"/>
        </w:rPr>
        <w:t> </w:t>
      </w:r>
      <w:r w:rsidR="00315266">
        <w:rPr>
          <w:rFonts w:cs="Tahoma"/>
          <w:szCs w:val="22"/>
        </w:rPr>
        <w:t>52 zespoły przystankowe), budowę infrastruktury rowerowej, elementy systemów ITS (rozbudowa systemu Strefy Płatnego Parkowania) oraz rozbudowę infrastruktury drogowej</w:t>
      </w:r>
      <w:r w:rsidR="006A6263">
        <w:rPr>
          <w:rFonts w:cs="Tahoma"/>
          <w:szCs w:val="22"/>
        </w:rPr>
        <w:t xml:space="preserve">. </w:t>
      </w:r>
    </w:p>
    <w:p w14:paraId="2955489D" w14:textId="7D138CF5" w:rsidR="00315266" w:rsidRDefault="00315266" w:rsidP="00315266">
      <w:pPr>
        <w:rPr>
          <w:rFonts w:cs="Tahoma"/>
          <w:szCs w:val="22"/>
        </w:rPr>
      </w:pPr>
      <w:r>
        <w:rPr>
          <w:rFonts w:cs="Tahoma"/>
          <w:szCs w:val="22"/>
        </w:rPr>
        <w:t>Zakupione pojazdy zastąpią najstarsze i najbardziej wyeksploatowane autobusy z napędami spełniającymi normy czystości spalin EURO II i III. Nabyte autobusy elektryczne skierowane zostaną do eksploatacji na liniach już częściowo obsługiwanych taborem zeroemisyjnym – 0A i 0B.</w:t>
      </w:r>
    </w:p>
    <w:p w14:paraId="6E09FF9B" w14:textId="6FAEB750" w:rsidR="006728D3" w:rsidRDefault="006728D3" w:rsidP="00315266">
      <w:pPr>
        <w:rPr>
          <w:rFonts w:cs="Tahoma"/>
          <w:szCs w:val="22"/>
        </w:rPr>
      </w:pPr>
      <w:r>
        <w:rPr>
          <w:rFonts w:cs="Tahoma"/>
          <w:szCs w:val="22"/>
        </w:rPr>
        <w:t>Miasto rozważ</w:t>
      </w:r>
      <w:r w:rsidR="00187723">
        <w:rPr>
          <w:rFonts w:cs="Tahoma"/>
          <w:szCs w:val="22"/>
        </w:rPr>
        <w:t>a</w:t>
      </w:r>
      <w:r>
        <w:rPr>
          <w:rFonts w:cs="Tahoma"/>
          <w:szCs w:val="22"/>
        </w:rPr>
        <w:t xml:space="preserve"> także zakup określonej liczby autobusów zeroemisyjnych wyposażonych w ogniwa paliwowe</w:t>
      </w:r>
      <w:r w:rsidR="00E03273">
        <w:rPr>
          <w:rFonts w:cs="Tahoma"/>
          <w:szCs w:val="22"/>
        </w:rPr>
        <w:t xml:space="preserve">. Miasto podpisało listy intencyjne, z Grupą Lotos S.A. oraz z SESCOM S.A. </w:t>
      </w:r>
      <w:r w:rsidR="00E03273">
        <w:rPr>
          <w:rFonts w:cs="Tahoma"/>
          <w:szCs w:val="22"/>
        </w:rPr>
        <w:lastRenderedPageBreak/>
        <w:t>dotyczące dostaw wodoru wysokiej jakości oraz instalacji na terenie zajezdni MPK stacji tankowania wodoru. Warunkiem zakupu przez Miasto autobusów elektrycznych wyposażonych w wodorowe ogniwa paliwowe jest pozyskanie satysfakcjonującego wsparcia finansowego ze środków krajowych lub europejskich.</w:t>
      </w:r>
    </w:p>
    <w:p w14:paraId="1103330F" w14:textId="3FFFA079" w:rsidR="00D1252D" w:rsidRPr="00D1252D" w:rsidRDefault="009C6E34" w:rsidP="009C6E34">
      <w:pPr>
        <w:rPr>
          <w:rFonts w:cs="Tahoma"/>
          <w:color w:val="000000" w:themeColor="text1"/>
        </w:rPr>
      </w:pPr>
      <w:bookmarkStart w:id="40" w:name="_Hlk73368687"/>
      <w:bookmarkStart w:id="41" w:name="_Hlk73368469"/>
      <w:r>
        <w:rPr>
          <w:rFonts w:cs="Tahoma"/>
          <w:color w:val="000000" w:themeColor="text1"/>
        </w:rPr>
        <w:t>Miasto rozważa</w:t>
      </w:r>
      <w:r w:rsidR="00D1252D" w:rsidRPr="00D1252D">
        <w:rPr>
          <w:rFonts w:cs="Tahoma"/>
          <w:color w:val="000000" w:themeColor="text1"/>
        </w:rPr>
        <w:t xml:space="preserve"> </w:t>
      </w:r>
      <w:r w:rsidR="00E400FB">
        <w:rPr>
          <w:rFonts w:cs="Tahoma"/>
          <w:color w:val="000000" w:themeColor="text1"/>
        </w:rPr>
        <w:t>u</w:t>
      </w:r>
      <w:r w:rsidR="00D1252D" w:rsidRPr="00D1252D">
        <w:rPr>
          <w:rFonts w:cs="Tahoma"/>
          <w:color w:val="000000" w:themeColor="text1"/>
        </w:rPr>
        <w:t>dział w przyszłych naborach konkursowych na dofinansowanie ze środków krajowych i unijnych zakupu autobusów zeroemisyjnych wraz z infrastrukturą zasilającą, w tym w ramach nowego horyzontu finansowania 2021-2027.</w:t>
      </w:r>
      <w:r>
        <w:rPr>
          <w:rFonts w:cs="Tahoma"/>
          <w:color w:val="000000" w:themeColor="text1"/>
        </w:rPr>
        <w:t xml:space="preserve"> Nie wyklucza się udziału w takich naborach także MPK, jeśli będą takie możliwości, a sytuacja finansowa MPK na to pozwoli.</w:t>
      </w:r>
    </w:p>
    <w:bookmarkEnd w:id="40"/>
    <w:p w14:paraId="42CA7820" w14:textId="6FF695A9" w:rsidR="00D1252D" w:rsidRPr="00D1252D" w:rsidRDefault="00C73F5E" w:rsidP="009C6E34">
      <w:pPr>
        <w:rPr>
          <w:rFonts w:cs="Tahoma"/>
          <w:color w:val="000000" w:themeColor="text1"/>
        </w:rPr>
      </w:pPr>
      <w:r>
        <w:rPr>
          <w:rFonts w:cs="Tahoma"/>
          <w:color w:val="000000" w:themeColor="text1"/>
        </w:rPr>
        <w:t xml:space="preserve">MPK </w:t>
      </w:r>
      <w:r w:rsidR="00D1252D">
        <w:rPr>
          <w:rFonts w:cs="Tahoma"/>
          <w:color w:val="000000" w:themeColor="text1"/>
        </w:rPr>
        <w:t>oraz Miasto</w:t>
      </w:r>
      <w:r w:rsidR="00D1252D" w:rsidRPr="00D1252D">
        <w:rPr>
          <w:rFonts w:cs="Tahoma"/>
          <w:color w:val="000000" w:themeColor="text1"/>
        </w:rPr>
        <w:t>, w ramach posiadanych możliwości finansowych, niezależnie od wybranego wariantu odtwarzania floty, dokonywać będ</w:t>
      </w:r>
      <w:r w:rsidR="00D1252D">
        <w:rPr>
          <w:rFonts w:cs="Tahoma"/>
          <w:color w:val="000000" w:themeColor="text1"/>
        </w:rPr>
        <w:t>ą</w:t>
      </w:r>
      <w:r w:rsidR="00D1252D" w:rsidRPr="00D1252D">
        <w:rPr>
          <w:rFonts w:cs="Tahoma"/>
          <w:color w:val="000000" w:themeColor="text1"/>
        </w:rPr>
        <w:t xml:space="preserve"> sukcesywnej odnowy posiadanego taboru zasilanego olejem napędowym – wycofując systematycznie pojazdy najbardziej wyeksploatowane.</w:t>
      </w:r>
    </w:p>
    <w:p w14:paraId="21A90C14" w14:textId="4D323371" w:rsidR="009A2DF2" w:rsidRPr="0070230D" w:rsidRDefault="00D1252D" w:rsidP="009C6E34">
      <w:pPr>
        <w:rPr>
          <w:rFonts w:cs="Tahoma"/>
          <w:color w:val="000000" w:themeColor="text1"/>
        </w:rPr>
      </w:pPr>
      <w:r w:rsidRPr="00D1252D">
        <w:rPr>
          <w:rFonts w:cs="Tahoma"/>
          <w:color w:val="000000" w:themeColor="text1"/>
        </w:rPr>
        <w:t xml:space="preserve">Niezależnie od powyższego, Miasto uznało, że w przypadku wskazania przez niniejszą analizę konieczności spełnienia wymogów ustawy o elektromobilności, </w:t>
      </w:r>
      <w:r w:rsidR="009C6E34" w:rsidRPr="00D1252D">
        <w:rPr>
          <w:rFonts w:cs="Tahoma"/>
          <w:color w:val="000000" w:themeColor="text1"/>
        </w:rPr>
        <w:t xml:space="preserve">Miasto albo </w:t>
      </w:r>
      <w:r w:rsidR="00C73F5E">
        <w:rPr>
          <w:rFonts w:cs="Tahoma"/>
          <w:color w:val="000000" w:themeColor="text1"/>
        </w:rPr>
        <w:t>MPK</w:t>
      </w:r>
      <w:r w:rsidR="009C6E34">
        <w:rPr>
          <w:rFonts w:cs="Tahoma"/>
          <w:color w:val="000000" w:themeColor="text1"/>
        </w:rPr>
        <w:t>-Rzeszów</w:t>
      </w:r>
      <w:r w:rsidR="00C73F5E">
        <w:rPr>
          <w:rFonts w:cs="Tahoma"/>
          <w:color w:val="000000" w:themeColor="text1"/>
        </w:rPr>
        <w:t xml:space="preserve"> </w:t>
      </w:r>
      <w:r w:rsidRPr="00D1252D">
        <w:rPr>
          <w:rFonts w:cs="Tahoma"/>
          <w:color w:val="000000" w:themeColor="text1"/>
        </w:rPr>
        <w:t xml:space="preserve">sp. z o.o. zakupią dla potrzeb obsługi sieci komunikacji miejskiej wyprzedzająco odpowiednią liczbę autobusów zeroemisyjnych wyposażonych w baterie trakcyjne z dodatkowym ładowaniem pantografowym albo alternatywnie </w:t>
      </w:r>
      <w:r w:rsidR="00E400FB">
        <w:rPr>
          <w:rFonts w:cs="Tahoma"/>
          <w:color w:val="000000" w:themeColor="text1"/>
        </w:rPr>
        <w:t xml:space="preserve">– </w:t>
      </w:r>
      <w:r w:rsidRPr="00D1252D">
        <w:rPr>
          <w:rFonts w:cs="Tahoma"/>
          <w:color w:val="000000" w:themeColor="text1"/>
        </w:rPr>
        <w:t xml:space="preserve">z ładowaniem na terenie zajezdni, </w:t>
      </w:r>
      <w:r w:rsidR="009C6E34">
        <w:rPr>
          <w:rFonts w:cs="Tahoma"/>
          <w:color w:val="000000" w:themeColor="text1"/>
        </w:rPr>
        <w:t>w najszybszym czasie, w jakim możliwe</w:t>
      </w:r>
      <w:r w:rsidRPr="00D1252D">
        <w:rPr>
          <w:rFonts w:cs="Tahoma"/>
          <w:color w:val="000000" w:themeColor="text1"/>
        </w:rPr>
        <w:t xml:space="preserve"> </w:t>
      </w:r>
      <w:r w:rsidR="009C6E34">
        <w:rPr>
          <w:rFonts w:cs="Tahoma"/>
          <w:color w:val="000000" w:themeColor="text1"/>
        </w:rPr>
        <w:t>będzie</w:t>
      </w:r>
      <w:r w:rsidR="009C6E34" w:rsidRPr="00D1252D">
        <w:rPr>
          <w:rFonts w:cs="Tahoma"/>
          <w:color w:val="000000" w:themeColor="text1"/>
        </w:rPr>
        <w:t> ich uruchomienie</w:t>
      </w:r>
      <w:r w:rsidRPr="00D1252D">
        <w:rPr>
          <w:rFonts w:cs="Tahoma"/>
          <w:color w:val="000000" w:themeColor="text1"/>
        </w:rPr>
        <w:t>.</w:t>
      </w:r>
      <w:bookmarkEnd w:id="41"/>
      <w:r w:rsidR="009A2DF2" w:rsidRPr="00821AF6">
        <w:rPr>
          <w:color w:val="000000"/>
        </w:rPr>
        <w:br w:type="page"/>
      </w:r>
    </w:p>
    <w:p w14:paraId="6D41164F" w14:textId="77777777" w:rsidR="000C512A" w:rsidRPr="00821AF6" w:rsidRDefault="005B489B" w:rsidP="00227C70">
      <w:pPr>
        <w:pStyle w:val="Nagwek1"/>
        <w:ind w:left="431" w:hanging="431"/>
        <w:rPr>
          <w:color w:val="000000"/>
        </w:rPr>
      </w:pPr>
      <w:bookmarkStart w:id="42" w:name="_Toc89417670"/>
      <w:r w:rsidRPr="00821AF6">
        <w:rPr>
          <w:color w:val="000000"/>
        </w:rPr>
        <w:lastRenderedPageBreak/>
        <w:t>Identyfikacja wariantów</w:t>
      </w:r>
      <w:bookmarkEnd w:id="42"/>
    </w:p>
    <w:p w14:paraId="7501B3A1" w14:textId="56A300E1" w:rsidR="000C512A" w:rsidRPr="00821AF6" w:rsidRDefault="003E6593" w:rsidP="00227C70">
      <w:pPr>
        <w:pStyle w:val="Nagwek2"/>
        <w:spacing w:before="120"/>
        <w:ind w:left="567"/>
        <w:jc w:val="center"/>
      </w:pPr>
      <w:bookmarkStart w:id="43" w:name="_Toc524602371"/>
      <w:bookmarkStart w:id="44" w:name="_Toc89417671"/>
      <w:r w:rsidRPr="00821AF6">
        <w:t>Problematyka rodzaju taboru w opracowaniach strategicznych</w:t>
      </w:r>
      <w:bookmarkEnd w:id="43"/>
      <w:r w:rsidRPr="00821AF6">
        <w:t xml:space="preserve"> </w:t>
      </w:r>
      <w:r w:rsidR="00C73F5E">
        <w:t>Rzeszowa</w:t>
      </w:r>
      <w:bookmarkEnd w:id="44"/>
      <w:r w:rsidR="00C73F5E">
        <w:t xml:space="preserve"> </w:t>
      </w:r>
    </w:p>
    <w:p w14:paraId="3967B6E3" w14:textId="1218C855" w:rsidR="006B5765" w:rsidRPr="00821AF6" w:rsidRDefault="009A2DF2" w:rsidP="00227C70">
      <w:r w:rsidRPr="00821AF6">
        <w:t>P</w:t>
      </w:r>
      <w:r w:rsidR="000C512A" w:rsidRPr="00821AF6">
        <w:t>rzedmiotem niniejszej analiz</w:t>
      </w:r>
      <w:r w:rsidRPr="00821AF6">
        <w:t>y</w:t>
      </w:r>
      <w:r w:rsidR="000C512A" w:rsidRPr="00821AF6">
        <w:t xml:space="preserve"> jest identyfikacja kosztów i korzyści powstałych w wyniku zapewnienia przez Miast</w:t>
      </w:r>
      <w:r w:rsidR="00427C49" w:rsidRPr="00821AF6">
        <w:t>o</w:t>
      </w:r>
      <w:r w:rsidR="000C512A" w:rsidRPr="00821AF6">
        <w:t xml:space="preserve"> </w:t>
      </w:r>
      <w:r w:rsidR="00C73F5E">
        <w:t xml:space="preserve">Rzeszów </w:t>
      </w:r>
      <w:r w:rsidR="000C512A" w:rsidRPr="00821AF6">
        <w:t>świadczenia usług w ramach komunikacji miejskiej autobusami zeroemisyjnymi – zgodnie z wymogami art. 36 oraz art. 68 ust. 4 ustawy o</w:t>
      </w:r>
      <w:r w:rsidR="00676D21" w:rsidRPr="00821AF6">
        <w:t> </w:t>
      </w:r>
      <w:r w:rsidR="000C512A" w:rsidRPr="00821AF6">
        <w:t>elektromobilności</w:t>
      </w:r>
      <w:r w:rsidR="006B5765" w:rsidRPr="00821AF6">
        <w:t xml:space="preserve">. Zdefiniowanie wariantów możliwych inwestycji taborowych wymaga analizy – pod kątem zakładanych w tym zakresie inwestycji – opracowań strategicznych </w:t>
      </w:r>
      <w:r w:rsidR="00F1258F">
        <w:t>Rzeszowa</w:t>
      </w:r>
      <w:r w:rsidR="006B5765" w:rsidRPr="00821AF6">
        <w:t>.</w:t>
      </w:r>
    </w:p>
    <w:p w14:paraId="49ACE28C" w14:textId="3D47B125" w:rsidR="008B4379" w:rsidRPr="00821AF6" w:rsidRDefault="00BA2382" w:rsidP="00227C70">
      <w:r>
        <w:t xml:space="preserve">Tabor </w:t>
      </w:r>
      <w:r w:rsidR="00E830D3" w:rsidRPr="00821AF6">
        <w:t>użytkowan</w:t>
      </w:r>
      <w:r>
        <w:t xml:space="preserve">y </w:t>
      </w:r>
      <w:r w:rsidR="001F412C">
        <w:t xml:space="preserve">w komunikacji miejskiej w </w:t>
      </w:r>
      <w:r w:rsidR="00F1258F">
        <w:t>Rzeszowie</w:t>
      </w:r>
      <w:r w:rsidR="00AE0C28">
        <w:t xml:space="preserve"> </w:t>
      </w:r>
      <w:r w:rsidR="00E830D3" w:rsidRPr="00821AF6">
        <w:t xml:space="preserve">wg stanu </w:t>
      </w:r>
      <w:r w:rsidR="000C512A" w:rsidRPr="00821AF6">
        <w:t xml:space="preserve">na dzień </w:t>
      </w:r>
      <w:r w:rsidR="00227C70">
        <w:t>3</w:t>
      </w:r>
      <w:r w:rsidR="00B46CF8">
        <w:t>0</w:t>
      </w:r>
      <w:r w:rsidR="000C512A" w:rsidRPr="00821AF6">
        <w:t xml:space="preserve"> </w:t>
      </w:r>
      <w:r w:rsidR="00227C70">
        <w:t>października</w:t>
      </w:r>
      <w:r w:rsidR="003335B4" w:rsidRPr="00821AF6">
        <w:t xml:space="preserve"> 2021</w:t>
      </w:r>
      <w:r w:rsidR="00227C70">
        <w:t xml:space="preserve"> r. przedstawiono w tabeli 3</w:t>
      </w:r>
      <w:r w:rsidR="007C1373" w:rsidRPr="00821AF6">
        <w:t xml:space="preserve"> w rozdziale 5.</w:t>
      </w:r>
    </w:p>
    <w:p w14:paraId="19090CF7" w14:textId="06988593" w:rsidR="00ED32A2" w:rsidRPr="00821AF6" w:rsidRDefault="00ED32A2" w:rsidP="00227C70">
      <w:pPr>
        <w:rPr>
          <w:rFonts w:cs="Tahoma"/>
        </w:rPr>
      </w:pPr>
      <w:r w:rsidRPr="00821AF6">
        <w:rPr>
          <w:rFonts w:cs="Tahoma"/>
        </w:rPr>
        <w:t xml:space="preserve">Problematyka odnowy taboru </w:t>
      </w:r>
      <w:r w:rsidR="00C73F5E">
        <w:rPr>
          <w:rFonts w:cs="Tahoma"/>
        </w:rPr>
        <w:t>rzeszowskie</w:t>
      </w:r>
      <w:r w:rsidR="00AE0C28">
        <w:rPr>
          <w:rFonts w:cs="Tahoma"/>
        </w:rPr>
        <w:t>j</w:t>
      </w:r>
      <w:r w:rsidR="00265608">
        <w:rPr>
          <w:rFonts w:cs="Tahoma"/>
        </w:rPr>
        <w:t xml:space="preserve"> </w:t>
      </w:r>
      <w:r w:rsidRPr="00821AF6">
        <w:rPr>
          <w:rFonts w:cs="Tahoma"/>
        </w:rPr>
        <w:t>komunikacji miejskiej zawarta została w różnych dokumentach strategicznych</w:t>
      </w:r>
      <w:r w:rsidR="008B4379" w:rsidRPr="00821AF6">
        <w:rPr>
          <w:rFonts w:cs="Tahoma"/>
        </w:rPr>
        <w:t xml:space="preserve"> </w:t>
      </w:r>
      <w:r w:rsidR="00227C70">
        <w:rPr>
          <w:rFonts w:cs="Tahoma"/>
        </w:rPr>
        <w:t>województwa oraz</w:t>
      </w:r>
      <w:r w:rsidR="00400ECF">
        <w:rPr>
          <w:rFonts w:cs="Tahoma"/>
        </w:rPr>
        <w:t xml:space="preserve"> </w:t>
      </w:r>
      <w:r w:rsidR="008B4379" w:rsidRPr="00821AF6">
        <w:rPr>
          <w:rFonts w:cs="Tahoma"/>
        </w:rPr>
        <w:t>miasta</w:t>
      </w:r>
      <w:r w:rsidR="00227C70">
        <w:rPr>
          <w:rFonts w:cs="Tahoma"/>
        </w:rPr>
        <w:t xml:space="preserve"> i jego obszaru funkcjonalnego</w:t>
      </w:r>
      <w:r w:rsidR="008B4379" w:rsidRPr="00821AF6">
        <w:rPr>
          <w:rFonts w:cs="Tahoma"/>
        </w:rPr>
        <w:t>.</w:t>
      </w:r>
    </w:p>
    <w:p w14:paraId="5F7CB311" w14:textId="33170ACD" w:rsidR="00227C70" w:rsidRPr="001D66C7" w:rsidRDefault="00227C70" w:rsidP="00227C70">
      <w:pPr>
        <w:rPr>
          <w:rFonts w:cs="Tahoma"/>
          <w:color w:val="000000" w:themeColor="text1"/>
        </w:rPr>
      </w:pPr>
      <w:bookmarkStart w:id="45" w:name="_Hlk73281171"/>
      <w:r w:rsidRPr="001D66C7">
        <w:rPr>
          <w:rFonts w:cs="Tahoma"/>
          <w:color w:val="000000" w:themeColor="text1"/>
        </w:rPr>
        <w:t>W „Strategii rozwoju województwa – Podkarpackie 2030”</w:t>
      </w:r>
      <w:r>
        <w:rPr>
          <w:rStyle w:val="Odwoanieprzypisudolnego"/>
          <w:rFonts w:cs="Tahoma"/>
          <w:color w:val="000000" w:themeColor="text1"/>
        </w:rPr>
        <w:footnoteReference w:id="7"/>
      </w:r>
      <w:r w:rsidRPr="001D66C7">
        <w:rPr>
          <w:rFonts w:cs="Tahoma"/>
          <w:color w:val="000000" w:themeColor="text1"/>
        </w:rPr>
        <w:t xml:space="preserve"> przyjęto aż dziewięć różnych scenariuszy rozwoju województwa, trzy główne: realny – oparty na prognoz</w:t>
      </w:r>
      <w:r>
        <w:rPr>
          <w:rFonts w:cs="Tahoma"/>
          <w:color w:val="000000" w:themeColor="text1"/>
        </w:rPr>
        <w:t>ie</w:t>
      </w:r>
      <w:r w:rsidRPr="001D66C7">
        <w:rPr>
          <w:rFonts w:cs="Tahoma"/>
          <w:color w:val="000000" w:themeColor="text1"/>
        </w:rPr>
        <w:t xml:space="preserve"> recesji przygotowanych przez NBP (5,4% w 2020 r.), optymistyczny – o zakładanej niższej recesji niż prognozy NBP (3,6-4,2%) oraz pesymistyczny – przyjmujący głębszą recesję niż prognozy NBP</w:t>
      </w:r>
      <w:r>
        <w:rPr>
          <w:rFonts w:cs="Tahoma"/>
          <w:color w:val="000000" w:themeColor="text1"/>
        </w:rPr>
        <w:t xml:space="preserve"> </w:t>
      </w:r>
      <w:r w:rsidRPr="001D66C7">
        <w:rPr>
          <w:rFonts w:cs="Tahoma"/>
          <w:color w:val="000000" w:themeColor="text1"/>
        </w:rPr>
        <w:t xml:space="preserve">(7,%). W każdym ze scenariuszy przyjęto trzy jego warianty: bazowy – zakładający brak wsparcia środkami pomocowymi UE, </w:t>
      </w:r>
      <w:proofErr w:type="spellStart"/>
      <w:r w:rsidRPr="001D66C7">
        <w:rPr>
          <w:rFonts w:cs="Tahoma"/>
          <w:color w:val="000000" w:themeColor="text1"/>
        </w:rPr>
        <w:t>spójnościowy</w:t>
      </w:r>
      <w:proofErr w:type="spellEnd"/>
      <w:r w:rsidRPr="001D66C7">
        <w:rPr>
          <w:rFonts w:cs="Tahoma"/>
          <w:color w:val="000000" w:themeColor="text1"/>
        </w:rPr>
        <w:t xml:space="preserve"> – zakładający skorzystanie województwa z funduszy spójności UE oraz post-covidowy – zakładający poza wsparciem z funduszy spójności także wsparcie środkami pomocy post-COVID.</w:t>
      </w:r>
    </w:p>
    <w:p w14:paraId="4F68BDA8" w14:textId="5A69EF6B" w:rsidR="00227C70" w:rsidRPr="001D66C7" w:rsidRDefault="00227C70" w:rsidP="003303F6">
      <w:pPr>
        <w:rPr>
          <w:rFonts w:cs="Tahoma"/>
          <w:color w:val="000000" w:themeColor="text1"/>
        </w:rPr>
      </w:pPr>
      <w:r w:rsidRPr="001D66C7">
        <w:rPr>
          <w:rFonts w:cs="Tahoma"/>
          <w:color w:val="000000" w:themeColor="text1"/>
        </w:rPr>
        <w:t>Strategia określa wizję województwa</w:t>
      </w:r>
      <w:r w:rsidR="003303F6">
        <w:rPr>
          <w:rFonts w:cs="Tahoma"/>
          <w:color w:val="000000" w:themeColor="text1"/>
        </w:rPr>
        <w:t>, a jako</w:t>
      </w:r>
      <w:r w:rsidRPr="001D66C7">
        <w:rPr>
          <w:rFonts w:cs="Tahoma"/>
          <w:color w:val="000000" w:themeColor="text1"/>
        </w:rPr>
        <w:t xml:space="preserve"> </w:t>
      </w:r>
      <w:r w:rsidR="003303F6">
        <w:rPr>
          <w:rFonts w:cs="Tahoma"/>
          <w:color w:val="000000" w:themeColor="text1"/>
        </w:rPr>
        <w:t>oraz cel</w:t>
      </w:r>
      <w:r w:rsidRPr="001D66C7">
        <w:rPr>
          <w:rFonts w:cs="Tahoma"/>
          <w:color w:val="000000" w:themeColor="text1"/>
        </w:rPr>
        <w:t xml:space="preserve"> główny </w:t>
      </w:r>
      <w:r w:rsidR="003303F6">
        <w:rPr>
          <w:rFonts w:cs="Tahoma"/>
          <w:color w:val="000000" w:themeColor="text1"/>
        </w:rPr>
        <w:t>–</w:t>
      </w:r>
      <w:r w:rsidR="00187723">
        <w:rPr>
          <w:rFonts w:cs="Tahoma"/>
          <w:color w:val="000000" w:themeColor="text1"/>
        </w:rPr>
        <w:t xml:space="preserve"> </w:t>
      </w:r>
      <w:r w:rsidRPr="001D66C7">
        <w:rPr>
          <w:rFonts w:cs="Tahoma"/>
          <w:color w:val="000000" w:themeColor="text1"/>
        </w:rPr>
        <w:t xml:space="preserve">Odpowiedzialne i efektywne wykorzystanie zasobów </w:t>
      </w:r>
      <w:proofErr w:type="spellStart"/>
      <w:r w:rsidRPr="001D66C7">
        <w:rPr>
          <w:rFonts w:cs="Tahoma"/>
          <w:color w:val="000000" w:themeColor="text1"/>
        </w:rPr>
        <w:t>endo</w:t>
      </w:r>
      <w:proofErr w:type="spellEnd"/>
      <w:r w:rsidRPr="001D66C7">
        <w:rPr>
          <w:rFonts w:cs="Tahoma"/>
          <w:color w:val="000000" w:themeColor="text1"/>
        </w:rPr>
        <w:t>- i egzogenicznych regionu, zapewniające trwały, zrównoważony i terytorialnie równomierny rozwój gospodarczy oraz wysoką jakoś</w:t>
      </w:r>
      <w:r w:rsidR="003303F6">
        <w:rPr>
          <w:rFonts w:cs="Tahoma"/>
          <w:color w:val="000000" w:themeColor="text1"/>
        </w:rPr>
        <w:t>ć życia mieszkańców województwa</w:t>
      </w:r>
      <w:r w:rsidRPr="001D66C7">
        <w:rPr>
          <w:rFonts w:cs="Tahoma"/>
          <w:color w:val="000000" w:themeColor="text1"/>
        </w:rPr>
        <w:t>.</w:t>
      </w:r>
    </w:p>
    <w:p w14:paraId="0040C78D" w14:textId="77777777" w:rsidR="00227C70" w:rsidRPr="001D66C7" w:rsidRDefault="00227C70" w:rsidP="00227C70">
      <w:pPr>
        <w:rPr>
          <w:rFonts w:cs="Tahoma"/>
          <w:color w:val="000000" w:themeColor="text1"/>
        </w:rPr>
      </w:pPr>
      <w:r w:rsidRPr="001D66C7">
        <w:rPr>
          <w:rFonts w:cs="Tahoma"/>
          <w:color w:val="000000" w:themeColor="text1"/>
        </w:rPr>
        <w:t xml:space="preserve">Strategia obejmuje cztery obszary tematyczne: </w:t>
      </w:r>
    </w:p>
    <w:p w14:paraId="503426D1" w14:textId="77777777" w:rsidR="00227C70" w:rsidRPr="001D66C7" w:rsidRDefault="00227C70" w:rsidP="007E0C6A">
      <w:pPr>
        <w:pStyle w:val="Akapitzlist"/>
        <w:numPr>
          <w:ilvl w:val="0"/>
          <w:numId w:val="27"/>
        </w:numPr>
        <w:spacing w:after="0" w:line="360" w:lineRule="auto"/>
        <w:ind w:left="357" w:hanging="357"/>
        <w:jc w:val="both"/>
        <w:rPr>
          <w:rFonts w:ascii="Tahoma" w:hAnsi="Tahoma" w:cs="Tahoma"/>
          <w:color w:val="000000" w:themeColor="text1"/>
        </w:rPr>
      </w:pPr>
      <w:r w:rsidRPr="001D66C7">
        <w:rPr>
          <w:rFonts w:ascii="Tahoma" w:hAnsi="Tahoma" w:cs="Tahoma"/>
          <w:color w:val="000000" w:themeColor="text1"/>
        </w:rPr>
        <w:t>Gospodarka i nauka;</w:t>
      </w:r>
    </w:p>
    <w:p w14:paraId="7BC1FB69" w14:textId="77777777" w:rsidR="00227C70" w:rsidRPr="001D66C7" w:rsidRDefault="00227C70" w:rsidP="007E0C6A">
      <w:pPr>
        <w:pStyle w:val="Akapitzlist"/>
        <w:numPr>
          <w:ilvl w:val="0"/>
          <w:numId w:val="27"/>
        </w:numPr>
        <w:spacing w:after="0" w:line="360" w:lineRule="auto"/>
        <w:ind w:left="357" w:hanging="357"/>
        <w:jc w:val="both"/>
        <w:rPr>
          <w:rFonts w:ascii="Tahoma" w:hAnsi="Tahoma" w:cs="Tahoma"/>
          <w:color w:val="000000" w:themeColor="text1"/>
        </w:rPr>
      </w:pPr>
      <w:r w:rsidRPr="001D66C7">
        <w:rPr>
          <w:rFonts w:ascii="Tahoma" w:hAnsi="Tahoma" w:cs="Tahoma"/>
          <w:color w:val="000000" w:themeColor="text1"/>
        </w:rPr>
        <w:t xml:space="preserve">Kapitał ludzki i społeczny; </w:t>
      </w:r>
    </w:p>
    <w:p w14:paraId="5BD6F16A" w14:textId="77777777" w:rsidR="00227C70" w:rsidRPr="001D66C7" w:rsidRDefault="00227C70" w:rsidP="007E0C6A">
      <w:pPr>
        <w:pStyle w:val="Akapitzlist"/>
        <w:numPr>
          <w:ilvl w:val="0"/>
          <w:numId w:val="27"/>
        </w:numPr>
        <w:spacing w:after="0" w:line="360" w:lineRule="auto"/>
        <w:ind w:left="357" w:hanging="357"/>
        <w:jc w:val="both"/>
        <w:rPr>
          <w:rFonts w:ascii="Tahoma" w:hAnsi="Tahoma" w:cs="Tahoma"/>
          <w:color w:val="000000" w:themeColor="text1"/>
        </w:rPr>
      </w:pPr>
      <w:r w:rsidRPr="001D66C7">
        <w:rPr>
          <w:rFonts w:ascii="Tahoma" w:hAnsi="Tahoma" w:cs="Tahoma"/>
          <w:color w:val="000000" w:themeColor="text1"/>
        </w:rPr>
        <w:t xml:space="preserve">Infrastruktura dla zrównoważonego rozwoju i środowiska; </w:t>
      </w:r>
    </w:p>
    <w:p w14:paraId="5FF85C87" w14:textId="77777777" w:rsidR="00227C70" w:rsidRPr="001D66C7" w:rsidRDefault="00227C70" w:rsidP="007E0C6A">
      <w:pPr>
        <w:pStyle w:val="Akapitzlist"/>
        <w:numPr>
          <w:ilvl w:val="0"/>
          <w:numId w:val="27"/>
        </w:numPr>
        <w:spacing w:after="0" w:line="360" w:lineRule="auto"/>
        <w:ind w:left="357" w:hanging="357"/>
        <w:jc w:val="both"/>
        <w:rPr>
          <w:rFonts w:ascii="Tahoma" w:hAnsi="Tahoma" w:cs="Tahoma"/>
          <w:color w:val="000000" w:themeColor="text1"/>
        </w:rPr>
      </w:pPr>
      <w:r w:rsidRPr="001D66C7">
        <w:rPr>
          <w:rFonts w:ascii="Tahoma" w:hAnsi="Tahoma" w:cs="Tahoma"/>
          <w:color w:val="000000" w:themeColor="text1"/>
        </w:rPr>
        <w:t xml:space="preserve">Dostępność usług. </w:t>
      </w:r>
    </w:p>
    <w:p w14:paraId="56028BE5" w14:textId="521DF21A" w:rsidR="00227C70" w:rsidRPr="001D66C7" w:rsidRDefault="00227C70" w:rsidP="00227C70">
      <w:pPr>
        <w:rPr>
          <w:rFonts w:cs="Tahoma"/>
          <w:color w:val="000000" w:themeColor="text1"/>
        </w:rPr>
      </w:pPr>
      <w:r w:rsidRPr="001D66C7">
        <w:rPr>
          <w:rFonts w:cs="Tahoma"/>
          <w:color w:val="000000" w:themeColor="text1"/>
        </w:rPr>
        <w:t>W każdy</w:t>
      </w:r>
      <w:r>
        <w:rPr>
          <w:rFonts w:cs="Tahoma"/>
          <w:color w:val="000000" w:themeColor="text1"/>
        </w:rPr>
        <w:t>m</w:t>
      </w:r>
      <w:r w:rsidRPr="001D66C7">
        <w:rPr>
          <w:rFonts w:cs="Tahoma"/>
          <w:color w:val="000000" w:themeColor="text1"/>
        </w:rPr>
        <w:t xml:space="preserve"> z obszarów wyznaczono priorytety</w:t>
      </w:r>
      <w:r w:rsidR="003303F6">
        <w:rPr>
          <w:rFonts w:cs="Tahoma"/>
          <w:color w:val="000000" w:themeColor="text1"/>
        </w:rPr>
        <w:t xml:space="preserve">, </w:t>
      </w:r>
      <w:r w:rsidRPr="001D66C7">
        <w:rPr>
          <w:rFonts w:cs="Tahoma"/>
          <w:color w:val="000000" w:themeColor="text1"/>
        </w:rPr>
        <w:t>cele główne obszarów tematycznych</w:t>
      </w:r>
      <w:r w:rsidR="003303F6">
        <w:rPr>
          <w:rFonts w:cs="Tahoma"/>
          <w:color w:val="000000" w:themeColor="text1"/>
        </w:rPr>
        <w:t xml:space="preserve">, </w:t>
      </w:r>
      <w:r w:rsidRPr="001D66C7">
        <w:rPr>
          <w:rFonts w:cs="Tahoma"/>
          <w:color w:val="000000" w:themeColor="text1"/>
        </w:rPr>
        <w:t>cele szczegółowe</w:t>
      </w:r>
      <w:r w:rsidR="003303F6">
        <w:rPr>
          <w:rFonts w:cs="Tahoma"/>
          <w:color w:val="000000" w:themeColor="text1"/>
        </w:rPr>
        <w:t xml:space="preserve">, </w:t>
      </w:r>
      <w:r w:rsidRPr="001D66C7">
        <w:rPr>
          <w:rFonts w:cs="Tahoma"/>
          <w:color w:val="000000" w:themeColor="text1"/>
        </w:rPr>
        <w:t>kierunki działań oraz zakładane działania.</w:t>
      </w:r>
    </w:p>
    <w:p w14:paraId="65D62072" w14:textId="669D7629" w:rsidR="003303F6" w:rsidRPr="001D66C7" w:rsidRDefault="00227C70" w:rsidP="003303F6">
      <w:pPr>
        <w:rPr>
          <w:rFonts w:cs="Tahoma"/>
          <w:bCs/>
          <w:color w:val="000000" w:themeColor="text1"/>
        </w:rPr>
      </w:pPr>
      <w:r w:rsidRPr="001D66C7">
        <w:rPr>
          <w:rFonts w:cs="Tahoma"/>
          <w:color w:val="000000" w:themeColor="text1"/>
        </w:rPr>
        <w:lastRenderedPageBreak/>
        <w:t xml:space="preserve">W ramach obszaru 3. Infrastruktura dla zrównoważonego rozwoju i środowiska spójności przestrzennej wyróżniono osiem priorytetów, </w:t>
      </w:r>
      <w:r>
        <w:rPr>
          <w:rFonts w:cs="Tahoma"/>
          <w:color w:val="000000" w:themeColor="text1"/>
        </w:rPr>
        <w:t>a</w:t>
      </w:r>
      <w:r w:rsidR="003303F6">
        <w:rPr>
          <w:rFonts w:cs="Tahoma"/>
          <w:color w:val="000000" w:themeColor="text1"/>
        </w:rPr>
        <w:t xml:space="preserve"> wśród nich priorytet </w:t>
      </w:r>
      <w:r w:rsidRPr="001D66C7">
        <w:rPr>
          <w:rFonts w:cs="Tahoma"/>
          <w:color w:val="000000" w:themeColor="text1"/>
        </w:rPr>
        <w:t>3.3</w:t>
      </w:r>
      <w:r>
        <w:rPr>
          <w:rFonts w:cs="Tahoma"/>
          <w:color w:val="000000" w:themeColor="text1"/>
        </w:rPr>
        <w:t>.</w:t>
      </w:r>
      <w:r w:rsidR="003303F6">
        <w:rPr>
          <w:rFonts w:cs="Tahoma"/>
          <w:color w:val="000000" w:themeColor="text1"/>
        </w:rPr>
        <w:t xml:space="preserve"> – </w:t>
      </w:r>
      <w:r w:rsidRPr="001D66C7">
        <w:rPr>
          <w:rFonts w:cs="Tahoma"/>
          <w:bCs/>
          <w:color w:val="000000" w:themeColor="text1"/>
        </w:rPr>
        <w:t xml:space="preserve">Poprawa dostępności komunikacyjnej wewnątrz regionu oraz rozwój transportu </w:t>
      </w:r>
      <w:r w:rsidR="003303F6">
        <w:rPr>
          <w:rFonts w:cs="Tahoma"/>
          <w:bCs/>
          <w:color w:val="000000" w:themeColor="text1"/>
        </w:rPr>
        <w:t>publicznego.</w:t>
      </w:r>
    </w:p>
    <w:p w14:paraId="307087A4" w14:textId="249815A1" w:rsidR="00227C70" w:rsidRPr="001D66C7" w:rsidRDefault="00227C70" w:rsidP="00EA1C3E">
      <w:pPr>
        <w:rPr>
          <w:rFonts w:cs="Tahoma"/>
          <w:color w:val="000000" w:themeColor="text1"/>
        </w:rPr>
      </w:pPr>
      <w:r w:rsidRPr="001D66C7">
        <w:rPr>
          <w:rFonts w:cs="Tahoma"/>
          <w:color w:val="000000" w:themeColor="text1"/>
        </w:rPr>
        <w:t xml:space="preserve">W ramach </w:t>
      </w:r>
      <w:r w:rsidR="003303F6">
        <w:rPr>
          <w:rFonts w:cs="Tahoma"/>
          <w:color w:val="000000" w:themeColor="text1"/>
        </w:rPr>
        <w:t xml:space="preserve">tego </w:t>
      </w:r>
      <w:r w:rsidRPr="001D66C7">
        <w:rPr>
          <w:rFonts w:cs="Tahoma"/>
          <w:color w:val="000000" w:themeColor="text1"/>
        </w:rPr>
        <w:t xml:space="preserve">priorytetu </w:t>
      </w:r>
      <w:r w:rsidR="003303F6">
        <w:rPr>
          <w:rFonts w:cs="Tahoma"/>
          <w:color w:val="000000" w:themeColor="text1"/>
        </w:rPr>
        <w:t>jednym z dwóch kierunków</w:t>
      </w:r>
      <w:r w:rsidRPr="001D66C7">
        <w:rPr>
          <w:rFonts w:cs="Tahoma"/>
          <w:color w:val="000000" w:themeColor="text1"/>
        </w:rPr>
        <w:t xml:space="preserve"> </w:t>
      </w:r>
      <w:r w:rsidR="003303F6">
        <w:rPr>
          <w:rFonts w:cs="Tahoma"/>
          <w:color w:val="000000" w:themeColor="text1"/>
        </w:rPr>
        <w:t xml:space="preserve">działań jest kierunek </w:t>
      </w:r>
      <w:r w:rsidR="003303F6">
        <w:rPr>
          <w:rFonts w:eastAsia="Calibri" w:cs="Tahoma"/>
          <w:color w:val="000000" w:themeColor="text1"/>
          <w:szCs w:val="22"/>
          <w:lang w:eastAsia="en-US"/>
        </w:rPr>
        <w:t xml:space="preserve">3.3.2. – </w:t>
      </w:r>
      <w:r w:rsidR="00D4666B">
        <w:rPr>
          <w:rFonts w:eastAsia="Calibri" w:cs="Tahoma"/>
          <w:color w:val="000000" w:themeColor="text1"/>
          <w:szCs w:val="22"/>
          <w:lang w:eastAsia="en-US"/>
        </w:rPr>
        <w:t xml:space="preserve">Rozwój transportu publicznego. </w:t>
      </w:r>
      <w:r w:rsidR="003303F6">
        <w:rPr>
          <w:rFonts w:eastAsia="Calibri" w:cs="Tahoma"/>
          <w:color w:val="000000" w:themeColor="text1"/>
          <w:szCs w:val="22"/>
          <w:lang w:eastAsia="en-US"/>
        </w:rPr>
        <w:t xml:space="preserve">Obejmuje on </w:t>
      </w:r>
      <w:r w:rsidR="00EA1C3E">
        <w:rPr>
          <w:rFonts w:cs="Tahoma"/>
          <w:color w:val="000000" w:themeColor="text1"/>
        </w:rPr>
        <w:t xml:space="preserve">m.in. </w:t>
      </w:r>
      <w:r w:rsidRPr="001D66C7">
        <w:rPr>
          <w:rFonts w:cs="Tahoma"/>
          <w:color w:val="000000" w:themeColor="text1"/>
        </w:rPr>
        <w:t>zakładane działania:</w:t>
      </w:r>
    </w:p>
    <w:p w14:paraId="5A169BFC" w14:textId="77777777" w:rsidR="00227C70" w:rsidRPr="001D66C7" w:rsidRDefault="00227C70" w:rsidP="007E0C6A">
      <w:pPr>
        <w:numPr>
          <w:ilvl w:val="0"/>
          <w:numId w:val="26"/>
        </w:numPr>
        <w:ind w:left="357" w:hanging="357"/>
        <w:contextualSpacing/>
        <w:rPr>
          <w:rFonts w:eastAsia="Calibri" w:cs="Tahoma"/>
          <w:color w:val="000000" w:themeColor="text1"/>
          <w:szCs w:val="22"/>
          <w:lang w:eastAsia="en-US"/>
        </w:rPr>
      </w:pPr>
      <w:r w:rsidRPr="001D66C7">
        <w:rPr>
          <w:rFonts w:eastAsia="Calibri" w:cs="Tahoma"/>
          <w:color w:val="000000" w:themeColor="text1"/>
          <w:szCs w:val="22"/>
          <w:lang w:eastAsia="en-US"/>
        </w:rPr>
        <w:t>podwyższenie konkurencyjności publicznego transportu zbiorowego wobec indywidualnego transportu samochodowego poprzez udogodnienia dla osób korzystających z komunikacji miejskiej</w:t>
      </w:r>
      <w:r>
        <w:rPr>
          <w:rFonts w:eastAsia="Calibri" w:cs="Tahoma"/>
          <w:color w:val="000000" w:themeColor="text1"/>
          <w:szCs w:val="22"/>
          <w:lang w:eastAsia="en-US"/>
        </w:rPr>
        <w:t>;</w:t>
      </w:r>
    </w:p>
    <w:p w14:paraId="306AE5DE" w14:textId="77777777" w:rsidR="00227C70" w:rsidRPr="001D66C7" w:rsidRDefault="00227C70" w:rsidP="007E0C6A">
      <w:pPr>
        <w:numPr>
          <w:ilvl w:val="0"/>
          <w:numId w:val="26"/>
        </w:numPr>
        <w:ind w:left="357" w:hanging="357"/>
        <w:contextualSpacing/>
        <w:rPr>
          <w:rFonts w:eastAsia="Calibri" w:cs="Tahoma"/>
          <w:color w:val="000000" w:themeColor="text1"/>
          <w:szCs w:val="22"/>
          <w:lang w:eastAsia="en-US"/>
        </w:rPr>
      </w:pPr>
      <w:r w:rsidRPr="001D66C7">
        <w:rPr>
          <w:rFonts w:eastAsia="Calibri" w:cs="Tahoma"/>
          <w:color w:val="000000" w:themeColor="text1"/>
          <w:szCs w:val="22"/>
          <w:lang w:eastAsia="en-US"/>
        </w:rPr>
        <w:t>rozwój transportu miejskiego w kierunku neutralnym klimatycznie m</w:t>
      </w:r>
      <w:r>
        <w:rPr>
          <w:rFonts w:eastAsia="Calibri" w:cs="Tahoma"/>
          <w:color w:val="000000" w:themeColor="text1"/>
          <w:szCs w:val="22"/>
          <w:lang w:eastAsia="en-US"/>
        </w:rPr>
        <w:t>.</w:t>
      </w:r>
      <w:r w:rsidRPr="001D66C7">
        <w:rPr>
          <w:rFonts w:eastAsia="Calibri" w:cs="Tahoma"/>
          <w:color w:val="000000" w:themeColor="text1"/>
          <w:szCs w:val="22"/>
          <w:lang w:eastAsia="en-US"/>
        </w:rPr>
        <w:t>in. poprzez wymianę taboru na niskoemisyjny bądź zeroemisyjny</w:t>
      </w:r>
      <w:r>
        <w:rPr>
          <w:rFonts w:eastAsia="Calibri" w:cs="Tahoma"/>
          <w:color w:val="000000" w:themeColor="text1"/>
          <w:szCs w:val="22"/>
          <w:lang w:eastAsia="en-US"/>
        </w:rPr>
        <w:t>;</w:t>
      </w:r>
    </w:p>
    <w:p w14:paraId="10014EE4" w14:textId="77777777" w:rsidR="00227C70" w:rsidRPr="001D66C7" w:rsidRDefault="00227C70" w:rsidP="007E0C6A">
      <w:pPr>
        <w:numPr>
          <w:ilvl w:val="0"/>
          <w:numId w:val="26"/>
        </w:numPr>
        <w:ind w:left="357" w:hanging="357"/>
        <w:contextualSpacing/>
        <w:rPr>
          <w:rFonts w:eastAsia="Calibri" w:cs="Tahoma"/>
          <w:color w:val="000000" w:themeColor="text1"/>
          <w:szCs w:val="22"/>
          <w:lang w:eastAsia="en-US"/>
        </w:rPr>
      </w:pPr>
      <w:r w:rsidRPr="001D66C7">
        <w:rPr>
          <w:rFonts w:eastAsia="Calibri" w:cs="Tahoma"/>
          <w:color w:val="000000" w:themeColor="text1"/>
          <w:szCs w:val="22"/>
          <w:lang w:eastAsia="en-US"/>
        </w:rPr>
        <w:t>rozwój warunków do elektromobilności</w:t>
      </w:r>
      <w:r>
        <w:rPr>
          <w:rFonts w:eastAsia="Calibri" w:cs="Tahoma"/>
          <w:color w:val="000000" w:themeColor="text1"/>
          <w:szCs w:val="22"/>
          <w:lang w:eastAsia="en-US"/>
        </w:rPr>
        <w:t>;</w:t>
      </w:r>
    </w:p>
    <w:p w14:paraId="1D3C411E" w14:textId="437865C7" w:rsidR="00227C70" w:rsidRPr="001D66C7" w:rsidRDefault="00227C70" w:rsidP="007E0C6A">
      <w:pPr>
        <w:numPr>
          <w:ilvl w:val="0"/>
          <w:numId w:val="26"/>
        </w:numPr>
        <w:ind w:left="357" w:hanging="357"/>
        <w:contextualSpacing/>
        <w:rPr>
          <w:rFonts w:eastAsia="Calibri" w:cs="Tahoma"/>
          <w:color w:val="000000" w:themeColor="text1"/>
          <w:szCs w:val="22"/>
          <w:lang w:eastAsia="en-US"/>
        </w:rPr>
      </w:pPr>
      <w:r w:rsidRPr="001D66C7">
        <w:rPr>
          <w:rFonts w:eastAsia="Calibri" w:cs="Tahoma"/>
          <w:color w:val="000000" w:themeColor="text1"/>
          <w:szCs w:val="22"/>
          <w:lang w:eastAsia="en-US"/>
        </w:rPr>
        <w:t xml:space="preserve">wprowadzenie systemów sterowania ruchem w celu jego upłynnienia </w:t>
      </w:r>
      <w:r w:rsidR="00187723">
        <w:rPr>
          <w:rFonts w:eastAsia="Calibri" w:cs="Tahoma"/>
          <w:color w:val="000000" w:themeColor="text1"/>
          <w:szCs w:val="22"/>
          <w:lang w:eastAsia="en-US"/>
        </w:rPr>
        <w:t>i zmniejszenia emisji;</w:t>
      </w:r>
    </w:p>
    <w:p w14:paraId="2B9AEFE5" w14:textId="77777777" w:rsidR="00227C70" w:rsidRPr="001D66C7" w:rsidRDefault="00227C70" w:rsidP="007E0C6A">
      <w:pPr>
        <w:numPr>
          <w:ilvl w:val="0"/>
          <w:numId w:val="26"/>
        </w:numPr>
        <w:ind w:left="357" w:hanging="357"/>
        <w:contextualSpacing/>
        <w:rPr>
          <w:rFonts w:eastAsia="Calibri" w:cs="Tahoma"/>
          <w:color w:val="000000" w:themeColor="text1"/>
          <w:szCs w:val="22"/>
          <w:lang w:eastAsia="en-US"/>
        </w:rPr>
      </w:pPr>
      <w:r w:rsidRPr="001D66C7">
        <w:rPr>
          <w:rFonts w:eastAsia="Calibri" w:cs="Tahoma"/>
          <w:color w:val="000000" w:themeColor="text1"/>
          <w:szCs w:val="22"/>
          <w:lang w:eastAsia="en-US"/>
        </w:rPr>
        <w:t>wprowadzenie zintegrowanego systemu transportu publicznego uwzględniającego działania wielu przewoźników polegające na opracowaniu wspólnego biletu</w:t>
      </w:r>
      <w:r>
        <w:rPr>
          <w:rFonts w:eastAsia="Calibri" w:cs="Tahoma"/>
          <w:color w:val="000000" w:themeColor="text1"/>
          <w:szCs w:val="22"/>
          <w:lang w:eastAsia="en-US"/>
        </w:rPr>
        <w:t>;</w:t>
      </w:r>
    </w:p>
    <w:p w14:paraId="71F1EF6B" w14:textId="77777777" w:rsidR="00227C70" w:rsidRPr="001D66C7" w:rsidRDefault="00227C70" w:rsidP="007E0C6A">
      <w:pPr>
        <w:numPr>
          <w:ilvl w:val="0"/>
          <w:numId w:val="26"/>
        </w:numPr>
        <w:ind w:left="357" w:hanging="357"/>
        <w:contextualSpacing/>
        <w:rPr>
          <w:rFonts w:eastAsia="Calibri" w:cs="Tahoma"/>
          <w:color w:val="000000" w:themeColor="text1"/>
          <w:szCs w:val="22"/>
          <w:lang w:eastAsia="en-US"/>
        </w:rPr>
      </w:pPr>
      <w:r w:rsidRPr="001D66C7">
        <w:rPr>
          <w:rFonts w:eastAsia="Calibri" w:cs="Tahoma"/>
          <w:color w:val="000000" w:themeColor="text1"/>
          <w:szCs w:val="22"/>
          <w:lang w:eastAsia="en-US"/>
        </w:rPr>
        <w:t>budowa i rozbudowa infrastruktury typu P&amp;R, B&amp;R</w:t>
      </w:r>
      <w:r>
        <w:rPr>
          <w:rFonts w:eastAsia="Calibri" w:cs="Tahoma"/>
          <w:color w:val="000000" w:themeColor="text1"/>
          <w:szCs w:val="22"/>
          <w:lang w:eastAsia="en-US"/>
        </w:rPr>
        <w:t>;</w:t>
      </w:r>
    </w:p>
    <w:p w14:paraId="25B6408D" w14:textId="77777777" w:rsidR="00227C70" w:rsidRPr="001D66C7" w:rsidRDefault="00227C70" w:rsidP="007E0C6A">
      <w:pPr>
        <w:numPr>
          <w:ilvl w:val="0"/>
          <w:numId w:val="26"/>
        </w:numPr>
        <w:ind w:left="357" w:hanging="357"/>
        <w:contextualSpacing/>
        <w:rPr>
          <w:rFonts w:eastAsia="Calibri" w:cs="Tahoma"/>
          <w:color w:val="000000" w:themeColor="text1"/>
          <w:szCs w:val="22"/>
          <w:lang w:eastAsia="en-US"/>
        </w:rPr>
      </w:pPr>
      <w:r w:rsidRPr="001D66C7">
        <w:rPr>
          <w:rFonts w:eastAsia="Calibri" w:cs="Tahoma"/>
          <w:color w:val="000000" w:themeColor="text1"/>
          <w:szCs w:val="22"/>
          <w:lang w:eastAsia="en-US"/>
        </w:rPr>
        <w:t>wprowadzenie udogodnień drogowych tj. buspasów w celu usprawnienia przejazdu dla pojazdów komunikacji miejskiej i minimalizowania ryzyka powstawania korków drogowych</w:t>
      </w:r>
      <w:r>
        <w:rPr>
          <w:rFonts w:eastAsia="Calibri" w:cs="Tahoma"/>
          <w:color w:val="000000" w:themeColor="text1"/>
          <w:szCs w:val="22"/>
          <w:lang w:eastAsia="en-US"/>
        </w:rPr>
        <w:t>;</w:t>
      </w:r>
    </w:p>
    <w:p w14:paraId="5BD73A16" w14:textId="5796FB97" w:rsidR="00227C70" w:rsidRPr="001D66C7" w:rsidRDefault="00227C70" w:rsidP="007E0C6A">
      <w:pPr>
        <w:numPr>
          <w:ilvl w:val="0"/>
          <w:numId w:val="26"/>
        </w:numPr>
        <w:ind w:left="357" w:hanging="357"/>
        <w:contextualSpacing/>
        <w:rPr>
          <w:rFonts w:eastAsia="Calibri" w:cs="Tahoma"/>
          <w:color w:val="000000" w:themeColor="text1"/>
          <w:szCs w:val="22"/>
          <w:lang w:eastAsia="en-US"/>
        </w:rPr>
      </w:pPr>
      <w:r w:rsidRPr="001D66C7">
        <w:rPr>
          <w:rFonts w:eastAsia="Calibri" w:cs="Tahoma"/>
          <w:color w:val="000000" w:themeColor="text1"/>
          <w:szCs w:val="22"/>
          <w:lang w:eastAsia="en-US"/>
        </w:rPr>
        <w:t>rozwój systemów zarządzania ruchem</w:t>
      </w:r>
      <w:r w:rsidR="00EA1C3E">
        <w:rPr>
          <w:rFonts w:eastAsia="Calibri" w:cs="Tahoma"/>
          <w:color w:val="000000" w:themeColor="text1"/>
          <w:szCs w:val="22"/>
          <w:lang w:eastAsia="en-US"/>
        </w:rPr>
        <w:t>.</w:t>
      </w:r>
    </w:p>
    <w:p w14:paraId="1FC95BDC" w14:textId="77777777" w:rsidR="00227C70" w:rsidRPr="001D66C7" w:rsidRDefault="00227C70" w:rsidP="00227C70">
      <w:pPr>
        <w:contextualSpacing/>
        <w:rPr>
          <w:rFonts w:eastAsia="Calibri" w:cs="Tahoma"/>
          <w:color w:val="000000" w:themeColor="text1"/>
          <w:szCs w:val="22"/>
          <w:lang w:eastAsia="en-US"/>
        </w:rPr>
      </w:pPr>
      <w:r w:rsidRPr="001D66C7">
        <w:rPr>
          <w:rFonts w:eastAsia="Calibri" w:cs="Tahoma"/>
          <w:color w:val="000000" w:themeColor="text1"/>
          <w:szCs w:val="22"/>
          <w:lang w:eastAsia="en-US"/>
        </w:rPr>
        <w:t>Strategia uznaje, że sprawny i dostępny transport publiczny decyduje o rozwoju regionu i jakości życia mieszkańców, wyzwaniem będzie wprowadzenie zintegrowanej zarówno przestrzennie, jak i funkcjonalnie oferty transportu publicznego, która zachęci uczestników ruchu do zmiany środka transportu z indywidualnego na zbiorowy. Zgodnie ze Strategią zintegrowany system transportu publicznego, uwzględniać będzie wielu przewoźników, a realizowany będzie poprzez np. opracowanie wspólnego biletu, uzupełnienie sieci obiektów dworcowych i przystanków. Istotne będzie również podniesienie efektywności transportu publicznego poprzez wprowadzenie buspasów, a ważnym elementem będzie budowa i rozbudowa infrastruktury typu P&amp;R, B&amp;R i K&amp;R oraz rozwój infrastruktury dedykowanej mikromobilności.</w:t>
      </w:r>
    </w:p>
    <w:p w14:paraId="47A406F7" w14:textId="694F2065" w:rsidR="00227C70" w:rsidRDefault="00227C70" w:rsidP="00227C70">
      <w:pPr>
        <w:rPr>
          <w:rFonts w:cs="Tahoma"/>
          <w:color w:val="000000" w:themeColor="text1"/>
        </w:rPr>
      </w:pPr>
      <w:r w:rsidRPr="001D66C7">
        <w:rPr>
          <w:rFonts w:cs="Tahoma"/>
          <w:color w:val="000000" w:themeColor="text1"/>
        </w:rPr>
        <w:t xml:space="preserve">Wśród zakładanych zadań wymienionych w ramach priorytetu 3.7 </w:t>
      </w:r>
      <w:r w:rsidR="00EA1C3E">
        <w:rPr>
          <w:rFonts w:cs="Tahoma"/>
          <w:color w:val="000000" w:themeColor="text1"/>
        </w:rPr>
        <w:t xml:space="preserve">– Zapobieganie i minimalizowanie skutków zagrożeń antropogenicznych, </w:t>
      </w:r>
      <w:r w:rsidRPr="001D66C7">
        <w:rPr>
          <w:rFonts w:cs="Tahoma"/>
          <w:color w:val="000000" w:themeColor="text1"/>
        </w:rPr>
        <w:t>znajdują się m.in.: ochrona jakości powietrza poprzez realizowanie programów mających na celu ograniczanie smogu i niskiej emisji, wymiana dużej części transportu publicznego na pojazdy niskoemisyjne i neutralne w zakresie hałasu, zwiększenie świadomości społeczeństwa w zakresie zapobiegania zanieczyszczaniu powietrza.</w:t>
      </w:r>
    </w:p>
    <w:p w14:paraId="65CA2642" w14:textId="6494B5F8" w:rsidR="00812C14" w:rsidRDefault="00812C14" w:rsidP="00812C14">
      <w:pPr>
        <w:rPr>
          <w:rFonts w:cs="Tahoma"/>
          <w:color w:val="000000" w:themeColor="text1"/>
        </w:rPr>
      </w:pPr>
      <w:r w:rsidRPr="001D66C7">
        <w:rPr>
          <w:rFonts w:cs="Tahoma"/>
          <w:color w:val="000000" w:themeColor="text1"/>
        </w:rPr>
        <w:lastRenderedPageBreak/>
        <w:t xml:space="preserve">W ramach wymiaru terytorialnego </w:t>
      </w:r>
      <w:r>
        <w:rPr>
          <w:rFonts w:cs="Tahoma"/>
          <w:color w:val="000000" w:themeColor="text1"/>
        </w:rPr>
        <w:t>w dokumencie</w:t>
      </w:r>
      <w:r w:rsidRPr="001D66C7">
        <w:rPr>
          <w:rFonts w:cs="Tahoma"/>
          <w:color w:val="000000" w:themeColor="text1"/>
        </w:rPr>
        <w:t xml:space="preserve"> </w:t>
      </w:r>
      <w:r>
        <w:rPr>
          <w:rFonts w:cs="Tahoma"/>
          <w:color w:val="000000" w:themeColor="text1"/>
        </w:rPr>
        <w:t xml:space="preserve">wskazano </w:t>
      </w:r>
      <w:r w:rsidRPr="001D66C7">
        <w:rPr>
          <w:rFonts w:cs="Tahoma"/>
          <w:color w:val="000000" w:themeColor="text1"/>
        </w:rPr>
        <w:t xml:space="preserve">Rzeszów </w:t>
      </w:r>
      <w:r>
        <w:rPr>
          <w:rFonts w:cs="Tahoma"/>
          <w:color w:val="000000" w:themeColor="text1"/>
        </w:rPr>
        <w:t>i Rzeszowski Obszar</w:t>
      </w:r>
      <w:r w:rsidRPr="001D66C7">
        <w:rPr>
          <w:rFonts w:cs="Tahoma"/>
          <w:color w:val="000000" w:themeColor="text1"/>
        </w:rPr>
        <w:t xml:space="preserve"> Funkcjonaln</w:t>
      </w:r>
      <w:r>
        <w:rPr>
          <w:rFonts w:cs="Tahoma"/>
          <w:color w:val="000000" w:themeColor="text1"/>
        </w:rPr>
        <w:t>y jako jedne z regionalnych obszarów</w:t>
      </w:r>
      <w:r w:rsidRPr="001D66C7">
        <w:rPr>
          <w:rFonts w:cs="Tahoma"/>
          <w:color w:val="000000" w:themeColor="text1"/>
        </w:rPr>
        <w:t xml:space="preserve"> </w:t>
      </w:r>
      <w:r>
        <w:rPr>
          <w:rFonts w:cs="Tahoma"/>
          <w:color w:val="000000" w:themeColor="text1"/>
        </w:rPr>
        <w:t>i</w:t>
      </w:r>
      <w:r w:rsidRPr="001D66C7">
        <w:rPr>
          <w:rFonts w:cs="Tahoma"/>
          <w:color w:val="000000" w:themeColor="text1"/>
        </w:rPr>
        <w:t>nterwencji.</w:t>
      </w:r>
      <w:r>
        <w:rPr>
          <w:rFonts w:cs="Tahoma"/>
          <w:color w:val="000000" w:themeColor="text1"/>
        </w:rPr>
        <w:t xml:space="preserve"> Dla tego obszaru interwencji, w celu zapewnienia </w:t>
      </w:r>
      <w:r w:rsidRPr="00812C14">
        <w:rPr>
          <w:rFonts w:cs="Tahoma"/>
          <w:color w:val="000000" w:themeColor="text1"/>
        </w:rPr>
        <w:t>dobrej jakości życia i realizacji funkcji publicznych w Rzeszowskim Obszarze Funkcjonalnym</w:t>
      </w:r>
      <w:r>
        <w:rPr>
          <w:rFonts w:cs="Tahoma"/>
          <w:color w:val="000000" w:themeColor="text1"/>
        </w:rPr>
        <w:t xml:space="preserve"> (ROF), przedstawiono zakładane działania, w tym w szczególności – rozwój niskoemisyjnego transportu publicznego. Z kolei w celu rozwoju </w:t>
      </w:r>
      <w:r w:rsidRPr="00812C14">
        <w:rPr>
          <w:rFonts w:cs="Tahoma"/>
          <w:color w:val="000000" w:themeColor="text1"/>
        </w:rPr>
        <w:t>powiązań komunikacyjnych i zintegrowanego systemu transportu publicznego łączących Rzeszów z jego obszarem funkcjonalnym ROF</w:t>
      </w:r>
      <w:r>
        <w:rPr>
          <w:rFonts w:cs="Tahoma"/>
          <w:color w:val="000000" w:themeColor="text1"/>
        </w:rPr>
        <w:t xml:space="preserve">, przedstawiono jako zakładane działania m.in.: </w:t>
      </w:r>
    </w:p>
    <w:p w14:paraId="49D904C6" w14:textId="0CD33657" w:rsidR="00715F5A" w:rsidRDefault="00715F5A" w:rsidP="00650340">
      <w:pPr>
        <w:pStyle w:val="Akapitzlist"/>
        <w:numPr>
          <w:ilvl w:val="0"/>
          <w:numId w:val="36"/>
        </w:numPr>
        <w:spacing w:after="0" w:line="360" w:lineRule="auto"/>
        <w:jc w:val="both"/>
        <w:rPr>
          <w:rFonts w:ascii="Tahoma" w:hAnsi="Tahoma" w:cs="Tahoma"/>
          <w:color w:val="000000" w:themeColor="text1"/>
        </w:rPr>
      </w:pPr>
      <w:r w:rsidRPr="00715F5A">
        <w:rPr>
          <w:rFonts w:ascii="Tahoma" w:hAnsi="Tahoma" w:cs="Tahoma"/>
          <w:color w:val="000000" w:themeColor="text1"/>
        </w:rPr>
        <w:t>wzmocnienie Rzeszowa jako zintegrowanego multimodalnego węzła przesiadkowego (w</w:t>
      </w:r>
      <w:r w:rsidR="00650340">
        <w:rPr>
          <w:rFonts w:ascii="Tahoma" w:hAnsi="Tahoma" w:cs="Tahoma"/>
          <w:color w:val="000000" w:themeColor="text1"/>
        </w:rPr>
        <w:t> </w:t>
      </w:r>
      <w:r w:rsidRPr="00715F5A">
        <w:rPr>
          <w:rFonts w:ascii="Tahoma" w:hAnsi="Tahoma" w:cs="Tahoma"/>
          <w:color w:val="000000" w:themeColor="text1"/>
        </w:rPr>
        <w:t>tym ośrodka rozrządowego ruchu turystycznego), w szczególności dalsza budowa Rzeszowskiego Centrum Komunikacyjnego</w:t>
      </w:r>
      <w:r>
        <w:rPr>
          <w:rFonts w:ascii="Tahoma" w:hAnsi="Tahoma" w:cs="Tahoma"/>
          <w:color w:val="000000" w:themeColor="text1"/>
        </w:rPr>
        <w:t>;</w:t>
      </w:r>
    </w:p>
    <w:p w14:paraId="6F4261F1" w14:textId="6AA15ED6" w:rsidR="00715F5A" w:rsidRDefault="00715F5A" w:rsidP="00650340">
      <w:pPr>
        <w:pStyle w:val="Akapitzlist"/>
        <w:numPr>
          <w:ilvl w:val="0"/>
          <w:numId w:val="36"/>
        </w:numPr>
        <w:spacing w:after="0" w:line="360" w:lineRule="auto"/>
        <w:jc w:val="both"/>
        <w:rPr>
          <w:rFonts w:ascii="Tahoma" w:hAnsi="Tahoma" w:cs="Tahoma"/>
          <w:color w:val="000000" w:themeColor="text1"/>
        </w:rPr>
      </w:pPr>
      <w:r w:rsidRPr="00715F5A">
        <w:rPr>
          <w:rFonts w:ascii="Tahoma" w:hAnsi="Tahoma" w:cs="Tahoma"/>
          <w:color w:val="000000" w:themeColor="text1"/>
        </w:rPr>
        <w:t>zapewnienie zrównoważonego systemu obejmującego transport zbiorowy i rowerowy na</w:t>
      </w:r>
      <w:r w:rsidR="00650340">
        <w:rPr>
          <w:rFonts w:ascii="Tahoma" w:hAnsi="Tahoma" w:cs="Tahoma"/>
          <w:color w:val="000000" w:themeColor="text1"/>
        </w:rPr>
        <w:t> </w:t>
      </w:r>
      <w:r w:rsidRPr="00715F5A">
        <w:rPr>
          <w:rFonts w:ascii="Tahoma" w:hAnsi="Tahoma" w:cs="Tahoma"/>
          <w:color w:val="000000" w:themeColor="text1"/>
        </w:rPr>
        <w:t>obszarze Rzeszowa i ROF z wykorzystaniem intermodalnych węzłów powiązanych z</w:t>
      </w:r>
      <w:r w:rsidR="00650340">
        <w:rPr>
          <w:rFonts w:ascii="Tahoma" w:hAnsi="Tahoma" w:cs="Tahoma"/>
          <w:color w:val="000000" w:themeColor="text1"/>
        </w:rPr>
        <w:t> </w:t>
      </w:r>
      <w:r w:rsidRPr="00715F5A">
        <w:rPr>
          <w:rFonts w:ascii="Tahoma" w:hAnsi="Tahoma" w:cs="Tahoma"/>
          <w:color w:val="000000" w:themeColor="text1"/>
        </w:rPr>
        <w:t>transportem rowerowym tj. P&amp;R, B&amp;R, K&amp;R;</w:t>
      </w:r>
    </w:p>
    <w:p w14:paraId="5D834716" w14:textId="19B095EE" w:rsidR="00715F5A" w:rsidRPr="00715F5A" w:rsidRDefault="00715F5A" w:rsidP="00650340">
      <w:pPr>
        <w:pStyle w:val="Akapitzlist"/>
        <w:numPr>
          <w:ilvl w:val="0"/>
          <w:numId w:val="36"/>
        </w:numPr>
        <w:spacing w:after="0" w:line="360" w:lineRule="auto"/>
        <w:jc w:val="both"/>
        <w:rPr>
          <w:rFonts w:ascii="Tahoma" w:hAnsi="Tahoma" w:cs="Tahoma"/>
          <w:color w:val="000000" w:themeColor="text1"/>
        </w:rPr>
      </w:pPr>
      <w:r w:rsidRPr="00715F5A">
        <w:rPr>
          <w:rFonts w:ascii="Tahoma" w:hAnsi="Tahoma" w:cs="Tahoma"/>
          <w:color w:val="000000" w:themeColor="text1"/>
        </w:rPr>
        <w:t>poprawa jakości środowiska wskutek redukcji nadmiernej emisji spalin i hałasu przez środki transportu</w:t>
      </w:r>
      <w:r>
        <w:rPr>
          <w:rFonts w:ascii="Tahoma" w:hAnsi="Tahoma" w:cs="Tahoma"/>
          <w:color w:val="000000" w:themeColor="text1"/>
        </w:rPr>
        <w:t>.</w:t>
      </w:r>
    </w:p>
    <w:p w14:paraId="27330A4B" w14:textId="23246AA8" w:rsidR="00715F5A" w:rsidRPr="001D66C7" w:rsidRDefault="00715F5A" w:rsidP="00715F5A">
      <w:pPr>
        <w:rPr>
          <w:rFonts w:cs="Tahoma"/>
          <w:color w:val="000000" w:themeColor="text1"/>
        </w:rPr>
      </w:pPr>
      <w:r w:rsidRPr="001D66C7">
        <w:rPr>
          <w:rFonts w:cs="Tahoma"/>
          <w:color w:val="000000" w:themeColor="text1"/>
        </w:rPr>
        <w:t xml:space="preserve"> „Program Strategiczny Rozwoju Transportu Województwa Podkarpackiego do roku 2023”</w:t>
      </w:r>
      <w:r w:rsidRPr="001D66C7">
        <w:rPr>
          <w:rFonts w:cs="Tahoma"/>
          <w:vertAlign w:val="superscript"/>
        </w:rPr>
        <w:footnoteReference w:id="8"/>
      </w:r>
      <w:r w:rsidRPr="001D66C7">
        <w:rPr>
          <w:rFonts w:cs="Tahoma"/>
          <w:color w:val="000000" w:themeColor="text1"/>
        </w:rPr>
        <w:t xml:space="preserve">, przygotowany </w:t>
      </w:r>
      <w:r w:rsidR="007D7BAC">
        <w:rPr>
          <w:rFonts w:cs="Tahoma"/>
          <w:color w:val="000000" w:themeColor="text1"/>
        </w:rPr>
        <w:t xml:space="preserve">został </w:t>
      </w:r>
      <w:r w:rsidRPr="001D66C7">
        <w:rPr>
          <w:rFonts w:cs="Tahoma"/>
          <w:color w:val="000000" w:themeColor="text1"/>
        </w:rPr>
        <w:t>jako dokument ex-</w:t>
      </w:r>
      <w:proofErr w:type="spellStart"/>
      <w:r w:rsidRPr="001D66C7">
        <w:rPr>
          <w:rFonts w:cs="Tahoma"/>
          <w:color w:val="000000" w:themeColor="text1"/>
        </w:rPr>
        <w:t>ante</w:t>
      </w:r>
      <w:proofErr w:type="spellEnd"/>
      <w:r w:rsidRPr="001D66C7">
        <w:rPr>
          <w:rFonts w:cs="Tahoma"/>
          <w:color w:val="000000" w:themeColor="text1"/>
        </w:rPr>
        <w:t xml:space="preserve"> w ramach celu tematycznego 7 „Promowanie zrównoważonego transportu i usuwanie niedoborów przepustowości w działaniu najważniejszej infrastruktury sieciowej”. Program zawiera diagnozę stanu transportu w województwie, w tym w Rzeszowskim Obszarze Funkcjonalnym. Program wskazuje na ważną rolę organizatorów publicznego transportu zbiorowego – ZTM w Rzeszowie oraz Związku Gmin „Podkarpacka Komunikacja Samochodowa” oraz ważną rolę dojazdów do pracy do rdzenia ROF z</w:t>
      </w:r>
      <w:r w:rsidR="00650340">
        <w:rPr>
          <w:rFonts w:cs="Tahoma"/>
          <w:color w:val="000000" w:themeColor="text1"/>
        </w:rPr>
        <w:t> </w:t>
      </w:r>
      <w:r w:rsidRPr="001D66C7">
        <w:rPr>
          <w:rFonts w:cs="Tahoma"/>
          <w:color w:val="000000" w:themeColor="text1"/>
        </w:rPr>
        <w:t>gmin ościennych. Jako lukę infrastrukturalną Program wskazuje brak zintegrowanych węzłów transportowych oraz brak skomunikowania kolejowego lotniska w Jasionce z Rzeszowem.</w:t>
      </w:r>
    </w:p>
    <w:p w14:paraId="37347A62" w14:textId="378EB252" w:rsidR="00715F5A" w:rsidRDefault="00715F5A" w:rsidP="00715F5A">
      <w:r w:rsidRPr="00715F5A">
        <w:t xml:space="preserve">Jedno z głównych wyzwań dokument określa </w:t>
      </w:r>
      <w:r>
        <w:t>m.in.</w:t>
      </w:r>
      <w:r w:rsidRPr="00715F5A">
        <w:t xml:space="preserve"> poprawę systemu połączeń transportem publicznym lotniska w Jasionce z centrum Rzeszowa.</w:t>
      </w:r>
    </w:p>
    <w:p w14:paraId="67D8690F" w14:textId="075505F7" w:rsidR="00715F5A" w:rsidRPr="001D66C7" w:rsidRDefault="00715F5A" w:rsidP="00715F5A">
      <w:pPr>
        <w:rPr>
          <w:rFonts w:cs="Tahoma"/>
          <w:color w:val="000000" w:themeColor="text1"/>
        </w:rPr>
      </w:pPr>
      <w:r w:rsidRPr="001D66C7">
        <w:rPr>
          <w:rFonts w:cs="Tahoma"/>
          <w:color w:val="000000" w:themeColor="text1"/>
        </w:rPr>
        <w:t>Program wyznacza czt</w:t>
      </w:r>
      <w:r>
        <w:rPr>
          <w:rFonts w:cs="Tahoma"/>
          <w:color w:val="000000" w:themeColor="text1"/>
        </w:rPr>
        <w:t>ery cele szczegółowe, w tym cel</w:t>
      </w:r>
      <w:r w:rsidRPr="001D66C7">
        <w:rPr>
          <w:rFonts w:cs="Tahoma"/>
          <w:color w:val="000000" w:themeColor="text1"/>
        </w:rPr>
        <w:t xml:space="preserve"> </w:t>
      </w:r>
      <w:r>
        <w:rPr>
          <w:rFonts w:cs="Tahoma"/>
          <w:color w:val="000000" w:themeColor="text1"/>
        </w:rPr>
        <w:t xml:space="preserve">4. – </w:t>
      </w:r>
      <w:r w:rsidRPr="001D66C7">
        <w:rPr>
          <w:rFonts w:cs="Tahoma"/>
          <w:color w:val="000000" w:themeColor="text1"/>
        </w:rPr>
        <w:t>Integracja podsystemów transportowych oraz popra</w:t>
      </w:r>
      <w:r>
        <w:rPr>
          <w:rFonts w:cs="Tahoma"/>
          <w:color w:val="000000" w:themeColor="text1"/>
        </w:rPr>
        <w:t>wa bezpieczeństwa w transporcie</w:t>
      </w:r>
      <w:r w:rsidRPr="001D66C7">
        <w:rPr>
          <w:rFonts w:cs="Tahoma"/>
          <w:color w:val="000000" w:themeColor="text1"/>
        </w:rPr>
        <w:t xml:space="preserve">. </w:t>
      </w:r>
      <w:r>
        <w:rPr>
          <w:rFonts w:cs="Tahoma"/>
          <w:color w:val="000000" w:themeColor="text1"/>
        </w:rPr>
        <w:t xml:space="preserve">W kierunkach rozwoju tego celu wymieniono m.in. integrację </w:t>
      </w:r>
      <w:r w:rsidRPr="00715F5A">
        <w:rPr>
          <w:rFonts w:cs="Tahoma"/>
          <w:color w:val="000000" w:themeColor="text1"/>
        </w:rPr>
        <w:t>i rozwój niskoemisyjnego publicznego systemu transportowego</w:t>
      </w:r>
      <w:r w:rsidR="00187723">
        <w:rPr>
          <w:rFonts w:cs="Tahoma"/>
          <w:color w:val="000000" w:themeColor="text1"/>
        </w:rPr>
        <w:t xml:space="preserve">, </w:t>
      </w:r>
      <w:r>
        <w:rPr>
          <w:rFonts w:cs="Tahoma"/>
          <w:color w:val="000000" w:themeColor="text1"/>
        </w:rPr>
        <w:t xml:space="preserve">wśród kluczowych przedsięwzięć </w:t>
      </w:r>
      <w:r w:rsidRPr="00715F5A">
        <w:rPr>
          <w:rFonts w:cs="Tahoma"/>
          <w:color w:val="000000" w:themeColor="text1"/>
        </w:rPr>
        <w:t>budowę zintegrowanego Rzeszowskiego Centrum Komunikacyjnego</w:t>
      </w:r>
      <w:r>
        <w:rPr>
          <w:rFonts w:cs="Tahoma"/>
          <w:color w:val="000000" w:themeColor="text1"/>
        </w:rPr>
        <w:t xml:space="preserve">. </w:t>
      </w:r>
    </w:p>
    <w:p w14:paraId="70DF3C30" w14:textId="4E74D78F" w:rsidR="006F6A8C" w:rsidRPr="001D66C7" w:rsidRDefault="006F6A8C" w:rsidP="006F6A8C">
      <w:pPr>
        <w:rPr>
          <w:rFonts w:cs="Tahoma"/>
          <w:color w:val="000000" w:themeColor="text1"/>
        </w:rPr>
      </w:pPr>
      <w:r w:rsidRPr="001D66C7">
        <w:rPr>
          <w:rFonts w:cs="Tahoma"/>
          <w:color w:val="000000" w:themeColor="text1"/>
        </w:rPr>
        <w:lastRenderedPageBreak/>
        <w:t>„</w:t>
      </w:r>
      <w:bookmarkStart w:id="46" w:name="_Hlk58964172"/>
      <w:r w:rsidRPr="001D66C7">
        <w:rPr>
          <w:rFonts w:cs="Tahoma"/>
          <w:color w:val="000000" w:themeColor="text1"/>
        </w:rPr>
        <w:t>Strategia ZIT Rzeszowskiego Obszaru Funkcjonalnego</w:t>
      </w:r>
      <w:bookmarkEnd w:id="46"/>
      <w:r>
        <w:rPr>
          <w:rFonts w:cs="Tahoma"/>
          <w:color w:val="000000" w:themeColor="text1"/>
        </w:rPr>
        <w:t>”</w:t>
      </w:r>
      <w:r w:rsidRPr="001D66C7">
        <w:rPr>
          <w:rStyle w:val="Odwoanieprzypisudolnego"/>
          <w:rFonts w:cs="Tahoma"/>
          <w:color w:val="000000" w:themeColor="text1"/>
        </w:rPr>
        <w:footnoteReference w:id="9"/>
      </w:r>
      <w:r w:rsidRPr="001D66C7">
        <w:rPr>
          <w:rFonts w:cs="Tahoma"/>
          <w:color w:val="000000" w:themeColor="text1"/>
        </w:rPr>
        <w:t xml:space="preserve"> wśród zidentyfikowanych potencjałów Rzeszowskiego Obszaru Funkcjonalnego (ROF) o niedostatecznym wykorzystaniu wymienia</w:t>
      </w:r>
      <w:r w:rsidR="002B3ABD">
        <w:rPr>
          <w:rFonts w:cs="Tahoma"/>
          <w:color w:val="000000" w:themeColor="text1"/>
        </w:rPr>
        <w:t xml:space="preserve"> m.in.: </w:t>
      </w:r>
      <w:r w:rsidR="002B3ABD" w:rsidRPr="001D66C7">
        <w:rPr>
          <w:rFonts w:cs="Tahoma"/>
          <w:color w:val="000000" w:themeColor="text1"/>
        </w:rPr>
        <w:t>niewystarczające działania w zakresie rozwoju niskoemisyjnego transportu publicznego</w:t>
      </w:r>
      <w:r w:rsidR="002B3ABD">
        <w:rPr>
          <w:rFonts w:cs="Tahoma"/>
          <w:color w:val="000000" w:themeColor="text1"/>
        </w:rPr>
        <w:t xml:space="preserve"> oraz ograniczoną integrację</w:t>
      </w:r>
      <w:r w:rsidR="002B3ABD" w:rsidRPr="001D66C7">
        <w:rPr>
          <w:rFonts w:cs="Tahoma"/>
          <w:color w:val="000000" w:themeColor="text1"/>
        </w:rPr>
        <w:t xml:space="preserve"> transportu publicznego obejmującego teren ROF</w:t>
      </w:r>
      <w:r w:rsidR="002B3ABD">
        <w:rPr>
          <w:rFonts w:cs="Tahoma"/>
          <w:color w:val="000000" w:themeColor="text1"/>
        </w:rPr>
        <w:t>.</w:t>
      </w:r>
    </w:p>
    <w:p w14:paraId="0EEEB0CD" w14:textId="2840B849" w:rsidR="006F6A8C" w:rsidRPr="001D66C7" w:rsidRDefault="002B3ABD" w:rsidP="006F6A8C">
      <w:pPr>
        <w:rPr>
          <w:rFonts w:cs="Tahoma"/>
          <w:color w:val="000000" w:themeColor="text1"/>
        </w:rPr>
      </w:pPr>
      <w:r>
        <w:rPr>
          <w:rFonts w:cs="Tahoma"/>
          <w:color w:val="000000" w:themeColor="text1"/>
        </w:rPr>
        <w:t>Jako potencjał</w:t>
      </w:r>
      <w:r w:rsidR="006F6A8C" w:rsidRPr="001D66C7">
        <w:rPr>
          <w:rFonts w:cs="Tahoma"/>
          <w:color w:val="000000" w:themeColor="text1"/>
        </w:rPr>
        <w:t xml:space="preserve"> natomiast dokument wymienia </w:t>
      </w:r>
      <w:r>
        <w:rPr>
          <w:rFonts w:cs="Tahoma"/>
          <w:color w:val="000000" w:themeColor="text1"/>
        </w:rPr>
        <w:t xml:space="preserve">w szczególności </w:t>
      </w:r>
      <w:r w:rsidRPr="001D66C7">
        <w:rPr>
          <w:rFonts w:cs="Tahoma"/>
          <w:color w:val="000000" w:themeColor="text1"/>
        </w:rPr>
        <w:t>zasoby organizacyjne i</w:t>
      </w:r>
      <w:r w:rsidR="00650340">
        <w:rPr>
          <w:rFonts w:cs="Tahoma"/>
          <w:color w:val="000000" w:themeColor="text1"/>
        </w:rPr>
        <w:t> </w:t>
      </w:r>
      <w:r w:rsidRPr="001D66C7">
        <w:rPr>
          <w:rFonts w:cs="Tahoma"/>
          <w:color w:val="000000" w:themeColor="text1"/>
        </w:rPr>
        <w:t>techniczne Miasta Rzeszowa niezbędne do budowy zintegrowanego systemu transportu zbiorowego</w:t>
      </w:r>
      <w:r>
        <w:rPr>
          <w:rFonts w:cs="Tahoma"/>
          <w:color w:val="000000" w:themeColor="text1"/>
        </w:rPr>
        <w:t>.</w:t>
      </w:r>
    </w:p>
    <w:p w14:paraId="68B11A36" w14:textId="24861F0E" w:rsidR="002B3ABD" w:rsidRDefault="002B3ABD" w:rsidP="002B3ABD">
      <w:r w:rsidRPr="002B3ABD">
        <w:t>Dokument określa wizję ROF, cel nadrzędny, trzy cele rozwojowe oraz odpowiadające im priorytety i działania.</w:t>
      </w:r>
      <w:r>
        <w:t xml:space="preserve"> Jednym z celów rozwojowych jest </w:t>
      </w:r>
      <w:r w:rsidRPr="002B3ABD">
        <w:t>ZIT 2.</w:t>
      </w:r>
      <w:r>
        <w:t xml:space="preserve"> </w:t>
      </w:r>
      <w:r w:rsidRPr="002B3ABD">
        <w:t>Podnoszenie jakości życia w</w:t>
      </w:r>
      <w:r w:rsidR="00650340">
        <w:t> </w:t>
      </w:r>
      <w:r w:rsidRPr="002B3ABD">
        <w:t>ROF poprzez zwiększenie dostępu do nowoczesnych usług publicznych oraz rewitalizację przestrzeni publicznej</w:t>
      </w:r>
      <w:r>
        <w:t xml:space="preserve">. </w:t>
      </w:r>
      <w:r w:rsidRPr="002B3ABD">
        <w:t xml:space="preserve">W ramach </w:t>
      </w:r>
      <w:r>
        <w:t xml:space="preserve">tego </w:t>
      </w:r>
      <w:r w:rsidRPr="002B3ABD">
        <w:t>celu rozwojowego wyznaczono priorytet 2.</w:t>
      </w:r>
      <w:r>
        <w:t xml:space="preserve"> – </w:t>
      </w:r>
      <w:r w:rsidRPr="002B3ABD">
        <w:t>Promowanie strategii niskoemisyjnych, w tym wspieranie zrównoważonej, mul</w:t>
      </w:r>
      <w:r>
        <w:t>timodalnej mobilności miejskiej</w:t>
      </w:r>
      <w:r w:rsidRPr="002B3ABD">
        <w:t>, a w nim działanie 2.1.</w:t>
      </w:r>
      <w:r>
        <w:t xml:space="preserve"> </w:t>
      </w:r>
      <w:r w:rsidRPr="002B3ABD">
        <w:t>Rozwój</w:t>
      </w:r>
      <w:r>
        <w:t xml:space="preserve"> systemu transportu publicznego</w:t>
      </w:r>
      <w:r w:rsidR="007D7BAC">
        <w:t>.</w:t>
      </w:r>
    </w:p>
    <w:p w14:paraId="7347DE96" w14:textId="7EAC7753" w:rsidR="00715F5A" w:rsidRDefault="002B3ABD" w:rsidP="002B3ABD">
      <w:r>
        <w:t xml:space="preserve">W ramach tego działania przewidziano realizację projektu </w:t>
      </w:r>
      <w:r w:rsidR="00252512" w:rsidRPr="00252512">
        <w:t>„Rozwój gospodarki niskoemisyjnej oraz poprawa mobiln</w:t>
      </w:r>
      <w:r w:rsidR="00252512">
        <w:t>ości mieszkańców poprzez uspraw</w:t>
      </w:r>
      <w:r w:rsidR="00252512" w:rsidRPr="00252512">
        <w:t xml:space="preserve">nienie zrównoważonego transportu publicznego na terenie </w:t>
      </w:r>
      <w:r w:rsidR="00252512">
        <w:t>ROF”, którego liderem jest Zwią</w:t>
      </w:r>
      <w:r w:rsidR="00252512" w:rsidRPr="00252512">
        <w:t>zek Gmin Podkarpacka Komunikacja Samochodowa.</w:t>
      </w:r>
    </w:p>
    <w:p w14:paraId="60F5257B" w14:textId="77777777" w:rsidR="00252512" w:rsidRPr="000D54C0" w:rsidRDefault="00252512" w:rsidP="00252512">
      <w:pPr>
        <w:rPr>
          <w:rFonts w:cs="Tahoma"/>
          <w:color w:val="000000" w:themeColor="text1"/>
        </w:rPr>
      </w:pPr>
      <w:r w:rsidRPr="000D54C0">
        <w:rPr>
          <w:rFonts w:cs="Tahoma"/>
          <w:color w:val="000000" w:themeColor="text1"/>
        </w:rPr>
        <w:t>W opracowaniu wymieniono także projekty komplementarne realizowane ze wsparciem środkami pomocowymi. Wśród tych projektów wymieniono w ramach działania 2.1. projekty podstawowe dofinansowane z Programu Operacyjnego Polska Wschodnia 2014-2020:</w:t>
      </w:r>
    </w:p>
    <w:p w14:paraId="37ABCA9B" w14:textId="1DBCB4BB" w:rsidR="00252512" w:rsidRPr="000D54C0" w:rsidRDefault="00252512" w:rsidP="00650340">
      <w:pPr>
        <w:pStyle w:val="Akapitzlist"/>
        <w:numPr>
          <w:ilvl w:val="0"/>
          <w:numId w:val="37"/>
        </w:numPr>
        <w:spacing w:after="0" w:line="360" w:lineRule="auto"/>
        <w:jc w:val="both"/>
        <w:rPr>
          <w:rFonts w:ascii="Tahoma" w:hAnsi="Tahoma" w:cs="Tahoma"/>
          <w:color w:val="000000" w:themeColor="text1"/>
        </w:rPr>
      </w:pPr>
      <w:r w:rsidRPr="000D54C0">
        <w:rPr>
          <w:rFonts w:ascii="Tahoma" w:hAnsi="Tahoma" w:cs="Tahoma"/>
          <w:color w:val="000000" w:themeColor="text1"/>
        </w:rPr>
        <w:t>Rozwój systemu tra</w:t>
      </w:r>
      <w:r>
        <w:rPr>
          <w:rFonts w:ascii="Tahoma" w:hAnsi="Tahoma" w:cs="Tahoma"/>
          <w:color w:val="000000" w:themeColor="text1"/>
        </w:rPr>
        <w:t>nsportu publicznego w Rzeszowie</w:t>
      </w:r>
      <w:r w:rsidRPr="000D54C0">
        <w:rPr>
          <w:rFonts w:ascii="Tahoma" w:hAnsi="Tahoma" w:cs="Tahoma"/>
          <w:color w:val="000000" w:themeColor="text1"/>
        </w:rPr>
        <w:t>;</w:t>
      </w:r>
    </w:p>
    <w:p w14:paraId="54887DDD" w14:textId="41E62B9A" w:rsidR="00252512" w:rsidRPr="000D54C0" w:rsidRDefault="00252512" w:rsidP="00650340">
      <w:pPr>
        <w:pStyle w:val="Akapitzlist"/>
        <w:numPr>
          <w:ilvl w:val="0"/>
          <w:numId w:val="37"/>
        </w:numPr>
        <w:spacing w:after="0" w:line="360" w:lineRule="auto"/>
        <w:jc w:val="both"/>
        <w:rPr>
          <w:rFonts w:ascii="Tahoma" w:hAnsi="Tahoma" w:cs="Tahoma"/>
          <w:color w:val="000000" w:themeColor="text1"/>
        </w:rPr>
      </w:pPr>
      <w:r w:rsidRPr="000D54C0">
        <w:rPr>
          <w:rFonts w:ascii="Tahoma" w:hAnsi="Tahoma" w:cs="Tahoma"/>
          <w:color w:val="000000" w:themeColor="text1"/>
        </w:rPr>
        <w:t>Integracja różnych form publicznego tr</w:t>
      </w:r>
      <w:r>
        <w:rPr>
          <w:rFonts w:ascii="Tahoma" w:hAnsi="Tahoma" w:cs="Tahoma"/>
          <w:color w:val="000000" w:themeColor="text1"/>
        </w:rPr>
        <w:t>ansportu zbiorowego w Rzeszowie</w:t>
      </w:r>
      <w:r w:rsidRPr="000D54C0">
        <w:rPr>
          <w:rFonts w:ascii="Tahoma" w:hAnsi="Tahoma" w:cs="Tahoma"/>
          <w:color w:val="000000" w:themeColor="text1"/>
        </w:rPr>
        <w:t>;</w:t>
      </w:r>
    </w:p>
    <w:p w14:paraId="13517429" w14:textId="15410BF3" w:rsidR="00252512" w:rsidRPr="000D54C0" w:rsidRDefault="00252512" w:rsidP="00650340">
      <w:pPr>
        <w:pStyle w:val="Akapitzlist"/>
        <w:numPr>
          <w:ilvl w:val="0"/>
          <w:numId w:val="37"/>
        </w:numPr>
        <w:spacing w:after="0" w:line="360" w:lineRule="auto"/>
        <w:jc w:val="both"/>
        <w:rPr>
          <w:rFonts w:ascii="Tahoma" w:hAnsi="Tahoma" w:cs="Tahoma"/>
          <w:color w:val="000000" w:themeColor="text1"/>
        </w:rPr>
      </w:pPr>
      <w:r w:rsidRPr="000D54C0">
        <w:rPr>
          <w:rFonts w:ascii="Tahoma" w:hAnsi="Tahoma" w:cs="Tahoma"/>
          <w:color w:val="000000" w:themeColor="text1"/>
        </w:rPr>
        <w:t>Rozbudowa systemu tra</w:t>
      </w:r>
      <w:r>
        <w:rPr>
          <w:rFonts w:ascii="Tahoma" w:hAnsi="Tahoma" w:cs="Tahoma"/>
          <w:color w:val="000000" w:themeColor="text1"/>
        </w:rPr>
        <w:t>nsportu publicznego w Rzeszowie</w:t>
      </w:r>
      <w:r w:rsidRPr="000D54C0">
        <w:rPr>
          <w:rFonts w:ascii="Tahoma" w:hAnsi="Tahoma" w:cs="Tahoma"/>
          <w:color w:val="000000" w:themeColor="text1"/>
        </w:rPr>
        <w:t>.</w:t>
      </w:r>
    </w:p>
    <w:p w14:paraId="2543B2D7" w14:textId="77777777" w:rsidR="00252512" w:rsidRPr="001D66C7" w:rsidRDefault="00252512" w:rsidP="00252512">
      <w:pPr>
        <w:rPr>
          <w:rFonts w:cs="Tahoma"/>
          <w:color w:val="000000" w:themeColor="text1"/>
        </w:rPr>
      </w:pPr>
      <w:r w:rsidRPr="001D66C7">
        <w:rPr>
          <w:rFonts w:cs="Tahoma"/>
          <w:color w:val="000000" w:themeColor="text1"/>
        </w:rPr>
        <w:t>„Studium rozwoju transportu publicznego Rzeszowskiego Obszaru Funkcjonalnego”</w:t>
      </w:r>
      <w:r w:rsidRPr="001D66C7">
        <w:rPr>
          <w:rStyle w:val="Odwoanieprzypisudolnego"/>
          <w:rFonts w:cs="Tahoma"/>
          <w:color w:val="000000" w:themeColor="text1"/>
        </w:rPr>
        <w:footnoteReference w:id="10"/>
      </w:r>
      <w:r w:rsidRPr="001D66C7">
        <w:rPr>
          <w:rFonts w:cs="Tahoma"/>
          <w:color w:val="000000" w:themeColor="text1"/>
        </w:rPr>
        <w:t xml:space="preserve"> przedstawia rozszerzoną diagnozę transportu zbiorowego na obszarze ROF, wyniki przeprowadzonych w 2014 r. badań preferencji i zachowań komunikacyjnych, badań napełnień oraz rekomendacje rozwojowe. </w:t>
      </w:r>
    </w:p>
    <w:p w14:paraId="798CAFDD" w14:textId="1171B324" w:rsidR="00252512" w:rsidRDefault="00252512" w:rsidP="002B3ABD">
      <w:pPr>
        <w:rPr>
          <w:rFonts w:cs="Tahoma"/>
          <w:color w:val="000000" w:themeColor="text1"/>
        </w:rPr>
      </w:pPr>
      <w:r w:rsidRPr="001D66C7">
        <w:rPr>
          <w:rFonts w:cs="Tahoma"/>
          <w:color w:val="000000" w:themeColor="text1"/>
        </w:rPr>
        <w:t>Badania preferencji i zachowań komunikacyjnych wykazały, że ponad ¼ mieszkańców ROF korzystała z transportu zbiorowego codziennie, a kilka razy w tygodniu także ponad ¼ mieszkańców. Dominujący udział posiada rzeszowska autobusowa komunikacja miejska organizowana przez ZTM w Rzeszowie oraz przewozy autobusowe organizowane przez Związek Gmin PKS</w:t>
      </w:r>
      <w:r>
        <w:rPr>
          <w:rFonts w:cs="Tahoma"/>
          <w:color w:val="000000" w:themeColor="text1"/>
        </w:rPr>
        <w:t>.</w:t>
      </w:r>
    </w:p>
    <w:p w14:paraId="0990CCB2" w14:textId="68C919A9" w:rsidR="00252512" w:rsidRPr="001D66C7" w:rsidRDefault="00252512" w:rsidP="00252512">
      <w:pPr>
        <w:rPr>
          <w:rFonts w:cs="Tahoma"/>
          <w:color w:val="000000" w:themeColor="text1"/>
        </w:rPr>
      </w:pPr>
      <w:r w:rsidRPr="001D66C7">
        <w:rPr>
          <w:rFonts w:cs="Tahoma"/>
          <w:color w:val="000000" w:themeColor="text1"/>
        </w:rPr>
        <w:lastRenderedPageBreak/>
        <w:t xml:space="preserve">Za pożądany standard </w:t>
      </w:r>
      <w:r>
        <w:rPr>
          <w:rFonts w:cs="Tahoma"/>
          <w:color w:val="000000" w:themeColor="text1"/>
        </w:rPr>
        <w:t xml:space="preserve">taboru </w:t>
      </w:r>
      <w:r w:rsidRPr="001D66C7">
        <w:rPr>
          <w:rFonts w:cs="Tahoma"/>
          <w:color w:val="000000" w:themeColor="text1"/>
        </w:rPr>
        <w:t xml:space="preserve">uznano </w:t>
      </w:r>
      <w:r>
        <w:rPr>
          <w:rFonts w:cs="Tahoma"/>
          <w:color w:val="000000" w:themeColor="text1"/>
        </w:rPr>
        <w:t xml:space="preserve">w wyniku przeprowadzonych badań </w:t>
      </w:r>
      <w:r w:rsidRPr="001D66C7">
        <w:rPr>
          <w:rFonts w:cs="Tahoma"/>
          <w:color w:val="000000" w:themeColor="text1"/>
        </w:rPr>
        <w:t xml:space="preserve">zwiększanie odsetka taboru dostosowanego do potrzeb osób niepełnosprawnych, wyposażonego w klimatyzację, monitoring, </w:t>
      </w:r>
      <w:r>
        <w:rPr>
          <w:rFonts w:cs="Tahoma"/>
          <w:color w:val="000000" w:themeColor="text1"/>
        </w:rPr>
        <w:t>systemy informacji pasażerskiej. Pr</w:t>
      </w:r>
      <w:r w:rsidRPr="001D66C7">
        <w:rPr>
          <w:rFonts w:cs="Tahoma"/>
          <w:color w:val="000000" w:themeColor="text1"/>
        </w:rPr>
        <w:t>zeciętny wiek taboru nie powinien być wyższy niż 8-10 lat, a pojazdy nie starsze niż 20-letnie. Za ważne uznano także zapewnienie zastępstwa na wypadek awarii w czasie do 20 minut na terenie Rzeszowa i do 40 minut na</w:t>
      </w:r>
      <w:r w:rsidR="00650340">
        <w:rPr>
          <w:rFonts w:cs="Tahoma"/>
          <w:color w:val="000000" w:themeColor="text1"/>
        </w:rPr>
        <w:t> </w:t>
      </w:r>
      <w:r w:rsidRPr="001D66C7">
        <w:rPr>
          <w:rFonts w:cs="Tahoma"/>
          <w:color w:val="000000" w:themeColor="text1"/>
        </w:rPr>
        <w:t>pozostałym obszarze ROF.</w:t>
      </w:r>
      <w:r>
        <w:rPr>
          <w:rFonts w:cs="Tahoma"/>
          <w:color w:val="000000" w:themeColor="text1"/>
        </w:rPr>
        <w:t xml:space="preserve"> Natomiast pożądany standard </w:t>
      </w:r>
      <w:r w:rsidRPr="00252512">
        <w:rPr>
          <w:rFonts w:cs="Tahoma"/>
          <w:color w:val="000000" w:themeColor="text1"/>
        </w:rPr>
        <w:t xml:space="preserve">informacji pasażerskiej </w:t>
      </w:r>
      <w:r>
        <w:rPr>
          <w:rFonts w:cs="Tahoma"/>
          <w:color w:val="000000" w:themeColor="text1"/>
        </w:rPr>
        <w:t>to</w:t>
      </w:r>
      <w:r w:rsidRPr="00252512">
        <w:rPr>
          <w:rFonts w:cs="Tahoma"/>
          <w:color w:val="000000" w:themeColor="text1"/>
        </w:rPr>
        <w:t xml:space="preserve">: monitory LCD i zapowiedzi głosowe we wszystkich pojazdach komunikacji miejskiej, jednolity system witryn internetowych z wyszukiwarkami połączeń oraz z wzajemnymi przekierowywaniami, systemem powiadomień </w:t>
      </w:r>
      <w:r>
        <w:rPr>
          <w:rFonts w:cs="Tahoma"/>
          <w:color w:val="000000" w:themeColor="text1"/>
        </w:rPr>
        <w:t>sms, newsletterem, zestawem FAQ i</w:t>
      </w:r>
      <w:r w:rsidRPr="00252512">
        <w:rPr>
          <w:rFonts w:cs="Tahoma"/>
          <w:color w:val="000000" w:themeColor="text1"/>
        </w:rPr>
        <w:t xml:space="preserve"> dostępem z urządzeń mobilnych.</w:t>
      </w:r>
    </w:p>
    <w:p w14:paraId="035910EA" w14:textId="77777777" w:rsidR="005544B6" w:rsidRDefault="005544B6" w:rsidP="005544B6">
      <w:pPr>
        <w:rPr>
          <w:rFonts w:cs="Tahoma"/>
          <w:color w:val="000000" w:themeColor="text1"/>
        </w:rPr>
      </w:pPr>
      <w:r w:rsidRPr="001D66C7">
        <w:rPr>
          <w:rFonts w:cs="Tahoma"/>
          <w:color w:val="000000" w:themeColor="text1"/>
        </w:rPr>
        <w:t>„Plan gospodarki niskoemisyjnej Rzeszowskiego Obszaru Funkcjonalnego”</w:t>
      </w:r>
      <w:r w:rsidRPr="001D66C7">
        <w:rPr>
          <w:rStyle w:val="Odwoanieprzypisudolnego"/>
          <w:rFonts w:cs="Tahoma"/>
          <w:color w:val="000000" w:themeColor="text1"/>
        </w:rPr>
        <w:footnoteReference w:id="11"/>
      </w:r>
      <w:r w:rsidRPr="001D66C7">
        <w:rPr>
          <w:rFonts w:cs="Tahoma"/>
          <w:color w:val="000000" w:themeColor="text1"/>
        </w:rPr>
        <w:t xml:space="preserve"> przedstawi</w:t>
      </w:r>
      <w:r>
        <w:rPr>
          <w:rFonts w:cs="Tahoma"/>
          <w:color w:val="000000" w:themeColor="text1"/>
        </w:rPr>
        <w:t>a</w:t>
      </w:r>
      <w:r w:rsidRPr="001D66C7">
        <w:rPr>
          <w:rFonts w:cs="Tahoma"/>
          <w:color w:val="000000" w:themeColor="text1"/>
        </w:rPr>
        <w:t xml:space="preserve"> harmonogram działań dla całego obszaru funkcjonalnego oraz na poziomie lokalnym dla poszczególnych gmin. </w:t>
      </w:r>
      <w:r>
        <w:rPr>
          <w:rFonts w:cs="Tahoma"/>
          <w:color w:val="000000" w:themeColor="text1"/>
        </w:rPr>
        <w:t>Działaniem wspólnym, związanym</w:t>
      </w:r>
      <w:r w:rsidRPr="001D66C7">
        <w:rPr>
          <w:rFonts w:cs="Tahoma"/>
          <w:color w:val="000000" w:themeColor="text1"/>
        </w:rPr>
        <w:t xml:space="preserve"> z </w:t>
      </w:r>
      <w:r>
        <w:rPr>
          <w:rFonts w:cs="Tahoma"/>
          <w:color w:val="000000" w:themeColor="text1"/>
        </w:rPr>
        <w:t>transportem publicznym jest</w:t>
      </w:r>
      <w:r w:rsidRPr="001D66C7">
        <w:rPr>
          <w:rFonts w:cs="Tahoma"/>
          <w:color w:val="000000" w:themeColor="text1"/>
        </w:rPr>
        <w:t xml:space="preserve"> </w:t>
      </w:r>
      <w:r>
        <w:rPr>
          <w:rFonts w:cs="Tahoma"/>
          <w:color w:val="000000" w:themeColor="text1"/>
        </w:rPr>
        <w:t>– ROF7 R</w:t>
      </w:r>
      <w:r w:rsidRPr="001D66C7">
        <w:rPr>
          <w:rFonts w:cs="Tahoma"/>
          <w:color w:val="000000" w:themeColor="text1"/>
        </w:rPr>
        <w:t>ozwój niskoemisyjnego transportu publicznego</w:t>
      </w:r>
      <w:r>
        <w:rPr>
          <w:rFonts w:cs="Tahoma"/>
          <w:color w:val="000000" w:themeColor="text1"/>
        </w:rPr>
        <w:t>.</w:t>
      </w:r>
    </w:p>
    <w:p w14:paraId="6C7E9842" w14:textId="1F8F219E" w:rsidR="005544B6" w:rsidRPr="001D66C7" w:rsidRDefault="005544B6" w:rsidP="00BB21FB">
      <w:pPr>
        <w:rPr>
          <w:rFonts w:cs="Tahoma"/>
          <w:color w:val="000000" w:themeColor="text1"/>
        </w:rPr>
      </w:pPr>
      <w:r w:rsidRPr="001D66C7">
        <w:rPr>
          <w:rFonts w:cs="Tahoma"/>
          <w:color w:val="000000" w:themeColor="text1"/>
        </w:rPr>
        <w:t xml:space="preserve">Wśród </w:t>
      </w:r>
      <w:r w:rsidR="00BB21FB">
        <w:rPr>
          <w:rFonts w:cs="Tahoma"/>
          <w:color w:val="000000" w:themeColor="text1"/>
        </w:rPr>
        <w:t xml:space="preserve">działań naprawczych dotyczących miasta Rzeszów </w:t>
      </w:r>
      <w:r w:rsidRPr="001D66C7">
        <w:rPr>
          <w:rFonts w:cs="Tahoma"/>
          <w:color w:val="000000" w:themeColor="text1"/>
        </w:rPr>
        <w:t>w dokumencie wymieniono</w:t>
      </w:r>
      <w:r w:rsidR="00BB21FB">
        <w:rPr>
          <w:rFonts w:cs="Tahoma"/>
          <w:color w:val="000000" w:themeColor="text1"/>
        </w:rPr>
        <w:t xml:space="preserve"> działanie ROF_RZE23 „Promowanie strategii niskoemisyjnych, w tym wspieranie </w:t>
      </w:r>
      <w:r w:rsidR="00BB21FB" w:rsidRPr="00BB21FB">
        <w:rPr>
          <w:rFonts w:cs="Tahoma"/>
          <w:color w:val="000000" w:themeColor="text1"/>
        </w:rPr>
        <w:t>rozwoju miejskiego</w:t>
      </w:r>
      <w:r w:rsidR="00BB21FB">
        <w:rPr>
          <w:rFonts w:cs="Tahoma"/>
          <w:color w:val="000000" w:themeColor="text1"/>
        </w:rPr>
        <w:t xml:space="preserve"> </w:t>
      </w:r>
      <w:r w:rsidR="00BB21FB" w:rsidRPr="00BB21FB">
        <w:rPr>
          <w:rFonts w:cs="Tahoma"/>
          <w:color w:val="000000" w:themeColor="text1"/>
        </w:rPr>
        <w:t>transportu</w:t>
      </w:r>
      <w:r w:rsidR="00BB21FB">
        <w:rPr>
          <w:rFonts w:cs="Tahoma"/>
          <w:color w:val="000000" w:themeColor="text1"/>
        </w:rPr>
        <w:t xml:space="preserve"> </w:t>
      </w:r>
      <w:r w:rsidR="00BB21FB" w:rsidRPr="00BB21FB">
        <w:rPr>
          <w:rFonts w:cs="Tahoma"/>
          <w:color w:val="000000" w:themeColor="text1"/>
        </w:rPr>
        <w:t>multimodalnego.</w:t>
      </w:r>
      <w:r w:rsidR="00BB21FB">
        <w:rPr>
          <w:rFonts w:cs="Tahoma"/>
          <w:color w:val="000000" w:themeColor="text1"/>
        </w:rPr>
        <w:t xml:space="preserve"> </w:t>
      </w:r>
      <w:r w:rsidR="00BB21FB" w:rsidRPr="00BB21FB">
        <w:rPr>
          <w:rFonts w:cs="Tahoma"/>
          <w:color w:val="000000" w:themeColor="text1"/>
        </w:rPr>
        <w:t>Wzrost</w:t>
      </w:r>
      <w:r w:rsidR="00BB21FB">
        <w:rPr>
          <w:rFonts w:cs="Tahoma"/>
          <w:color w:val="000000" w:themeColor="text1"/>
        </w:rPr>
        <w:t xml:space="preserve"> </w:t>
      </w:r>
      <w:r w:rsidR="00BB21FB" w:rsidRPr="00BB21FB">
        <w:rPr>
          <w:rFonts w:cs="Tahoma"/>
          <w:color w:val="000000" w:themeColor="text1"/>
        </w:rPr>
        <w:t>konkurencyjności</w:t>
      </w:r>
      <w:r w:rsidR="00BB21FB">
        <w:rPr>
          <w:rFonts w:cs="Tahoma"/>
          <w:color w:val="000000" w:themeColor="text1"/>
        </w:rPr>
        <w:t xml:space="preserve"> </w:t>
      </w:r>
      <w:r w:rsidR="00BB21FB" w:rsidRPr="00BB21FB">
        <w:rPr>
          <w:rFonts w:cs="Tahoma"/>
          <w:color w:val="000000" w:themeColor="text1"/>
        </w:rPr>
        <w:t>ofert transportu</w:t>
      </w:r>
      <w:r w:rsidR="00BB21FB">
        <w:rPr>
          <w:rFonts w:cs="Tahoma"/>
          <w:color w:val="000000" w:themeColor="text1"/>
        </w:rPr>
        <w:t xml:space="preserve"> </w:t>
      </w:r>
      <w:r w:rsidR="00BB21FB" w:rsidRPr="00BB21FB">
        <w:rPr>
          <w:rFonts w:cs="Tahoma"/>
          <w:color w:val="000000" w:themeColor="text1"/>
        </w:rPr>
        <w:t>zbiorowego.</w:t>
      </w:r>
      <w:r w:rsidR="00BB21FB">
        <w:rPr>
          <w:rFonts w:cs="Tahoma"/>
          <w:color w:val="000000" w:themeColor="text1"/>
        </w:rPr>
        <w:t xml:space="preserve"> </w:t>
      </w:r>
      <w:r w:rsidR="00BB21FB" w:rsidRPr="00BB21FB">
        <w:rPr>
          <w:rFonts w:cs="Tahoma"/>
          <w:color w:val="000000" w:themeColor="text1"/>
        </w:rPr>
        <w:t>Zastosowanie</w:t>
      </w:r>
      <w:r w:rsidR="00BB21FB">
        <w:rPr>
          <w:rFonts w:cs="Tahoma"/>
          <w:color w:val="000000" w:themeColor="text1"/>
        </w:rPr>
        <w:t xml:space="preserve"> </w:t>
      </w:r>
      <w:r w:rsidR="00BB21FB" w:rsidRPr="00BB21FB">
        <w:rPr>
          <w:rFonts w:cs="Tahoma"/>
          <w:color w:val="000000" w:themeColor="text1"/>
        </w:rPr>
        <w:t>źródeł OZE dla wiat</w:t>
      </w:r>
      <w:r w:rsidR="00BB21FB">
        <w:rPr>
          <w:rFonts w:cs="Tahoma"/>
          <w:color w:val="000000" w:themeColor="text1"/>
        </w:rPr>
        <w:t xml:space="preserve"> </w:t>
      </w:r>
      <w:r w:rsidR="00BB21FB" w:rsidRPr="00BB21FB">
        <w:rPr>
          <w:rFonts w:cs="Tahoma"/>
          <w:color w:val="000000" w:themeColor="text1"/>
        </w:rPr>
        <w:t>przystankowych</w:t>
      </w:r>
      <w:r w:rsidR="00187723">
        <w:rPr>
          <w:rFonts w:cs="Tahoma"/>
          <w:color w:val="000000" w:themeColor="text1"/>
        </w:rPr>
        <w:t>”, a w nim m.</w:t>
      </w:r>
      <w:r w:rsidR="00BB21FB">
        <w:rPr>
          <w:rFonts w:cs="Tahoma"/>
          <w:color w:val="000000" w:themeColor="text1"/>
        </w:rPr>
        <w:t>in. projekty:</w:t>
      </w:r>
    </w:p>
    <w:p w14:paraId="6566E7A1" w14:textId="7D890FD9" w:rsidR="005544B6" w:rsidRPr="001D66C7" w:rsidRDefault="005544B6" w:rsidP="007E0C6A">
      <w:pPr>
        <w:pStyle w:val="Akapitzlist"/>
        <w:numPr>
          <w:ilvl w:val="0"/>
          <w:numId w:val="32"/>
        </w:numPr>
        <w:spacing w:after="0" w:line="360" w:lineRule="auto"/>
        <w:ind w:left="357" w:hanging="357"/>
        <w:jc w:val="both"/>
        <w:rPr>
          <w:rFonts w:ascii="Tahoma" w:hAnsi="Tahoma" w:cs="Tahoma"/>
          <w:color w:val="000000" w:themeColor="text1"/>
        </w:rPr>
      </w:pPr>
      <w:r w:rsidRPr="001D66C7">
        <w:rPr>
          <w:rFonts w:ascii="Tahoma" w:hAnsi="Tahoma" w:cs="Tahoma"/>
          <w:color w:val="000000" w:themeColor="text1"/>
        </w:rPr>
        <w:t>Rozwój systemu transportu publicznego w Rzeszowie;</w:t>
      </w:r>
    </w:p>
    <w:p w14:paraId="37D0F73C" w14:textId="0E31E395" w:rsidR="005544B6" w:rsidRPr="001D66C7" w:rsidRDefault="005544B6" w:rsidP="007E0C6A">
      <w:pPr>
        <w:pStyle w:val="Akapitzlist"/>
        <w:numPr>
          <w:ilvl w:val="0"/>
          <w:numId w:val="32"/>
        </w:numPr>
        <w:spacing w:after="0" w:line="360" w:lineRule="auto"/>
        <w:ind w:left="357" w:hanging="357"/>
        <w:jc w:val="both"/>
        <w:rPr>
          <w:rFonts w:ascii="Tahoma" w:hAnsi="Tahoma" w:cs="Tahoma"/>
          <w:color w:val="000000" w:themeColor="text1"/>
        </w:rPr>
      </w:pPr>
      <w:r w:rsidRPr="001D66C7">
        <w:rPr>
          <w:rFonts w:ascii="Tahoma" w:hAnsi="Tahoma" w:cs="Tahoma"/>
          <w:color w:val="000000" w:themeColor="text1"/>
        </w:rPr>
        <w:t>Integracja różnych form publicznego transportu zbiorowego w Rzeszowie;</w:t>
      </w:r>
    </w:p>
    <w:p w14:paraId="66A99A47" w14:textId="2AF48666" w:rsidR="005544B6" w:rsidRPr="001D66C7" w:rsidRDefault="005544B6" w:rsidP="007E0C6A">
      <w:pPr>
        <w:pStyle w:val="Akapitzlist"/>
        <w:numPr>
          <w:ilvl w:val="0"/>
          <w:numId w:val="32"/>
        </w:numPr>
        <w:spacing w:after="0" w:line="360" w:lineRule="auto"/>
        <w:ind w:left="357" w:hanging="357"/>
        <w:jc w:val="both"/>
        <w:rPr>
          <w:rFonts w:ascii="Tahoma" w:hAnsi="Tahoma" w:cs="Tahoma"/>
          <w:color w:val="000000" w:themeColor="text1"/>
        </w:rPr>
      </w:pPr>
      <w:r w:rsidRPr="001D66C7">
        <w:rPr>
          <w:rFonts w:ascii="Tahoma" w:hAnsi="Tahoma" w:cs="Tahoma"/>
          <w:color w:val="000000" w:themeColor="text1"/>
        </w:rPr>
        <w:t>Rozbudowa systemu transportu publicznego w Rzeszowie;</w:t>
      </w:r>
    </w:p>
    <w:p w14:paraId="13907BB3" w14:textId="6B179D9E" w:rsidR="005544B6" w:rsidRPr="001D66C7" w:rsidRDefault="005544B6" w:rsidP="007E0C6A">
      <w:pPr>
        <w:pStyle w:val="Akapitzlist"/>
        <w:numPr>
          <w:ilvl w:val="0"/>
          <w:numId w:val="32"/>
        </w:numPr>
        <w:spacing w:after="0" w:line="360" w:lineRule="auto"/>
        <w:ind w:left="357" w:hanging="357"/>
        <w:jc w:val="both"/>
        <w:rPr>
          <w:rFonts w:ascii="Tahoma" w:hAnsi="Tahoma" w:cs="Tahoma"/>
          <w:color w:val="000000" w:themeColor="text1"/>
        </w:rPr>
      </w:pPr>
      <w:r w:rsidRPr="001D66C7">
        <w:rPr>
          <w:rFonts w:ascii="Tahoma" w:hAnsi="Tahoma" w:cs="Tahoma"/>
          <w:color w:val="000000" w:themeColor="text1"/>
        </w:rPr>
        <w:t xml:space="preserve">Alternatywny, ekologiczny transport publiczny – </w:t>
      </w:r>
      <w:r>
        <w:rPr>
          <w:rFonts w:ascii="Tahoma" w:hAnsi="Tahoma" w:cs="Tahoma"/>
          <w:color w:val="000000" w:themeColor="text1"/>
        </w:rPr>
        <w:t>jednoszynowa kolej nadziemna</w:t>
      </w:r>
      <w:r w:rsidR="00BB21FB">
        <w:rPr>
          <w:rFonts w:ascii="Tahoma" w:hAnsi="Tahoma" w:cs="Tahoma"/>
          <w:color w:val="000000" w:themeColor="text1"/>
        </w:rPr>
        <w:t>;</w:t>
      </w:r>
    </w:p>
    <w:p w14:paraId="28E636B4" w14:textId="0406A512" w:rsidR="005544B6" w:rsidRPr="001D66C7" w:rsidRDefault="005544B6" w:rsidP="007E0C6A">
      <w:pPr>
        <w:pStyle w:val="Akapitzlist"/>
        <w:numPr>
          <w:ilvl w:val="0"/>
          <w:numId w:val="32"/>
        </w:numPr>
        <w:spacing w:after="0" w:line="360" w:lineRule="auto"/>
        <w:ind w:left="357" w:hanging="357"/>
        <w:jc w:val="both"/>
        <w:rPr>
          <w:rFonts w:ascii="Tahoma" w:hAnsi="Tahoma" w:cs="Tahoma"/>
          <w:color w:val="000000" w:themeColor="text1"/>
        </w:rPr>
      </w:pPr>
      <w:r w:rsidRPr="001D66C7">
        <w:rPr>
          <w:rFonts w:ascii="Tahoma" w:hAnsi="Tahoma" w:cs="Tahoma"/>
          <w:color w:val="000000" w:themeColor="text1"/>
        </w:rPr>
        <w:t>Budowa Podmiejskiej Kolei Aglomeracyjnej (PKA)</w:t>
      </w:r>
      <w:r>
        <w:rPr>
          <w:rFonts w:ascii="Tahoma" w:hAnsi="Tahoma" w:cs="Tahoma"/>
          <w:color w:val="000000" w:themeColor="text1"/>
        </w:rPr>
        <w:t xml:space="preserve"> – projekt partnerski</w:t>
      </w:r>
      <w:r w:rsidRPr="001D66C7">
        <w:rPr>
          <w:rFonts w:ascii="Tahoma" w:hAnsi="Tahoma" w:cs="Tahoma"/>
          <w:color w:val="000000" w:themeColor="text1"/>
        </w:rPr>
        <w:t>.</w:t>
      </w:r>
    </w:p>
    <w:p w14:paraId="21CECC49" w14:textId="6CD18638" w:rsidR="00BB21FB" w:rsidRDefault="00BB21FB" w:rsidP="00BB21FB">
      <w:pPr>
        <w:rPr>
          <w:rFonts w:cs="Tahoma"/>
          <w:color w:val="000000" w:themeColor="text1"/>
        </w:rPr>
      </w:pPr>
      <w:r>
        <w:rPr>
          <w:rFonts w:cs="Tahoma"/>
          <w:color w:val="000000" w:themeColor="text1"/>
        </w:rPr>
        <w:t>W dokumencie wymieniono także działanie ROF_RZE25 „</w:t>
      </w:r>
      <w:r w:rsidRPr="00BB21FB">
        <w:rPr>
          <w:rFonts w:cs="Tahoma"/>
          <w:color w:val="000000" w:themeColor="text1"/>
        </w:rPr>
        <w:t>Modernizacja</w:t>
      </w:r>
      <w:r>
        <w:rPr>
          <w:rFonts w:cs="Tahoma"/>
          <w:color w:val="000000" w:themeColor="text1"/>
        </w:rPr>
        <w:t xml:space="preserve"> </w:t>
      </w:r>
      <w:r w:rsidRPr="00BB21FB">
        <w:rPr>
          <w:rFonts w:cs="Tahoma"/>
          <w:color w:val="000000" w:themeColor="text1"/>
        </w:rPr>
        <w:t>taboru MPK –</w:t>
      </w:r>
      <w:r>
        <w:rPr>
          <w:rFonts w:cs="Tahoma"/>
          <w:color w:val="000000" w:themeColor="text1"/>
        </w:rPr>
        <w:t xml:space="preserve"> </w:t>
      </w:r>
      <w:r w:rsidRPr="00BB21FB">
        <w:rPr>
          <w:rFonts w:cs="Tahoma"/>
          <w:color w:val="000000" w:themeColor="text1"/>
        </w:rPr>
        <w:t>Rzeszów oraz</w:t>
      </w:r>
      <w:r>
        <w:rPr>
          <w:rFonts w:cs="Tahoma"/>
          <w:color w:val="000000" w:themeColor="text1"/>
        </w:rPr>
        <w:t xml:space="preserve"> </w:t>
      </w:r>
      <w:r w:rsidRPr="00BB21FB">
        <w:rPr>
          <w:rFonts w:cs="Tahoma"/>
          <w:color w:val="000000" w:themeColor="text1"/>
        </w:rPr>
        <w:t>wymiana floty</w:t>
      </w:r>
      <w:r>
        <w:rPr>
          <w:rFonts w:cs="Tahoma"/>
          <w:color w:val="000000" w:themeColor="text1"/>
        </w:rPr>
        <w:t xml:space="preserve"> </w:t>
      </w:r>
      <w:r w:rsidRPr="00BB21FB">
        <w:rPr>
          <w:rFonts w:cs="Tahoma"/>
          <w:color w:val="000000" w:themeColor="text1"/>
        </w:rPr>
        <w:t>samochodowej</w:t>
      </w:r>
      <w:r>
        <w:rPr>
          <w:rFonts w:cs="Tahoma"/>
          <w:color w:val="000000" w:themeColor="text1"/>
        </w:rPr>
        <w:t xml:space="preserve"> </w:t>
      </w:r>
      <w:r w:rsidRPr="00BB21FB">
        <w:rPr>
          <w:rFonts w:cs="Tahoma"/>
          <w:color w:val="000000" w:themeColor="text1"/>
        </w:rPr>
        <w:t>Urzędu Miasta i</w:t>
      </w:r>
      <w:r>
        <w:rPr>
          <w:rFonts w:cs="Tahoma"/>
          <w:color w:val="000000" w:themeColor="text1"/>
        </w:rPr>
        <w:t xml:space="preserve"> </w:t>
      </w:r>
      <w:r w:rsidRPr="00BB21FB">
        <w:rPr>
          <w:rFonts w:cs="Tahoma"/>
          <w:color w:val="000000" w:themeColor="text1"/>
        </w:rPr>
        <w:t>jednostek</w:t>
      </w:r>
      <w:r>
        <w:rPr>
          <w:rFonts w:cs="Tahoma"/>
          <w:color w:val="000000" w:themeColor="text1"/>
        </w:rPr>
        <w:t xml:space="preserve"> </w:t>
      </w:r>
      <w:r w:rsidRPr="00BB21FB">
        <w:rPr>
          <w:rFonts w:cs="Tahoma"/>
          <w:color w:val="000000" w:themeColor="text1"/>
        </w:rPr>
        <w:t>podległych, a także</w:t>
      </w:r>
      <w:r>
        <w:rPr>
          <w:rFonts w:cs="Tahoma"/>
          <w:color w:val="000000" w:themeColor="text1"/>
        </w:rPr>
        <w:t xml:space="preserve"> </w:t>
      </w:r>
      <w:r w:rsidRPr="00BB21FB">
        <w:rPr>
          <w:rFonts w:cs="Tahoma"/>
          <w:color w:val="000000" w:themeColor="text1"/>
        </w:rPr>
        <w:t>spółek miejskich, w</w:t>
      </w:r>
      <w:r>
        <w:rPr>
          <w:rFonts w:cs="Tahoma"/>
          <w:color w:val="000000" w:themeColor="text1"/>
        </w:rPr>
        <w:t xml:space="preserve"> </w:t>
      </w:r>
      <w:r w:rsidRPr="00BB21FB">
        <w:rPr>
          <w:rFonts w:cs="Tahoma"/>
          <w:color w:val="000000" w:themeColor="text1"/>
        </w:rPr>
        <w:t>tym promocja</w:t>
      </w:r>
      <w:r>
        <w:rPr>
          <w:rFonts w:cs="Tahoma"/>
          <w:color w:val="000000" w:themeColor="text1"/>
        </w:rPr>
        <w:t xml:space="preserve"> </w:t>
      </w:r>
      <w:r w:rsidRPr="00BB21FB">
        <w:rPr>
          <w:rFonts w:cs="Tahoma"/>
          <w:color w:val="000000" w:themeColor="text1"/>
        </w:rPr>
        <w:t>alternatywnych</w:t>
      </w:r>
      <w:r>
        <w:rPr>
          <w:rFonts w:cs="Tahoma"/>
          <w:color w:val="000000" w:themeColor="text1"/>
        </w:rPr>
        <w:t xml:space="preserve"> </w:t>
      </w:r>
      <w:r w:rsidRPr="00BB21FB">
        <w:rPr>
          <w:rFonts w:cs="Tahoma"/>
          <w:color w:val="000000" w:themeColor="text1"/>
        </w:rPr>
        <w:t>środków</w:t>
      </w:r>
      <w:r>
        <w:rPr>
          <w:rFonts w:cs="Tahoma"/>
          <w:color w:val="000000" w:themeColor="text1"/>
        </w:rPr>
        <w:t xml:space="preserve"> </w:t>
      </w:r>
      <w:r w:rsidRPr="00BB21FB">
        <w:rPr>
          <w:rFonts w:cs="Tahoma"/>
          <w:color w:val="000000" w:themeColor="text1"/>
        </w:rPr>
        <w:t>transportu</w:t>
      </w:r>
      <w:r>
        <w:rPr>
          <w:rFonts w:cs="Tahoma"/>
          <w:color w:val="000000" w:themeColor="text1"/>
        </w:rPr>
        <w:t>”, a w nim projekt o tym samym tytule.</w:t>
      </w:r>
    </w:p>
    <w:p w14:paraId="2CFA0D75" w14:textId="3D1709C8" w:rsidR="00085A63" w:rsidRPr="001D66C7" w:rsidRDefault="00085A63" w:rsidP="005544B6">
      <w:pPr>
        <w:rPr>
          <w:rFonts w:cs="Tahoma"/>
          <w:color w:val="000000" w:themeColor="text1"/>
        </w:rPr>
      </w:pPr>
      <w:r w:rsidRPr="001D66C7">
        <w:rPr>
          <w:rFonts w:cs="Tahoma"/>
          <w:color w:val="000000" w:themeColor="text1"/>
        </w:rPr>
        <w:t>„Program Rewitalizacji dla Rzeszowskiego Obszaru Funkcjonalnego”</w:t>
      </w:r>
      <w:r w:rsidRPr="001D66C7">
        <w:rPr>
          <w:rStyle w:val="Odwoanieprzypisudolnego"/>
          <w:rFonts w:cs="Tahoma"/>
          <w:color w:val="000000" w:themeColor="text1"/>
        </w:rPr>
        <w:footnoteReference w:id="12"/>
      </w:r>
      <w:r w:rsidRPr="001D66C7">
        <w:rPr>
          <w:rFonts w:cs="Tahoma"/>
          <w:color w:val="000000" w:themeColor="text1"/>
        </w:rPr>
        <w:t xml:space="preserve"> obejmuje obszary rekomendowane do po</w:t>
      </w:r>
      <w:r>
        <w:rPr>
          <w:rFonts w:cs="Tahoma"/>
          <w:color w:val="000000" w:themeColor="text1"/>
        </w:rPr>
        <w:t>d</w:t>
      </w:r>
      <w:r w:rsidRPr="001D66C7">
        <w:rPr>
          <w:rFonts w:cs="Tahoma"/>
          <w:color w:val="000000" w:themeColor="text1"/>
        </w:rPr>
        <w:t>jęcia działań rewitalizacyjnych w obszarze ROF</w:t>
      </w:r>
      <w:r>
        <w:rPr>
          <w:rFonts w:cs="Tahoma"/>
          <w:color w:val="000000" w:themeColor="text1"/>
        </w:rPr>
        <w:t xml:space="preserve">. </w:t>
      </w:r>
      <w:r w:rsidRPr="001D66C7">
        <w:rPr>
          <w:rFonts w:cs="Tahoma"/>
          <w:color w:val="000000" w:themeColor="text1"/>
        </w:rPr>
        <w:t>Obszary</w:t>
      </w:r>
      <w:r>
        <w:rPr>
          <w:rFonts w:cs="Tahoma"/>
          <w:color w:val="000000" w:themeColor="text1"/>
        </w:rPr>
        <w:t xml:space="preserve"> </w:t>
      </w:r>
      <w:r w:rsidRPr="001D66C7">
        <w:rPr>
          <w:rFonts w:cs="Tahoma"/>
          <w:color w:val="000000" w:themeColor="text1"/>
        </w:rPr>
        <w:t xml:space="preserve">rekomendowane dla miasta Rzeszowa </w:t>
      </w:r>
      <w:r>
        <w:rPr>
          <w:rFonts w:cs="Tahoma"/>
          <w:color w:val="000000" w:themeColor="text1"/>
        </w:rPr>
        <w:t>obejmują obszar</w:t>
      </w:r>
      <w:r w:rsidRPr="001D66C7">
        <w:rPr>
          <w:rFonts w:cs="Tahoma"/>
          <w:color w:val="000000" w:themeColor="text1"/>
        </w:rPr>
        <w:t xml:space="preserve"> śródmieścia, osiedla Dąbrowskiego i </w:t>
      </w:r>
      <w:r>
        <w:rPr>
          <w:rFonts w:cs="Tahoma"/>
          <w:color w:val="000000" w:themeColor="text1"/>
        </w:rPr>
        <w:t>osiedla G</w:t>
      </w:r>
      <w:r w:rsidRPr="001D66C7">
        <w:rPr>
          <w:rFonts w:cs="Tahoma"/>
          <w:color w:val="000000" w:themeColor="text1"/>
        </w:rPr>
        <w:t>en</w:t>
      </w:r>
      <w:r>
        <w:rPr>
          <w:rFonts w:cs="Tahoma"/>
          <w:color w:val="000000" w:themeColor="text1"/>
        </w:rPr>
        <w:t>erała W.</w:t>
      </w:r>
      <w:r w:rsidRPr="001D66C7">
        <w:rPr>
          <w:rFonts w:cs="Tahoma"/>
          <w:color w:val="000000" w:themeColor="text1"/>
        </w:rPr>
        <w:t xml:space="preserve"> Andersa. W ramach projektów rewitalizacyjnych </w:t>
      </w:r>
      <w:r>
        <w:rPr>
          <w:rFonts w:cs="Tahoma"/>
          <w:color w:val="000000" w:themeColor="text1"/>
        </w:rPr>
        <w:t xml:space="preserve">wymieniono </w:t>
      </w:r>
      <w:r w:rsidRPr="001D66C7">
        <w:rPr>
          <w:rFonts w:cs="Tahoma"/>
          <w:color w:val="000000" w:themeColor="text1"/>
        </w:rPr>
        <w:t xml:space="preserve">różne rodzaje działań </w:t>
      </w:r>
      <w:r w:rsidRPr="001D66C7">
        <w:rPr>
          <w:rFonts w:cs="Tahoma"/>
          <w:color w:val="000000" w:themeColor="text1"/>
        </w:rPr>
        <w:lastRenderedPageBreak/>
        <w:t xml:space="preserve">infrastrukturalnych i społecznych, nie odnoszące się jednak do problematyki </w:t>
      </w:r>
      <w:r>
        <w:rPr>
          <w:rFonts w:cs="Tahoma"/>
          <w:color w:val="000000" w:themeColor="text1"/>
        </w:rPr>
        <w:t>transportu zbiorowego.</w:t>
      </w:r>
      <w:r w:rsidRPr="001D66C7">
        <w:rPr>
          <w:rFonts w:cs="Tahoma"/>
          <w:color w:val="000000" w:themeColor="text1"/>
        </w:rPr>
        <w:t xml:space="preserve"> </w:t>
      </w:r>
    </w:p>
    <w:p w14:paraId="28F1A91C" w14:textId="7514E23F" w:rsidR="005544B6" w:rsidRDefault="00085A63" w:rsidP="00085A63">
      <w:pPr>
        <w:rPr>
          <w:rFonts w:cs="Tahoma"/>
          <w:color w:val="000000" w:themeColor="text1"/>
        </w:rPr>
      </w:pPr>
      <w:r w:rsidRPr="001D66C7">
        <w:rPr>
          <w:rFonts w:cs="Tahoma"/>
          <w:color w:val="000000" w:themeColor="text1"/>
        </w:rPr>
        <w:t xml:space="preserve">W ramach zaplanowanych przedsięwzięć inwestycyjnych obejmujących kilka obszarów </w:t>
      </w:r>
      <w:r w:rsidR="00012384">
        <w:rPr>
          <w:rFonts w:cs="Tahoma"/>
          <w:color w:val="000000" w:themeColor="text1"/>
        </w:rPr>
        <w:t xml:space="preserve">rewitalizacji </w:t>
      </w:r>
      <w:r w:rsidRPr="001D66C7">
        <w:rPr>
          <w:rFonts w:cs="Tahoma"/>
          <w:color w:val="000000" w:themeColor="text1"/>
        </w:rPr>
        <w:t>przewidziano</w:t>
      </w:r>
      <w:r w:rsidR="00650340">
        <w:rPr>
          <w:rFonts w:cs="Tahoma"/>
          <w:color w:val="000000" w:themeColor="text1"/>
        </w:rPr>
        <w:t xml:space="preserve"> odpowiednio jako projekty</w:t>
      </w:r>
      <w:r w:rsidRPr="001D66C7">
        <w:rPr>
          <w:rFonts w:cs="Tahoma"/>
          <w:color w:val="000000" w:themeColor="text1"/>
        </w:rPr>
        <w:t>:</w:t>
      </w:r>
      <w:r w:rsidRPr="00C14A96">
        <w:rPr>
          <w:rFonts w:cs="Tahoma"/>
          <w:color w:val="000000" w:themeColor="text1"/>
        </w:rPr>
        <w:t xml:space="preserve"> </w:t>
      </w:r>
    </w:p>
    <w:p w14:paraId="568D4F34" w14:textId="4C5086B1" w:rsidR="005544B6" w:rsidRDefault="005544B6" w:rsidP="00650340">
      <w:pPr>
        <w:pStyle w:val="Akapitzlist"/>
        <w:numPr>
          <w:ilvl w:val="0"/>
          <w:numId w:val="38"/>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nr 2 – </w:t>
      </w:r>
      <w:r w:rsidRPr="005544B6">
        <w:rPr>
          <w:rFonts w:ascii="Tahoma" w:hAnsi="Tahoma" w:cs="Tahoma"/>
          <w:color w:val="000000" w:themeColor="text1"/>
        </w:rPr>
        <w:t>Integracja różnych form publicznego transportu zbiorowego w Rzeszowie</w:t>
      </w:r>
      <w:r>
        <w:rPr>
          <w:rFonts w:ascii="Tahoma" w:hAnsi="Tahoma" w:cs="Tahoma"/>
          <w:color w:val="000000" w:themeColor="text1"/>
        </w:rPr>
        <w:t>;</w:t>
      </w:r>
    </w:p>
    <w:p w14:paraId="3EB5B8A2" w14:textId="75FA2880" w:rsidR="005544B6" w:rsidRDefault="005544B6" w:rsidP="00650340">
      <w:pPr>
        <w:pStyle w:val="Akapitzlist"/>
        <w:numPr>
          <w:ilvl w:val="0"/>
          <w:numId w:val="38"/>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nr 3 – </w:t>
      </w:r>
      <w:r w:rsidRPr="005544B6">
        <w:rPr>
          <w:rFonts w:ascii="Tahoma" w:hAnsi="Tahoma" w:cs="Tahoma"/>
          <w:color w:val="000000" w:themeColor="text1"/>
        </w:rPr>
        <w:t>Rozbudowa systemu transportu publicznego w Rzeszowie</w:t>
      </w:r>
      <w:r>
        <w:rPr>
          <w:rFonts w:ascii="Tahoma" w:hAnsi="Tahoma" w:cs="Tahoma"/>
          <w:color w:val="000000" w:themeColor="text1"/>
        </w:rPr>
        <w:t>;</w:t>
      </w:r>
      <w:r w:rsidRPr="005544B6">
        <w:rPr>
          <w:rFonts w:ascii="Tahoma" w:hAnsi="Tahoma" w:cs="Tahoma"/>
          <w:color w:val="000000" w:themeColor="text1"/>
        </w:rPr>
        <w:t xml:space="preserve"> </w:t>
      </w:r>
    </w:p>
    <w:p w14:paraId="0FE2FB80" w14:textId="2C640C79" w:rsidR="00085A63" w:rsidRPr="005544B6" w:rsidRDefault="005544B6" w:rsidP="00650340">
      <w:pPr>
        <w:pStyle w:val="Akapitzlist"/>
        <w:numPr>
          <w:ilvl w:val="0"/>
          <w:numId w:val="38"/>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nr 4 – </w:t>
      </w:r>
      <w:r w:rsidR="00085A63" w:rsidRPr="005544B6">
        <w:rPr>
          <w:rFonts w:ascii="Tahoma" w:hAnsi="Tahoma" w:cs="Tahoma"/>
          <w:color w:val="000000" w:themeColor="text1"/>
        </w:rPr>
        <w:t>Rozwój systemu transportu publicznego w Rzeszowie.</w:t>
      </w:r>
    </w:p>
    <w:p w14:paraId="5475F9CF" w14:textId="153F57A6" w:rsidR="0080049A" w:rsidRDefault="0080049A" w:rsidP="0080049A">
      <w:pPr>
        <w:rPr>
          <w:rFonts w:cs="Tahoma"/>
          <w:color w:val="000000" w:themeColor="text1"/>
        </w:rPr>
      </w:pPr>
      <w:r>
        <w:rPr>
          <w:rFonts w:cs="Tahoma"/>
          <w:color w:val="000000" w:themeColor="text1"/>
        </w:rPr>
        <w:t>„Strategia rozwoju Miasta Rzeszowa do roku 2025”</w:t>
      </w:r>
      <w:r>
        <w:rPr>
          <w:rStyle w:val="Odwoanieprzypisudolnego"/>
          <w:rFonts w:cs="Tahoma"/>
          <w:color w:val="000000" w:themeColor="text1"/>
        </w:rPr>
        <w:footnoteReference w:id="13"/>
      </w:r>
      <w:r>
        <w:rPr>
          <w:rFonts w:cs="Tahoma"/>
          <w:color w:val="000000" w:themeColor="text1"/>
        </w:rPr>
        <w:t xml:space="preserve"> określa wizję i misję rozwoju miasta Rzeszowa, cele strategiczne oraz przedsięwzięcia i działania.</w:t>
      </w:r>
    </w:p>
    <w:p w14:paraId="5C96B846" w14:textId="77777777" w:rsidR="0080049A" w:rsidRPr="0080049A" w:rsidRDefault="0080049A" w:rsidP="0080049A">
      <w:r w:rsidRPr="0080049A">
        <w:t>Strategia definiuje wizję jako: „Rzeszów – biegun wzrostu Podkarpacie – miasto przyjazne ludziom, posiadające i rozbudowujące liczne funkcje metropolitalne, gdzie warto mieszkać i gdzie można liczyć na wysoką jakość życia i środowiska zamieszkania, a przy tym wszechstronny rozwój: gospodarczy, społeczny i kulturalny”.</w:t>
      </w:r>
    </w:p>
    <w:p w14:paraId="1D283A10" w14:textId="77777777" w:rsidR="0080049A" w:rsidRPr="0080049A" w:rsidRDefault="0080049A" w:rsidP="0080049A">
      <w:r w:rsidRPr="0080049A">
        <w:t xml:space="preserve">Strategia definiuje cztery główne cele strategiczne horyzontalne – odnoszące się do podsystemu zarządzania rozwojem miasta, powiązane z czterema głównymi celami strategicznymi sektorowymi dotyczącymi otoczenia i podsystemów miasta. </w:t>
      </w:r>
    </w:p>
    <w:p w14:paraId="1853529F" w14:textId="77777777" w:rsidR="0080049A" w:rsidRDefault="0080049A" w:rsidP="0080049A">
      <w:pPr>
        <w:rPr>
          <w:rFonts w:cs="Tahoma"/>
          <w:color w:val="000000" w:themeColor="text1"/>
        </w:rPr>
      </w:pPr>
      <w:r>
        <w:rPr>
          <w:rFonts w:cs="Tahoma"/>
          <w:color w:val="000000" w:themeColor="text1"/>
        </w:rPr>
        <w:t>W dokumencie wymieniono główne cele strategiczne horyzontalne:</w:t>
      </w:r>
    </w:p>
    <w:p w14:paraId="4F9563AB" w14:textId="77777777" w:rsidR="0080049A" w:rsidRPr="00650340" w:rsidRDefault="0080049A" w:rsidP="00650340">
      <w:pPr>
        <w:pStyle w:val="Akapitzlist"/>
        <w:numPr>
          <w:ilvl w:val="0"/>
          <w:numId w:val="38"/>
        </w:numPr>
        <w:spacing w:after="0" w:line="360" w:lineRule="auto"/>
        <w:jc w:val="both"/>
        <w:rPr>
          <w:rFonts w:ascii="Tahoma" w:hAnsi="Tahoma" w:cs="Tahoma"/>
          <w:color w:val="000000" w:themeColor="text1"/>
        </w:rPr>
      </w:pPr>
      <w:r w:rsidRPr="00650340">
        <w:rPr>
          <w:rFonts w:ascii="Tahoma" w:hAnsi="Tahoma" w:cs="Tahoma"/>
          <w:color w:val="000000" w:themeColor="text1"/>
        </w:rPr>
        <w:t>CH.1. – Spójność terytorialna – zagospodarowywanie terenu miasta w sposób racjonalny pod względem przestrzennym i architektonicznym;</w:t>
      </w:r>
    </w:p>
    <w:p w14:paraId="311D8305" w14:textId="21893315" w:rsidR="0080049A" w:rsidRPr="00650340" w:rsidRDefault="0080049A" w:rsidP="00650340">
      <w:pPr>
        <w:pStyle w:val="Akapitzlist"/>
        <w:numPr>
          <w:ilvl w:val="0"/>
          <w:numId w:val="38"/>
        </w:numPr>
        <w:spacing w:after="0" w:line="360" w:lineRule="auto"/>
        <w:jc w:val="both"/>
        <w:rPr>
          <w:rFonts w:ascii="Tahoma" w:hAnsi="Tahoma" w:cs="Tahoma"/>
          <w:color w:val="000000" w:themeColor="text1"/>
        </w:rPr>
      </w:pPr>
      <w:r w:rsidRPr="00650340">
        <w:rPr>
          <w:rFonts w:ascii="Tahoma" w:hAnsi="Tahoma" w:cs="Tahoma"/>
          <w:color w:val="000000" w:themeColor="text1"/>
        </w:rPr>
        <w:t>CH.2. – Bogate (zasobne) Miasto – zapewnienie zdolności finansowania rozwoju Miasta z</w:t>
      </w:r>
      <w:r w:rsidR="00650340">
        <w:rPr>
          <w:rFonts w:ascii="Tahoma" w:hAnsi="Tahoma" w:cs="Tahoma"/>
          <w:color w:val="000000" w:themeColor="text1"/>
        </w:rPr>
        <w:t> </w:t>
      </w:r>
      <w:r w:rsidRPr="00650340">
        <w:rPr>
          <w:rFonts w:ascii="Tahoma" w:hAnsi="Tahoma" w:cs="Tahoma"/>
          <w:color w:val="000000" w:themeColor="text1"/>
        </w:rPr>
        <w:t>wykorzystaniem środków publicznych i prywatnych;</w:t>
      </w:r>
    </w:p>
    <w:p w14:paraId="54381FDF" w14:textId="77777777" w:rsidR="0080049A" w:rsidRPr="00650340" w:rsidRDefault="0080049A" w:rsidP="00650340">
      <w:pPr>
        <w:pStyle w:val="Akapitzlist"/>
        <w:numPr>
          <w:ilvl w:val="0"/>
          <w:numId w:val="38"/>
        </w:numPr>
        <w:spacing w:after="0" w:line="360" w:lineRule="auto"/>
        <w:jc w:val="both"/>
        <w:rPr>
          <w:rFonts w:ascii="Tahoma" w:hAnsi="Tahoma" w:cs="Tahoma"/>
          <w:color w:val="000000" w:themeColor="text1"/>
        </w:rPr>
      </w:pPr>
      <w:r w:rsidRPr="00650340">
        <w:rPr>
          <w:rFonts w:ascii="Tahoma" w:hAnsi="Tahoma" w:cs="Tahoma"/>
          <w:color w:val="000000" w:themeColor="text1"/>
        </w:rPr>
        <w:t>CH.3. – Miasto współpracy – zapewnienie sprawnej komunikacji społecznej i współpracy Miasta z podmiotami publicznymi, gospodarczymi, społecznymi i mieszkańcami;</w:t>
      </w:r>
    </w:p>
    <w:p w14:paraId="082B8BAD" w14:textId="77777777" w:rsidR="0080049A" w:rsidRPr="00650340" w:rsidRDefault="0080049A" w:rsidP="00650340">
      <w:pPr>
        <w:pStyle w:val="Akapitzlist"/>
        <w:numPr>
          <w:ilvl w:val="0"/>
          <w:numId w:val="38"/>
        </w:numPr>
        <w:spacing w:after="0" w:line="360" w:lineRule="auto"/>
        <w:jc w:val="both"/>
        <w:rPr>
          <w:rFonts w:ascii="Tahoma" w:hAnsi="Tahoma" w:cs="Tahoma"/>
          <w:color w:val="000000" w:themeColor="text1"/>
        </w:rPr>
      </w:pPr>
      <w:r w:rsidRPr="00650340">
        <w:rPr>
          <w:rFonts w:ascii="Tahoma" w:hAnsi="Tahoma" w:cs="Tahoma"/>
          <w:color w:val="000000" w:themeColor="text1"/>
        </w:rPr>
        <w:t>CH.4. – Marka „Rzeszów” – wypracowanie rozpoznawalnego w kraju i za granicą wizerunku Rzeszowa jako centrum innowacji gospodarczych i społecznych, miasta gościnnego i przyjaznego dla odwiedzających;</w:t>
      </w:r>
    </w:p>
    <w:p w14:paraId="099A2146" w14:textId="77777777" w:rsidR="0080049A" w:rsidRPr="00650340" w:rsidRDefault="0080049A" w:rsidP="00650340">
      <w:pPr>
        <w:ind w:firstLine="0"/>
        <w:rPr>
          <w:rFonts w:cs="Tahoma"/>
          <w:color w:val="000000" w:themeColor="text1"/>
        </w:rPr>
      </w:pPr>
      <w:r w:rsidRPr="00650340">
        <w:rPr>
          <w:rFonts w:cs="Tahoma"/>
          <w:color w:val="000000" w:themeColor="text1"/>
        </w:rPr>
        <w:t>oraz główne cele strategiczne sektorowe:</w:t>
      </w:r>
    </w:p>
    <w:p w14:paraId="78FB4175" w14:textId="77777777" w:rsidR="0080049A" w:rsidRPr="00650340" w:rsidRDefault="0080049A" w:rsidP="00650340">
      <w:pPr>
        <w:pStyle w:val="Akapitzlist"/>
        <w:numPr>
          <w:ilvl w:val="0"/>
          <w:numId w:val="30"/>
        </w:numPr>
        <w:spacing w:after="0" w:line="360" w:lineRule="auto"/>
        <w:ind w:left="357" w:hanging="357"/>
        <w:jc w:val="both"/>
        <w:rPr>
          <w:rFonts w:ascii="Tahoma" w:hAnsi="Tahoma" w:cs="Tahoma"/>
          <w:color w:val="000000" w:themeColor="text1"/>
        </w:rPr>
      </w:pPr>
      <w:r w:rsidRPr="00650340">
        <w:rPr>
          <w:rFonts w:ascii="Tahoma" w:hAnsi="Tahoma" w:cs="Tahoma"/>
          <w:color w:val="000000" w:themeColor="text1"/>
        </w:rPr>
        <w:t>C.1. – Inteligentne Miasto – tworzenie sprzyjających warunków dla rozwoju Rzeszowa jako atrakcyjnego miejsca dla prowadzenia działalności gospodarczej oraz rozwoju edukacji, szkolnictwa wyższego, nauki i kultury;</w:t>
      </w:r>
    </w:p>
    <w:p w14:paraId="5A0B2D33" w14:textId="77777777" w:rsidR="0080049A" w:rsidRPr="00650340" w:rsidRDefault="0080049A" w:rsidP="00650340">
      <w:pPr>
        <w:pStyle w:val="Akapitzlist"/>
        <w:numPr>
          <w:ilvl w:val="0"/>
          <w:numId w:val="30"/>
        </w:numPr>
        <w:spacing w:after="0" w:line="360" w:lineRule="auto"/>
        <w:ind w:left="357" w:hanging="357"/>
        <w:jc w:val="both"/>
        <w:rPr>
          <w:rFonts w:ascii="Tahoma" w:hAnsi="Tahoma" w:cs="Tahoma"/>
          <w:color w:val="000000" w:themeColor="text1"/>
        </w:rPr>
      </w:pPr>
      <w:r w:rsidRPr="00650340">
        <w:rPr>
          <w:rFonts w:ascii="Tahoma" w:hAnsi="Tahoma" w:cs="Tahoma"/>
          <w:color w:val="000000" w:themeColor="text1"/>
        </w:rPr>
        <w:t>C.2. – Miasto społecznie spójne i zintegrowane – poprawa warunków życia mieszkańców i stanu bezpieczeństwa publicznego;</w:t>
      </w:r>
    </w:p>
    <w:p w14:paraId="79D1D591" w14:textId="77777777" w:rsidR="0080049A" w:rsidRPr="00650340" w:rsidRDefault="0080049A" w:rsidP="00650340">
      <w:pPr>
        <w:pStyle w:val="Akapitzlist"/>
        <w:numPr>
          <w:ilvl w:val="0"/>
          <w:numId w:val="38"/>
        </w:numPr>
        <w:spacing w:after="0" w:line="360" w:lineRule="auto"/>
        <w:jc w:val="both"/>
        <w:rPr>
          <w:rFonts w:ascii="Tahoma" w:hAnsi="Tahoma" w:cs="Tahoma"/>
          <w:color w:val="000000" w:themeColor="text1"/>
        </w:rPr>
      </w:pPr>
      <w:r w:rsidRPr="00650340">
        <w:rPr>
          <w:rFonts w:ascii="Tahoma" w:hAnsi="Tahoma" w:cs="Tahoma"/>
          <w:color w:val="000000" w:themeColor="text1"/>
        </w:rPr>
        <w:lastRenderedPageBreak/>
        <w:t>C.3. – Mobilność miejska i infrastruktura – rozwój i poprawa funkcjonowania systemu komunikacji i infrastruktury technicznej;</w:t>
      </w:r>
    </w:p>
    <w:p w14:paraId="01FB05EE" w14:textId="77777777" w:rsidR="0080049A" w:rsidRPr="00650340" w:rsidRDefault="0080049A" w:rsidP="00650340">
      <w:pPr>
        <w:pStyle w:val="Akapitzlist"/>
        <w:numPr>
          <w:ilvl w:val="0"/>
          <w:numId w:val="38"/>
        </w:numPr>
        <w:spacing w:after="0" w:line="360" w:lineRule="auto"/>
        <w:jc w:val="both"/>
        <w:rPr>
          <w:rFonts w:ascii="Tahoma" w:hAnsi="Tahoma" w:cs="Tahoma"/>
          <w:color w:val="000000" w:themeColor="text1"/>
        </w:rPr>
      </w:pPr>
      <w:r w:rsidRPr="00650340">
        <w:rPr>
          <w:rFonts w:ascii="Tahoma" w:hAnsi="Tahoma" w:cs="Tahoma"/>
          <w:color w:val="000000" w:themeColor="text1"/>
        </w:rPr>
        <w:t>C.4. – Wykorzystanie zasobów – czysta energia i bogate dziedzictwo – ochrona i zagospodarowywanie walorów i zasobów środowiska przyrodniczego i kulturowego.</w:t>
      </w:r>
    </w:p>
    <w:p w14:paraId="42E01B50" w14:textId="1DE417E4" w:rsidR="0080049A" w:rsidRDefault="0080049A" w:rsidP="0080049A">
      <w:pPr>
        <w:rPr>
          <w:rFonts w:cs="Tahoma"/>
          <w:color w:val="000000" w:themeColor="text1"/>
        </w:rPr>
      </w:pPr>
      <w:r>
        <w:rPr>
          <w:rFonts w:cs="Tahoma"/>
          <w:color w:val="000000" w:themeColor="text1"/>
        </w:rPr>
        <w:t>W ramach głównych celów strategicznych w matrycy powiązań zdefiniowano ponad 50 strategicznych celów szczegółowych.</w:t>
      </w:r>
    </w:p>
    <w:p w14:paraId="1A89FBD0" w14:textId="33F7FC39" w:rsidR="0080049A" w:rsidRDefault="0080049A" w:rsidP="0080049A">
      <w:pPr>
        <w:rPr>
          <w:rFonts w:cs="Tahoma"/>
          <w:color w:val="000000" w:themeColor="text1"/>
        </w:rPr>
      </w:pPr>
      <w:r>
        <w:rPr>
          <w:rFonts w:cs="Tahoma"/>
          <w:color w:val="000000" w:themeColor="text1"/>
        </w:rPr>
        <w:t xml:space="preserve">Zakresu miejskiego transportu publicznego dotyczą cele szczegółowe w ramach celu sektorowego C.3., w tym w szczególności – </w:t>
      </w:r>
      <w:r w:rsidRPr="00980D21">
        <w:rPr>
          <w:rFonts w:cs="Tahoma"/>
          <w:color w:val="000000" w:themeColor="text1"/>
        </w:rPr>
        <w:t xml:space="preserve">Zintegrowane systemy zrównoważonego transportu zbiorowego i rowerowego w skali ROF, wykorzystujące intermodalne węzły, powiązane z transportem </w:t>
      </w:r>
      <w:r>
        <w:rPr>
          <w:rFonts w:cs="Tahoma"/>
          <w:color w:val="000000" w:themeColor="text1"/>
        </w:rPr>
        <w:t>rowerowym (P&amp;R, B&amp;R</w:t>
      </w:r>
      <w:r w:rsidRPr="00647EEC">
        <w:rPr>
          <w:rFonts w:cs="Tahoma"/>
          <w:color w:val="000000" w:themeColor="text1"/>
        </w:rPr>
        <w:t>, K&amp;R)</w:t>
      </w:r>
      <w:r w:rsidRPr="00980D21">
        <w:rPr>
          <w:rFonts w:cs="Tahoma"/>
          <w:color w:val="000000" w:themeColor="text1"/>
        </w:rPr>
        <w:t xml:space="preserve"> oraz alternatywne formy kołowego i szynowego transportu publicznego, a</w:t>
      </w:r>
      <w:r>
        <w:rPr>
          <w:rFonts w:cs="Tahoma"/>
          <w:color w:val="000000" w:themeColor="text1"/>
        </w:rPr>
        <w:t> </w:t>
      </w:r>
      <w:r w:rsidRPr="00980D21">
        <w:rPr>
          <w:rFonts w:cs="Tahoma"/>
          <w:color w:val="000000" w:themeColor="text1"/>
        </w:rPr>
        <w:t>w</w:t>
      </w:r>
      <w:r w:rsidR="00187723">
        <w:rPr>
          <w:rFonts w:cs="Tahoma"/>
          <w:color w:val="000000" w:themeColor="text1"/>
        </w:rPr>
        <w:t xml:space="preserve"> tym </w:t>
      </w:r>
      <w:r w:rsidR="00D86625">
        <w:rPr>
          <w:rFonts w:cs="Tahoma"/>
          <w:color w:val="000000" w:themeColor="text1"/>
        </w:rPr>
        <w:t>„</w:t>
      </w:r>
      <w:r w:rsidRPr="00980D21">
        <w:rPr>
          <w:rFonts w:cs="Tahoma"/>
          <w:color w:val="000000" w:themeColor="text1"/>
        </w:rPr>
        <w:t>Rzeszowskie Centrum Komunikacyjne jako zintegrowany intermodalny węzeł przesiadkowy dla wszystkich rodzajów komunikacji zbiorowej</w:t>
      </w:r>
      <w:r w:rsidR="00D86625">
        <w:rPr>
          <w:rFonts w:cs="Tahoma"/>
          <w:color w:val="000000" w:themeColor="text1"/>
        </w:rPr>
        <w:t>”</w:t>
      </w:r>
      <w:r>
        <w:rPr>
          <w:rFonts w:cs="Tahoma"/>
          <w:color w:val="000000" w:themeColor="text1"/>
        </w:rPr>
        <w:t>.</w:t>
      </w:r>
    </w:p>
    <w:p w14:paraId="427E7D11" w14:textId="56032B65" w:rsidR="00252512" w:rsidRDefault="0080049A" w:rsidP="002B3ABD">
      <w:r w:rsidRPr="0080049A">
        <w:t xml:space="preserve">Zakresu </w:t>
      </w:r>
      <w:r>
        <w:t>transportu zbiorowego</w:t>
      </w:r>
      <w:r w:rsidRPr="0080049A">
        <w:t xml:space="preserve"> dotyczą także pośrednio cele szczegółowe w ramach celu sektorowego C.4.</w:t>
      </w:r>
      <w:r>
        <w:t xml:space="preserve">, w szczególności – </w:t>
      </w:r>
      <w:r w:rsidR="00D86625">
        <w:t>„</w:t>
      </w:r>
      <w:r>
        <w:t xml:space="preserve">Ograniczona </w:t>
      </w:r>
      <w:r w:rsidRPr="0080049A">
        <w:t>emisyjność gospodarki miejskiej dzięki wykorzystaniu środków UE, środków z budżetu państwa i innych środków zewnętrznych</w:t>
      </w:r>
      <w:r w:rsidR="00D86625">
        <w:t>”</w:t>
      </w:r>
      <w:r>
        <w:t>.</w:t>
      </w:r>
    </w:p>
    <w:bookmarkEnd w:id="45"/>
    <w:p w14:paraId="2E6B2B59" w14:textId="65EE86E3" w:rsidR="0080049A" w:rsidRDefault="009A29FE" w:rsidP="009A29FE">
      <w:pPr>
        <w:rPr>
          <w:rFonts w:cs="Tahoma"/>
          <w:color w:val="000000" w:themeColor="text1"/>
        </w:rPr>
      </w:pPr>
      <w:r>
        <w:rPr>
          <w:rFonts w:cs="Tahoma"/>
          <w:color w:val="000000" w:themeColor="text1"/>
        </w:rPr>
        <w:t>Wśród wymienionych w załączniku przedsięwzięć i działań służących realizacji Strategii wymieniono związane z kompleksową przebudową Dworca Lokalnego (zrealizowane) oraz realizacją idei Rzeszowskiego Centrum Komunikacyjnego, a także:</w:t>
      </w:r>
    </w:p>
    <w:p w14:paraId="0E9CE37C" w14:textId="77777777" w:rsidR="009A29FE" w:rsidRDefault="009A29FE" w:rsidP="00650340">
      <w:pPr>
        <w:pStyle w:val="Akapitzlist"/>
        <w:numPr>
          <w:ilvl w:val="0"/>
          <w:numId w:val="30"/>
        </w:numPr>
        <w:spacing w:after="0" w:line="360" w:lineRule="auto"/>
        <w:ind w:left="357" w:hanging="357"/>
        <w:jc w:val="both"/>
        <w:rPr>
          <w:rFonts w:ascii="Tahoma" w:hAnsi="Tahoma" w:cs="Tahoma"/>
          <w:color w:val="000000" w:themeColor="text1"/>
        </w:rPr>
      </w:pPr>
      <w:r w:rsidRPr="00C87426">
        <w:rPr>
          <w:rFonts w:ascii="Tahoma" w:hAnsi="Tahoma" w:cs="Tahoma"/>
          <w:color w:val="000000" w:themeColor="text1"/>
        </w:rPr>
        <w:t>Rozwój i rozbudowa systemu transportu publicznego w Rzeszowie</w:t>
      </w:r>
      <w:r>
        <w:rPr>
          <w:rFonts w:ascii="Tahoma" w:hAnsi="Tahoma" w:cs="Tahoma"/>
          <w:color w:val="000000" w:themeColor="text1"/>
        </w:rPr>
        <w:t>;</w:t>
      </w:r>
    </w:p>
    <w:p w14:paraId="33CFD21B" w14:textId="77777777" w:rsidR="009A29FE" w:rsidRDefault="009A29FE" w:rsidP="00650340">
      <w:pPr>
        <w:pStyle w:val="Akapitzlist"/>
        <w:numPr>
          <w:ilvl w:val="0"/>
          <w:numId w:val="30"/>
        </w:numPr>
        <w:spacing w:after="0" w:line="360" w:lineRule="auto"/>
        <w:ind w:left="357" w:hanging="357"/>
        <w:jc w:val="both"/>
        <w:rPr>
          <w:rFonts w:ascii="Tahoma" w:hAnsi="Tahoma" w:cs="Tahoma"/>
          <w:color w:val="000000" w:themeColor="text1"/>
        </w:rPr>
      </w:pPr>
      <w:r w:rsidRPr="00C87426">
        <w:rPr>
          <w:rFonts w:ascii="Tahoma" w:hAnsi="Tahoma" w:cs="Tahoma"/>
          <w:color w:val="000000" w:themeColor="text1"/>
        </w:rPr>
        <w:t>Integracja różnych form publicznego transportu zbiorowego w Rzeszowie</w:t>
      </w:r>
      <w:r>
        <w:rPr>
          <w:rFonts w:ascii="Tahoma" w:hAnsi="Tahoma" w:cs="Tahoma"/>
          <w:color w:val="000000" w:themeColor="text1"/>
        </w:rPr>
        <w:t>;</w:t>
      </w:r>
    </w:p>
    <w:p w14:paraId="46BC2947" w14:textId="22E6CDA8" w:rsidR="009A29FE" w:rsidRDefault="009A29FE" w:rsidP="00650340">
      <w:pPr>
        <w:pStyle w:val="Akapitzlist"/>
        <w:numPr>
          <w:ilvl w:val="0"/>
          <w:numId w:val="30"/>
        </w:numPr>
        <w:spacing w:after="0" w:line="360" w:lineRule="auto"/>
        <w:ind w:left="357" w:hanging="357"/>
        <w:jc w:val="both"/>
        <w:rPr>
          <w:rFonts w:ascii="Tahoma" w:hAnsi="Tahoma" w:cs="Tahoma"/>
          <w:color w:val="000000" w:themeColor="text1"/>
        </w:rPr>
      </w:pPr>
      <w:r w:rsidRPr="009A29FE">
        <w:rPr>
          <w:rFonts w:ascii="Tahoma" w:hAnsi="Tahoma" w:cs="Tahoma"/>
          <w:color w:val="000000" w:themeColor="text1"/>
        </w:rPr>
        <w:t>Wymiana autobusów i poszerzanie oferty przewozowej z rozbudową infrastruktury przy</w:t>
      </w:r>
      <w:r>
        <w:rPr>
          <w:rFonts w:ascii="Tahoma" w:hAnsi="Tahoma" w:cs="Tahoma"/>
          <w:color w:val="000000" w:themeColor="text1"/>
        </w:rPr>
        <w:t>stankowej.</w:t>
      </w:r>
    </w:p>
    <w:p w14:paraId="6B9C7A50" w14:textId="1A531C40" w:rsidR="0066530E" w:rsidRDefault="0066530E" w:rsidP="0066530E">
      <w:pPr>
        <w:rPr>
          <w:rFonts w:cs="Tahoma"/>
          <w:color w:val="000000" w:themeColor="text1"/>
        </w:rPr>
      </w:pPr>
      <w:r>
        <w:rPr>
          <w:rFonts w:cs="Tahoma"/>
          <w:color w:val="000000" w:themeColor="text1"/>
        </w:rPr>
        <w:t>„Plan gospodarki niskoemisyjnej dla miasta Rzeszowa”</w:t>
      </w:r>
      <w:r>
        <w:rPr>
          <w:rStyle w:val="Odwoanieprzypisudolnego"/>
          <w:rFonts w:cs="Tahoma"/>
          <w:color w:val="000000" w:themeColor="text1"/>
        </w:rPr>
        <w:footnoteReference w:id="14"/>
      </w:r>
      <w:r>
        <w:rPr>
          <w:rFonts w:cs="Tahoma"/>
          <w:color w:val="000000" w:themeColor="text1"/>
        </w:rPr>
        <w:t xml:space="preserve"> określa cel strategiczny, cele szczegółowe, działania naprawcze oraz projekty do realizacji. </w:t>
      </w:r>
    </w:p>
    <w:p w14:paraId="117216E4" w14:textId="5843A827" w:rsidR="0066530E" w:rsidRDefault="0066530E" w:rsidP="009A29FE">
      <w:pPr>
        <w:rPr>
          <w:rFonts w:cs="Tahoma"/>
          <w:color w:val="000000" w:themeColor="text1"/>
        </w:rPr>
      </w:pPr>
      <w:r>
        <w:rPr>
          <w:rFonts w:cs="Tahoma"/>
          <w:color w:val="000000" w:themeColor="text1"/>
        </w:rPr>
        <w:t xml:space="preserve">Cel strategiczny zdefiniowano jako – </w:t>
      </w:r>
      <w:r w:rsidR="00187723">
        <w:rPr>
          <w:rFonts w:cs="Tahoma"/>
          <w:color w:val="000000" w:themeColor="text1"/>
        </w:rPr>
        <w:t>„</w:t>
      </w:r>
      <w:r w:rsidRPr="0066530E">
        <w:rPr>
          <w:rFonts w:cs="Tahoma"/>
          <w:color w:val="000000" w:themeColor="text1"/>
        </w:rPr>
        <w:t>Miasto Rzeszów liderem działań na rzecz poprawy jakości powietrza, w tym również racjonalnego zużycia energii, wykorzystania technologii niskoemisyjnych, odnawialnych źródłach energii</w:t>
      </w:r>
      <w:r w:rsidR="00187723">
        <w:rPr>
          <w:rFonts w:cs="Tahoma"/>
          <w:color w:val="000000" w:themeColor="text1"/>
        </w:rPr>
        <w:t>”</w:t>
      </w:r>
      <w:r w:rsidRPr="0066530E">
        <w:rPr>
          <w:rFonts w:cs="Tahoma"/>
          <w:color w:val="000000" w:themeColor="text1"/>
        </w:rPr>
        <w:t>.</w:t>
      </w:r>
    </w:p>
    <w:p w14:paraId="7DA1B2CC" w14:textId="34210001" w:rsidR="009A29FE" w:rsidRDefault="0066530E" w:rsidP="009A29FE">
      <w:pPr>
        <w:rPr>
          <w:rFonts w:cs="Tahoma"/>
          <w:color w:val="000000" w:themeColor="text1"/>
        </w:rPr>
      </w:pPr>
      <w:r>
        <w:rPr>
          <w:rFonts w:cs="Tahoma"/>
          <w:color w:val="000000" w:themeColor="text1"/>
        </w:rPr>
        <w:t>Celami szczegółowymi są natomiast poziomy redukcji emisji CO</w:t>
      </w:r>
      <w:r>
        <w:rPr>
          <w:rFonts w:cs="Tahoma"/>
          <w:color w:val="000000" w:themeColor="text1"/>
          <w:vertAlign w:val="subscript"/>
        </w:rPr>
        <w:t>2</w:t>
      </w:r>
      <w:r>
        <w:rPr>
          <w:rFonts w:cs="Tahoma"/>
          <w:color w:val="000000" w:themeColor="text1"/>
        </w:rPr>
        <w:t xml:space="preserve">, </w:t>
      </w:r>
      <w:r w:rsidR="001E4517">
        <w:rPr>
          <w:rFonts w:cs="Tahoma"/>
          <w:color w:val="000000" w:themeColor="text1"/>
        </w:rPr>
        <w:t xml:space="preserve">pyłów PM10 i PM2,5, </w:t>
      </w:r>
      <w:proofErr w:type="spellStart"/>
      <w:r w:rsidR="001E4517">
        <w:rPr>
          <w:rFonts w:cs="Tahoma"/>
          <w:color w:val="000000" w:themeColor="text1"/>
        </w:rPr>
        <w:t>benzo</w:t>
      </w:r>
      <w:proofErr w:type="spellEnd"/>
      <w:r w:rsidR="001E4517">
        <w:rPr>
          <w:rFonts w:cs="Tahoma"/>
          <w:color w:val="000000" w:themeColor="text1"/>
        </w:rPr>
        <w:t>(a)</w:t>
      </w:r>
      <w:proofErr w:type="spellStart"/>
      <w:r w:rsidR="001E4517">
        <w:rPr>
          <w:rFonts w:cs="Tahoma"/>
          <w:color w:val="000000" w:themeColor="text1"/>
        </w:rPr>
        <w:t>pirenu</w:t>
      </w:r>
      <w:proofErr w:type="spellEnd"/>
      <w:r w:rsidR="001E4517">
        <w:rPr>
          <w:rFonts w:cs="Tahoma"/>
          <w:color w:val="000000" w:themeColor="text1"/>
        </w:rPr>
        <w:t xml:space="preserve"> i zużycia energii finalnej</w:t>
      </w:r>
      <w:r>
        <w:rPr>
          <w:rFonts w:cs="Tahoma"/>
          <w:color w:val="000000" w:themeColor="text1"/>
        </w:rPr>
        <w:t xml:space="preserve"> </w:t>
      </w:r>
      <w:r w:rsidR="001E4517">
        <w:rPr>
          <w:rFonts w:cs="Tahoma"/>
          <w:color w:val="000000" w:themeColor="text1"/>
        </w:rPr>
        <w:t xml:space="preserve">oraz wzrost </w:t>
      </w:r>
      <w:r>
        <w:rPr>
          <w:rFonts w:cs="Tahoma"/>
          <w:color w:val="000000" w:themeColor="text1"/>
        </w:rPr>
        <w:t>udziału OZE, w odniesieniu do roku bazowego 2010.</w:t>
      </w:r>
    </w:p>
    <w:p w14:paraId="2ED84138" w14:textId="00BD9CF7" w:rsidR="0066530E" w:rsidRDefault="001E4517" w:rsidP="009A29FE">
      <w:pPr>
        <w:rPr>
          <w:rFonts w:cs="Tahoma"/>
          <w:color w:val="000000" w:themeColor="text1"/>
        </w:rPr>
      </w:pPr>
      <w:r>
        <w:rPr>
          <w:rFonts w:cs="Tahoma"/>
          <w:color w:val="000000" w:themeColor="text1"/>
        </w:rPr>
        <w:lastRenderedPageBreak/>
        <w:t xml:space="preserve">Wśród działań naprawczych wymieniono jako działanie 16. – „Promowanie </w:t>
      </w:r>
      <w:r w:rsidRPr="001E4517">
        <w:rPr>
          <w:rFonts w:cs="Tahoma"/>
          <w:color w:val="000000" w:themeColor="text1"/>
        </w:rPr>
        <w:t>strategii niskoemisyjnych, w tym wspieranie rozwoju miejskiego transportu multimodalnego. Wzrost konkurencyjności ofert transportu zbiorowego. Zastosowanie źródeł OZE dla wiat przystankowych</w:t>
      </w:r>
      <w:r>
        <w:rPr>
          <w:rFonts w:cs="Tahoma"/>
          <w:color w:val="000000" w:themeColor="text1"/>
        </w:rPr>
        <w:t>.” W ramach tego działania wymieniono projekty:</w:t>
      </w:r>
    </w:p>
    <w:p w14:paraId="59C0188C" w14:textId="489375F7" w:rsidR="001E4517" w:rsidRPr="00650340" w:rsidRDefault="00650340" w:rsidP="00650340">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nr </w:t>
      </w:r>
      <w:r w:rsidR="001E4517" w:rsidRPr="00650340">
        <w:rPr>
          <w:rFonts w:ascii="Tahoma" w:hAnsi="Tahoma" w:cs="Tahoma"/>
          <w:color w:val="000000" w:themeColor="text1"/>
        </w:rPr>
        <w:t xml:space="preserve">16.1 </w:t>
      </w:r>
      <w:r>
        <w:rPr>
          <w:rFonts w:ascii="Tahoma" w:hAnsi="Tahoma" w:cs="Tahoma"/>
          <w:color w:val="000000" w:themeColor="text1"/>
        </w:rPr>
        <w:t xml:space="preserve">– </w:t>
      </w:r>
      <w:r w:rsidR="001E4517" w:rsidRPr="00650340">
        <w:rPr>
          <w:rFonts w:ascii="Tahoma" w:hAnsi="Tahoma" w:cs="Tahoma"/>
          <w:color w:val="000000" w:themeColor="text1"/>
        </w:rPr>
        <w:t>Rozwój systemu transportu publicznego w Rzeszowie;</w:t>
      </w:r>
    </w:p>
    <w:p w14:paraId="3BA7197B" w14:textId="762C5F00" w:rsidR="001E4517" w:rsidRPr="00650340" w:rsidRDefault="00650340" w:rsidP="00650340">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nr </w:t>
      </w:r>
      <w:r w:rsidR="001E4517" w:rsidRPr="00650340">
        <w:rPr>
          <w:rFonts w:ascii="Tahoma" w:hAnsi="Tahoma" w:cs="Tahoma"/>
          <w:color w:val="000000" w:themeColor="text1"/>
        </w:rPr>
        <w:t xml:space="preserve">16.2 </w:t>
      </w:r>
      <w:r>
        <w:rPr>
          <w:rFonts w:ascii="Tahoma" w:hAnsi="Tahoma" w:cs="Tahoma"/>
          <w:color w:val="000000" w:themeColor="text1"/>
        </w:rPr>
        <w:t xml:space="preserve">– </w:t>
      </w:r>
      <w:r w:rsidR="001E4517" w:rsidRPr="00650340">
        <w:rPr>
          <w:rFonts w:ascii="Tahoma" w:hAnsi="Tahoma" w:cs="Tahoma"/>
          <w:color w:val="000000" w:themeColor="text1"/>
        </w:rPr>
        <w:t>Integracja różnych form publicznego transportu zbiorowego w Rzeszowie</w:t>
      </w:r>
      <w:r w:rsidR="009650C2" w:rsidRPr="00650340">
        <w:rPr>
          <w:rFonts w:ascii="Tahoma" w:hAnsi="Tahoma" w:cs="Tahoma"/>
          <w:color w:val="000000" w:themeColor="text1"/>
        </w:rPr>
        <w:t>;</w:t>
      </w:r>
    </w:p>
    <w:p w14:paraId="1E34A874" w14:textId="3275E469" w:rsidR="001E4517" w:rsidRPr="00650340" w:rsidRDefault="00650340" w:rsidP="00650340">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nr </w:t>
      </w:r>
      <w:r w:rsidR="001E4517" w:rsidRPr="00650340">
        <w:rPr>
          <w:rFonts w:ascii="Tahoma" w:hAnsi="Tahoma" w:cs="Tahoma"/>
          <w:color w:val="000000" w:themeColor="text1"/>
        </w:rPr>
        <w:t xml:space="preserve">16.3 </w:t>
      </w:r>
      <w:r>
        <w:rPr>
          <w:rFonts w:ascii="Tahoma" w:hAnsi="Tahoma" w:cs="Tahoma"/>
          <w:color w:val="000000" w:themeColor="text1"/>
        </w:rPr>
        <w:t xml:space="preserve">– </w:t>
      </w:r>
      <w:r w:rsidR="001E4517" w:rsidRPr="00650340">
        <w:rPr>
          <w:rFonts w:ascii="Tahoma" w:hAnsi="Tahoma" w:cs="Tahoma"/>
          <w:color w:val="000000" w:themeColor="text1"/>
        </w:rPr>
        <w:t>Rozbudowa systemu transportu publicznego w Rzeszowie.</w:t>
      </w:r>
    </w:p>
    <w:p w14:paraId="397A9B9C" w14:textId="25C1E041" w:rsidR="001E4517" w:rsidRPr="00650340" w:rsidRDefault="00650340" w:rsidP="00650340">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nr </w:t>
      </w:r>
      <w:r w:rsidR="001E4517" w:rsidRPr="00650340">
        <w:rPr>
          <w:rFonts w:ascii="Tahoma" w:hAnsi="Tahoma" w:cs="Tahoma"/>
          <w:color w:val="000000" w:themeColor="text1"/>
        </w:rPr>
        <w:t xml:space="preserve">16.4 </w:t>
      </w:r>
      <w:r>
        <w:rPr>
          <w:rFonts w:ascii="Tahoma" w:hAnsi="Tahoma" w:cs="Tahoma"/>
          <w:color w:val="000000" w:themeColor="text1"/>
        </w:rPr>
        <w:t xml:space="preserve">– </w:t>
      </w:r>
      <w:r w:rsidR="001E4517" w:rsidRPr="00650340">
        <w:rPr>
          <w:rFonts w:ascii="Tahoma" w:hAnsi="Tahoma" w:cs="Tahoma"/>
          <w:color w:val="000000" w:themeColor="text1"/>
        </w:rPr>
        <w:t xml:space="preserve">Alternatywny, ekologiczny transport publiczny – </w:t>
      </w:r>
      <w:proofErr w:type="spellStart"/>
      <w:r w:rsidR="001E4517" w:rsidRPr="00650340">
        <w:rPr>
          <w:rFonts w:ascii="Tahoma" w:hAnsi="Tahoma" w:cs="Tahoma"/>
          <w:color w:val="000000" w:themeColor="text1"/>
        </w:rPr>
        <w:t>monorail</w:t>
      </w:r>
      <w:proofErr w:type="spellEnd"/>
      <w:r w:rsidR="001E4517" w:rsidRPr="00650340">
        <w:rPr>
          <w:rFonts w:ascii="Tahoma" w:hAnsi="Tahoma" w:cs="Tahoma"/>
          <w:color w:val="000000" w:themeColor="text1"/>
        </w:rPr>
        <w:t xml:space="preserve"> (Rzeszowska kolejka miejska).</w:t>
      </w:r>
    </w:p>
    <w:p w14:paraId="5DAAA5C7" w14:textId="1D6EB42F" w:rsidR="001E4517" w:rsidRDefault="001E4517" w:rsidP="009A29FE">
      <w:pPr>
        <w:rPr>
          <w:rFonts w:cs="Tahoma"/>
          <w:color w:val="000000" w:themeColor="text1"/>
        </w:rPr>
      </w:pPr>
      <w:r>
        <w:rPr>
          <w:rFonts w:cs="Tahoma"/>
          <w:color w:val="000000" w:themeColor="text1"/>
        </w:rPr>
        <w:t xml:space="preserve">Z kolei jako działanie </w:t>
      </w:r>
      <w:r w:rsidR="002A001B">
        <w:rPr>
          <w:rFonts w:cs="Tahoma"/>
          <w:color w:val="000000" w:themeColor="text1"/>
        </w:rPr>
        <w:t xml:space="preserve">nr </w:t>
      </w:r>
      <w:r>
        <w:rPr>
          <w:rFonts w:cs="Tahoma"/>
          <w:color w:val="000000" w:themeColor="text1"/>
        </w:rPr>
        <w:t>18 wskazano – „Modernizacja taboru MPK-</w:t>
      </w:r>
      <w:r w:rsidRPr="001E4517">
        <w:rPr>
          <w:rFonts w:cs="Tahoma"/>
          <w:color w:val="000000" w:themeColor="text1"/>
        </w:rPr>
        <w:t>Rzeszów oraz wymiana floty samochodowej Urzędu Miasta i jednostek podległych, a także spółek miejskich, w</w:t>
      </w:r>
      <w:r w:rsidR="002A001B">
        <w:rPr>
          <w:rFonts w:cs="Tahoma"/>
          <w:color w:val="000000" w:themeColor="text1"/>
        </w:rPr>
        <w:t> </w:t>
      </w:r>
      <w:r w:rsidRPr="001E4517">
        <w:rPr>
          <w:rFonts w:cs="Tahoma"/>
          <w:color w:val="000000" w:themeColor="text1"/>
        </w:rPr>
        <w:t>tym promocja alternatywnych środków transportu</w:t>
      </w:r>
      <w:r>
        <w:rPr>
          <w:rFonts w:cs="Tahoma"/>
          <w:color w:val="000000" w:themeColor="text1"/>
        </w:rPr>
        <w:t>”, a w nim m.in. projekt o takiej samej nazwie.</w:t>
      </w:r>
    </w:p>
    <w:p w14:paraId="7C9534E8" w14:textId="77777777" w:rsidR="008E6AA8" w:rsidRDefault="00416F22" w:rsidP="008E6AA8">
      <w:r>
        <w:t xml:space="preserve"> </w:t>
      </w:r>
      <w:r w:rsidR="00736B69">
        <w:t xml:space="preserve">„Plan zrównoważonego rozwoju publicznego transportu zbiorowego </w:t>
      </w:r>
      <w:r w:rsidR="008E6AA8">
        <w:t>na lata 2021-2030 z elementami strategii rozwoju elektromobilności dla miasta Rzeszowa i gmin ościennych, które zawarły z Gminą Miasto Rzeszów porozumienia w zakresie organizacji transportu publicznego</w:t>
      </w:r>
      <w:r w:rsidR="00D900D9">
        <w:t>”</w:t>
      </w:r>
      <w:r w:rsidR="00736B69">
        <w:rPr>
          <w:rStyle w:val="Odwoanieprzypisudolnego"/>
        </w:rPr>
        <w:footnoteReference w:id="15"/>
      </w:r>
      <w:r w:rsidR="008E6AA8">
        <w:t xml:space="preserve"> wyznacza wizję rozwoju elektromobilności w Rzeszowie oraz trzy cele strategiczne:</w:t>
      </w:r>
    </w:p>
    <w:p w14:paraId="3F1E9A17" w14:textId="5A3A34FB" w:rsidR="008E6AA8" w:rsidRDefault="00D86625" w:rsidP="00D86625">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nr </w:t>
      </w:r>
      <w:r w:rsidR="008E6AA8" w:rsidRPr="00011372">
        <w:rPr>
          <w:rFonts w:ascii="Tahoma" w:hAnsi="Tahoma" w:cs="Tahoma"/>
          <w:color w:val="000000" w:themeColor="text1"/>
        </w:rPr>
        <w:t>1</w:t>
      </w:r>
      <w:r>
        <w:rPr>
          <w:rFonts w:ascii="Tahoma" w:hAnsi="Tahoma" w:cs="Tahoma"/>
          <w:color w:val="000000" w:themeColor="text1"/>
        </w:rPr>
        <w:t xml:space="preserve"> –</w:t>
      </w:r>
      <w:r w:rsidR="008E6AA8" w:rsidRPr="00011372">
        <w:rPr>
          <w:rFonts w:ascii="Tahoma" w:hAnsi="Tahoma" w:cs="Tahoma"/>
          <w:color w:val="000000" w:themeColor="text1"/>
        </w:rPr>
        <w:t xml:space="preserve"> Rozwój nisko- i bezemisyjnego transportu publicznego</w:t>
      </w:r>
      <w:r>
        <w:rPr>
          <w:rFonts w:ascii="Tahoma" w:hAnsi="Tahoma" w:cs="Tahoma"/>
          <w:color w:val="000000" w:themeColor="text1"/>
        </w:rPr>
        <w:t>;</w:t>
      </w:r>
    </w:p>
    <w:p w14:paraId="1B9AB9A3" w14:textId="3F966DF1" w:rsidR="00011372" w:rsidRDefault="00D86625" w:rsidP="00D86625">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nr 2 – W</w:t>
      </w:r>
      <w:r w:rsidR="00011372">
        <w:rPr>
          <w:rFonts w:ascii="Tahoma" w:hAnsi="Tahoma" w:cs="Tahoma"/>
          <w:color w:val="000000" w:themeColor="text1"/>
        </w:rPr>
        <w:t>sparcie rozwoju elektromobilności mieszkańców i przedsiębiorców</w:t>
      </w:r>
      <w:r>
        <w:rPr>
          <w:rFonts w:ascii="Tahoma" w:hAnsi="Tahoma" w:cs="Tahoma"/>
          <w:color w:val="000000" w:themeColor="text1"/>
        </w:rPr>
        <w:t>;</w:t>
      </w:r>
    </w:p>
    <w:p w14:paraId="22543C46" w14:textId="05301630" w:rsidR="00011372" w:rsidRPr="00011372" w:rsidRDefault="00D86625" w:rsidP="00D86625">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nr </w:t>
      </w:r>
      <w:r w:rsidR="00011372">
        <w:rPr>
          <w:rFonts w:ascii="Tahoma" w:hAnsi="Tahoma" w:cs="Tahoma"/>
          <w:color w:val="000000" w:themeColor="text1"/>
        </w:rPr>
        <w:t>3</w:t>
      </w:r>
      <w:r>
        <w:rPr>
          <w:rFonts w:ascii="Tahoma" w:hAnsi="Tahoma" w:cs="Tahoma"/>
          <w:color w:val="000000" w:themeColor="text1"/>
        </w:rPr>
        <w:t xml:space="preserve"> –</w:t>
      </w:r>
      <w:r w:rsidR="00011372">
        <w:rPr>
          <w:rFonts w:ascii="Tahoma" w:hAnsi="Tahoma" w:cs="Tahoma"/>
          <w:color w:val="000000" w:themeColor="text1"/>
        </w:rPr>
        <w:t xml:space="preserve"> Wzrost świadomości ekologicznej mieszkańców Rzeszowa.</w:t>
      </w:r>
    </w:p>
    <w:p w14:paraId="340CEA4D" w14:textId="6F678251" w:rsidR="00011372" w:rsidRDefault="00011372" w:rsidP="008E6AA8">
      <w:r>
        <w:t xml:space="preserve">Dla każdego z celów strategicznych zdefiniowano cele operacyjne oraz zadania do wykonania. Dla celu strategicznego </w:t>
      </w:r>
      <w:r w:rsidR="00D86625">
        <w:t xml:space="preserve">nr </w:t>
      </w:r>
      <w:r>
        <w:t xml:space="preserve">1 </w:t>
      </w:r>
      <w:r w:rsidR="00E75C75">
        <w:t>w dokumencie w</w:t>
      </w:r>
      <w:r>
        <w:t>skazano cele operacyjne:</w:t>
      </w:r>
    </w:p>
    <w:p w14:paraId="4E429996" w14:textId="77E4A855" w:rsidR="00011372" w:rsidRPr="00D86625" w:rsidRDefault="00D86625" w:rsidP="00D86625">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A – </w:t>
      </w:r>
      <w:r w:rsidR="00011372" w:rsidRPr="00D86625">
        <w:rPr>
          <w:rFonts w:ascii="Tahoma" w:hAnsi="Tahoma" w:cs="Tahoma"/>
          <w:color w:val="000000" w:themeColor="text1"/>
        </w:rPr>
        <w:t>Wyeliminowanie niespełniającego oczekiwań pasażerów taboru komunikacji miejskiej</w:t>
      </w:r>
      <w:r w:rsidR="00D4666B" w:rsidRPr="00D86625">
        <w:rPr>
          <w:rFonts w:ascii="Tahoma" w:hAnsi="Tahoma" w:cs="Tahoma"/>
          <w:color w:val="000000" w:themeColor="text1"/>
        </w:rPr>
        <w:t>, a w </w:t>
      </w:r>
      <w:r w:rsidR="00E75C75" w:rsidRPr="00D86625">
        <w:rPr>
          <w:rFonts w:ascii="Tahoma" w:hAnsi="Tahoma" w:cs="Tahoma"/>
          <w:color w:val="000000" w:themeColor="text1"/>
        </w:rPr>
        <w:t>nim zadania:</w:t>
      </w:r>
    </w:p>
    <w:p w14:paraId="75F6FB75" w14:textId="646D6071" w:rsidR="00E75C75" w:rsidRPr="00D86625" w:rsidRDefault="00E75C75" w:rsidP="00D86625">
      <w:pPr>
        <w:pStyle w:val="Akapitzlist"/>
        <w:numPr>
          <w:ilvl w:val="0"/>
          <w:numId w:val="40"/>
        </w:numPr>
        <w:spacing w:after="0" w:line="360" w:lineRule="auto"/>
        <w:jc w:val="both"/>
        <w:rPr>
          <w:rFonts w:ascii="Tahoma" w:hAnsi="Tahoma" w:cs="Tahoma"/>
          <w:color w:val="000000" w:themeColor="text1"/>
        </w:rPr>
      </w:pPr>
      <w:r w:rsidRPr="00D86625">
        <w:rPr>
          <w:rFonts w:ascii="Tahoma" w:hAnsi="Tahoma" w:cs="Tahoma"/>
          <w:color w:val="000000" w:themeColor="text1"/>
        </w:rPr>
        <w:t>1.A.1. Kontynuowanie wymiany taboru w ramach projektów „Integracja różnych form publicznego transportu zbiorowego w Rzeszowie” oraz „Rozbudowa systemu transportu publicznego w Rzeszowie”</w:t>
      </w:r>
      <w:r w:rsidR="00C865AD" w:rsidRPr="00D86625">
        <w:rPr>
          <w:rFonts w:ascii="Tahoma" w:hAnsi="Tahoma" w:cs="Tahoma"/>
          <w:color w:val="000000" w:themeColor="text1"/>
        </w:rPr>
        <w:t xml:space="preserve"> (zadanie priorytetowe)</w:t>
      </w:r>
      <w:r w:rsidR="00D86625">
        <w:rPr>
          <w:rFonts w:ascii="Tahoma" w:hAnsi="Tahoma" w:cs="Tahoma"/>
          <w:color w:val="000000" w:themeColor="text1"/>
        </w:rPr>
        <w:t>;</w:t>
      </w:r>
    </w:p>
    <w:p w14:paraId="3D5C871B" w14:textId="1D4563EA" w:rsidR="00E75C75" w:rsidRPr="00D86625" w:rsidRDefault="00E75C75" w:rsidP="00D86625">
      <w:pPr>
        <w:pStyle w:val="Akapitzlist"/>
        <w:numPr>
          <w:ilvl w:val="0"/>
          <w:numId w:val="40"/>
        </w:numPr>
        <w:spacing w:after="0" w:line="360" w:lineRule="auto"/>
        <w:jc w:val="both"/>
        <w:rPr>
          <w:rFonts w:ascii="Tahoma" w:hAnsi="Tahoma" w:cs="Tahoma"/>
          <w:color w:val="000000" w:themeColor="text1"/>
        </w:rPr>
      </w:pPr>
      <w:r w:rsidRPr="00D86625">
        <w:rPr>
          <w:rFonts w:ascii="Tahoma" w:hAnsi="Tahoma" w:cs="Tahoma"/>
          <w:color w:val="000000" w:themeColor="text1"/>
        </w:rPr>
        <w:t>1.A.2. Opracowanie koncepcji budowy jednoszynowej kolei nadziemnej oraz wymiany taboru komunikacji miejskiej na zeroemisyjny wraz z budową infrastruktury zasilającej autobusy zeroemisyjne na wybranych pętlach w ramach kolejnych projektów wymiany taboru</w:t>
      </w:r>
      <w:r w:rsidR="00D86625">
        <w:rPr>
          <w:rFonts w:ascii="Tahoma" w:hAnsi="Tahoma" w:cs="Tahoma"/>
          <w:color w:val="000000" w:themeColor="text1"/>
        </w:rPr>
        <w:t>;</w:t>
      </w:r>
    </w:p>
    <w:p w14:paraId="48A63992" w14:textId="24AA9B27" w:rsidR="00E75C75" w:rsidRPr="00D86625" w:rsidRDefault="00E75C75" w:rsidP="00D86625">
      <w:pPr>
        <w:pStyle w:val="Akapitzlist"/>
        <w:numPr>
          <w:ilvl w:val="0"/>
          <w:numId w:val="40"/>
        </w:numPr>
        <w:spacing w:after="0" w:line="360" w:lineRule="auto"/>
        <w:jc w:val="both"/>
        <w:rPr>
          <w:rFonts w:ascii="Tahoma" w:hAnsi="Tahoma" w:cs="Tahoma"/>
          <w:color w:val="000000" w:themeColor="text1"/>
        </w:rPr>
      </w:pPr>
      <w:r w:rsidRPr="00D86625">
        <w:rPr>
          <w:rFonts w:ascii="Tahoma" w:hAnsi="Tahoma" w:cs="Tahoma"/>
          <w:color w:val="000000" w:themeColor="text1"/>
        </w:rPr>
        <w:t>1.A.3. Systematyczna wymiana taboru komunikacji miejskiej starszego niż 15-letni na</w:t>
      </w:r>
      <w:r w:rsidR="00D86625">
        <w:rPr>
          <w:rFonts w:ascii="Tahoma" w:hAnsi="Tahoma" w:cs="Tahoma"/>
          <w:color w:val="000000" w:themeColor="text1"/>
        </w:rPr>
        <w:t> </w:t>
      </w:r>
      <w:r w:rsidRPr="00D86625">
        <w:rPr>
          <w:rFonts w:ascii="Tahoma" w:hAnsi="Tahoma" w:cs="Tahoma"/>
          <w:color w:val="000000" w:themeColor="text1"/>
        </w:rPr>
        <w:t>nisko- lub zeroemisyjny oraz utrzymanie średniego wieku taboru poniżej 9 lat</w:t>
      </w:r>
      <w:r w:rsidR="00D86625">
        <w:rPr>
          <w:rFonts w:ascii="Tahoma" w:hAnsi="Tahoma" w:cs="Tahoma"/>
          <w:color w:val="000000" w:themeColor="text1"/>
        </w:rPr>
        <w:t>;</w:t>
      </w:r>
    </w:p>
    <w:p w14:paraId="20E8E725" w14:textId="17C69C82" w:rsidR="00E75C75" w:rsidRPr="00D86625" w:rsidRDefault="00E75C75" w:rsidP="00D86625">
      <w:pPr>
        <w:pStyle w:val="Akapitzlist"/>
        <w:numPr>
          <w:ilvl w:val="0"/>
          <w:numId w:val="40"/>
        </w:numPr>
        <w:spacing w:after="0" w:line="360" w:lineRule="auto"/>
        <w:jc w:val="both"/>
        <w:rPr>
          <w:rFonts w:ascii="Tahoma" w:hAnsi="Tahoma" w:cs="Tahoma"/>
          <w:color w:val="000000" w:themeColor="text1"/>
        </w:rPr>
      </w:pPr>
      <w:r w:rsidRPr="00D86625">
        <w:rPr>
          <w:rFonts w:ascii="Tahoma" w:hAnsi="Tahoma" w:cs="Tahoma"/>
          <w:color w:val="000000" w:themeColor="text1"/>
        </w:rPr>
        <w:lastRenderedPageBreak/>
        <w:t>1.A.4. Wdrożenie do eksploatacji autobusów autonomicznych kursujących na wybranych trasach</w:t>
      </w:r>
      <w:r w:rsidR="00D86625">
        <w:rPr>
          <w:rFonts w:ascii="Tahoma" w:hAnsi="Tahoma" w:cs="Tahoma"/>
          <w:color w:val="000000" w:themeColor="text1"/>
        </w:rPr>
        <w:t>;</w:t>
      </w:r>
    </w:p>
    <w:p w14:paraId="405FB0BD" w14:textId="7C2EB6E6" w:rsidR="00E75C75" w:rsidRPr="00D86625" w:rsidRDefault="00E75C75" w:rsidP="00D86625">
      <w:pPr>
        <w:pStyle w:val="Akapitzlist"/>
        <w:numPr>
          <w:ilvl w:val="0"/>
          <w:numId w:val="40"/>
        </w:numPr>
        <w:spacing w:after="0" w:line="360" w:lineRule="auto"/>
        <w:jc w:val="both"/>
        <w:rPr>
          <w:rFonts w:ascii="Tahoma" w:hAnsi="Tahoma" w:cs="Tahoma"/>
          <w:color w:val="000000" w:themeColor="text1"/>
        </w:rPr>
      </w:pPr>
      <w:r w:rsidRPr="00D86625">
        <w:rPr>
          <w:rFonts w:ascii="Tahoma" w:hAnsi="Tahoma" w:cs="Tahoma"/>
          <w:color w:val="000000" w:themeColor="text1"/>
        </w:rPr>
        <w:t>1.A.5. Wdrożenie do eksploatacji autobusów zeroemisyjnych z ogniwami wodorowymi;</w:t>
      </w:r>
    </w:p>
    <w:p w14:paraId="31170993" w14:textId="7B1673E1" w:rsidR="00011372" w:rsidRPr="00D86625" w:rsidRDefault="00D86625" w:rsidP="00D86625">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B – </w:t>
      </w:r>
      <w:r w:rsidR="00011372" w:rsidRPr="00D86625">
        <w:rPr>
          <w:rFonts w:ascii="Tahoma" w:hAnsi="Tahoma" w:cs="Tahoma"/>
          <w:color w:val="000000" w:themeColor="text1"/>
        </w:rPr>
        <w:t>Utrzymanie poziomu obsługi komunikacji miejskiej obszaru miasta i gmin ościennych</w:t>
      </w:r>
      <w:r w:rsidR="009650C2" w:rsidRPr="00D86625">
        <w:rPr>
          <w:rFonts w:ascii="Tahoma" w:hAnsi="Tahoma" w:cs="Tahoma"/>
          <w:color w:val="000000" w:themeColor="text1"/>
        </w:rPr>
        <w:t>, a w </w:t>
      </w:r>
      <w:r w:rsidR="00E75C75" w:rsidRPr="00D86625">
        <w:rPr>
          <w:rFonts w:ascii="Tahoma" w:hAnsi="Tahoma" w:cs="Tahoma"/>
          <w:color w:val="000000" w:themeColor="text1"/>
        </w:rPr>
        <w:t xml:space="preserve">nim m.in. zadania dotyczące utrzymania dotychczasowego zakresu obsługi </w:t>
      </w:r>
      <w:r w:rsidR="009650C2" w:rsidRPr="00D86625">
        <w:rPr>
          <w:rFonts w:ascii="Tahoma" w:hAnsi="Tahoma" w:cs="Tahoma"/>
          <w:color w:val="000000" w:themeColor="text1"/>
        </w:rPr>
        <w:t>miasta i </w:t>
      </w:r>
      <w:r w:rsidR="00E75C75" w:rsidRPr="00D86625">
        <w:rPr>
          <w:rFonts w:ascii="Tahoma" w:hAnsi="Tahoma" w:cs="Tahoma"/>
          <w:color w:val="000000" w:themeColor="text1"/>
        </w:rPr>
        <w:t>gmin</w:t>
      </w:r>
      <w:r w:rsidR="00C865AD" w:rsidRPr="00D86625">
        <w:rPr>
          <w:rFonts w:ascii="Tahoma" w:hAnsi="Tahoma" w:cs="Tahoma"/>
          <w:color w:val="000000" w:themeColor="text1"/>
        </w:rPr>
        <w:t xml:space="preserve"> (zadanie priorytetowe)</w:t>
      </w:r>
      <w:r w:rsidR="00E75C75" w:rsidRPr="00D86625">
        <w:rPr>
          <w:rFonts w:ascii="Tahoma" w:hAnsi="Tahoma" w:cs="Tahoma"/>
          <w:color w:val="000000" w:themeColor="text1"/>
        </w:rPr>
        <w:t>, przeprowadzania badań marketingowych, dostosowywania oferty do potrzeb i preferencji mieszkańców</w:t>
      </w:r>
      <w:r w:rsidR="00011372" w:rsidRPr="00D86625">
        <w:rPr>
          <w:rFonts w:ascii="Tahoma" w:hAnsi="Tahoma" w:cs="Tahoma"/>
          <w:color w:val="000000" w:themeColor="text1"/>
        </w:rPr>
        <w:t>;</w:t>
      </w:r>
    </w:p>
    <w:p w14:paraId="7DC17BFD" w14:textId="24023440" w:rsidR="00011372" w:rsidRPr="00D86625" w:rsidRDefault="00D86625" w:rsidP="00D86625">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C – </w:t>
      </w:r>
      <w:r w:rsidR="00011372" w:rsidRPr="00D86625">
        <w:rPr>
          <w:rFonts w:ascii="Tahoma" w:hAnsi="Tahoma" w:cs="Tahoma"/>
          <w:color w:val="000000" w:themeColor="text1"/>
        </w:rPr>
        <w:t>Utrzymanie wysokiego poziomu jakości przewozów w komunikacji miejskiej</w:t>
      </w:r>
      <w:r w:rsidR="00E75C75" w:rsidRPr="00D86625">
        <w:rPr>
          <w:rFonts w:ascii="Tahoma" w:hAnsi="Tahoma" w:cs="Tahoma"/>
          <w:color w:val="000000" w:themeColor="text1"/>
        </w:rPr>
        <w:t>, a w nim m.in. zadania dotyczące dalszego doposażania przystanków, rozbudowy systemu informacji pasażerskiej, rozwoju funkcjonalności Rzeszowskiej Karty Miejskiej</w:t>
      </w:r>
      <w:r w:rsidR="00011372" w:rsidRPr="00D86625">
        <w:rPr>
          <w:rFonts w:ascii="Tahoma" w:hAnsi="Tahoma" w:cs="Tahoma"/>
          <w:color w:val="000000" w:themeColor="text1"/>
        </w:rPr>
        <w:t>;</w:t>
      </w:r>
    </w:p>
    <w:p w14:paraId="1DABC140" w14:textId="2E608988" w:rsidR="00011372" w:rsidRPr="00D86625" w:rsidRDefault="00D86625" w:rsidP="00D86625">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D – </w:t>
      </w:r>
      <w:r w:rsidR="00011372" w:rsidRPr="00D86625">
        <w:rPr>
          <w:rFonts w:ascii="Tahoma" w:hAnsi="Tahoma" w:cs="Tahoma"/>
          <w:color w:val="000000" w:themeColor="text1"/>
        </w:rPr>
        <w:t>Zwiększenie dostępności komunikacji miejskiej</w:t>
      </w:r>
      <w:r w:rsidR="00E75C75" w:rsidRPr="00D86625">
        <w:rPr>
          <w:rFonts w:ascii="Tahoma" w:hAnsi="Tahoma" w:cs="Tahoma"/>
          <w:color w:val="000000" w:themeColor="text1"/>
        </w:rPr>
        <w:t xml:space="preserve"> a w nim zadania dotyczące budowy parkingów, w tym Park&amp;Ride i Bike&amp;Ride, rozszerzenie zakresu uprzywilejowań i innych ułatwień dla pojazdów komunikacji miejskiej</w:t>
      </w:r>
      <w:r w:rsidR="00011372" w:rsidRPr="00D86625">
        <w:rPr>
          <w:rFonts w:ascii="Tahoma" w:hAnsi="Tahoma" w:cs="Tahoma"/>
          <w:color w:val="000000" w:themeColor="text1"/>
        </w:rPr>
        <w:t>;</w:t>
      </w:r>
    </w:p>
    <w:p w14:paraId="0361D418" w14:textId="2C0C51E7" w:rsidR="00011372" w:rsidRPr="00D86625" w:rsidRDefault="00D86625" w:rsidP="00D86625">
      <w:pPr>
        <w:pStyle w:val="Akapitzlist"/>
        <w:numPr>
          <w:ilvl w:val="0"/>
          <w:numId w:val="30"/>
        </w:numPr>
        <w:spacing w:after="0" w:line="360" w:lineRule="auto"/>
        <w:ind w:left="357" w:hanging="357"/>
        <w:jc w:val="both"/>
        <w:rPr>
          <w:rFonts w:ascii="Tahoma" w:hAnsi="Tahoma" w:cs="Tahoma"/>
          <w:color w:val="000000" w:themeColor="text1"/>
        </w:rPr>
      </w:pPr>
      <w:r>
        <w:rPr>
          <w:rFonts w:ascii="Tahoma" w:hAnsi="Tahoma" w:cs="Tahoma"/>
          <w:color w:val="000000" w:themeColor="text1"/>
        </w:rPr>
        <w:t xml:space="preserve">E – </w:t>
      </w:r>
      <w:r w:rsidR="00011372" w:rsidRPr="00D86625">
        <w:rPr>
          <w:rFonts w:ascii="Tahoma" w:hAnsi="Tahoma" w:cs="Tahoma"/>
          <w:color w:val="000000" w:themeColor="text1"/>
        </w:rPr>
        <w:t>Integracja różnych form transportu pasażerskiego w Rzeszowie</w:t>
      </w:r>
      <w:r w:rsidR="00E75C75" w:rsidRPr="00D86625">
        <w:rPr>
          <w:rFonts w:ascii="Tahoma" w:hAnsi="Tahoma" w:cs="Tahoma"/>
          <w:color w:val="000000" w:themeColor="text1"/>
        </w:rPr>
        <w:t xml:space="preserve">, a wśród zadań m.in. budowa i uruchomienie </w:t>
      </w:r>
      <w:r w:rsidR="005C362E" w:rsidRPr="00D86625">
        <w:rPr>
          <w:rFonts w:ascii="Tahoma" w:hAnsi="Tahoma" w:cs="Tahoma"/>
          <w:color w:val="000000" w:themeColor="text1"/>
        </w:rPr>
        <w:t>Rzeszowskiego Centrum Komunikacyjnego</w:t>
      </w:r>
      <w:r w:rsidR="009650C2" w:rsidRPr="00D86625">
        <w:rPr>
          <w:rFonts w:ascii="Tahoma" w:hAnsi="Tahoma" w:cs="Tahoma"/>
          <w:color w:val="000000" w:themeColor="text1"/>
        </w:rPr>
        <w:t xml:space="preserve"> oraz wspólna oferta przewozowa</w:t>
      </w:r>
      <w:r w:rsidR="005C362E" w:rsidRPr="00D86625">
        <w:rPr>
          <w:rFonts w:ascii="Tahoma" w:hAnsi="Tahoma" w:cs="Tahoma"/>
          <w:color w:val="000000" w:themeColor="text1"/>
        </w:rPr>
        <w:t xml:space="preserve"> komunikacji miejskiej i przewozów regionalnych kolejowych i autobusowych.</w:t>
      </w:r>
    </w:p>
    <w:p w14:paraId="04F925B1" w14:textId="77777777" w:rsidR="00251059" w:rsidRDefault="00251059" w:rsidP="00251059">
      <w:r>
        <w:t>Plan przewiduje, że nowe autobusy będą fabrycznie nowe,</w:t>
      </w:r>
      <w:r w:rsidRPr="00251059">
        <w:t xml:space="preserve"> </w:t>
      </w:r>
      <w:r>
        <w:t>niskopodłogowe, klimatyzowane</w:t>
      </w:r>
      <w:r w:rsidRPr="00251059">
        <w:t>, dostosowan</w:t>
      </w:r>
      <w:r>
        <w:t>e</w:t>
      </w:r>
      <w:r w:rsidRPr="00251059">
        <w:t xml:space="preserve"> do potrzeb osób niepełnosprawnych i w pełni wyposażon</w:t>
      </w:r>
      <w:r>
        <w:t>e</w:t>
      </w:r>
      <w:r w:rsidRPr="00251059">
        <w:t xml:space="preserve"> w nowocześniejszą wersję informacji </w:t>
      </w:r>
      <w:r>
        <w:t xml:space="preserve">pasażerskiej. </w:t>
      </w:r>
    </w:p>
    <w:p w14:paraId="4090E936" w14:textId="77777777" w:rsidR="00251059" w:rsidRDefault="00251059" w:rsidP="00251059">
      <w:r>
        <w:t xml:space="preserve">W dokumencie wskazano, że Miasto </w:t>
      </w:r>
      <w:r w:rsidRPr="00251059">
        <w:t>przeanalizuje zasadność wprowadzenia do eksploatacji kolejnych autobusów zeroemisyjnych, przygotowując kompleksową koncepcję wymiany taboru komunikacji miejskiej w okresie do 2030 r.</w:t>
      </w:r>
      <w:r>
        <w:t xml:space="preserve"> </w:t>
      </w:r>
      <w:r w:rsidRPr="00251059">
        <w:t xml:space="preserve">Przygotowane zostanie stanowisko zasilania autobusów zeroemisyjnych z ogniwami paliwowymi. </w:t>
      </w:r>
    </w:p>
    <w:p w14:paraId="030D3781" w14:textId="2A7A47B5" w:rsidR="00011372" w:rsidRDefault="000100ED" w:rsidP="00251059">
      <w:r>
        <w:t>Plan przewiduje, że autobusy zeroemisyjne nabywane będą w systemie doładowywania na pę</w:t>
      </w:r>
      <w:r w:rsidR="00D4666B">
        <w:t xml:space="preserve">tlach z odwróconym pantografem </w:t>
      </w:r>
      <w:r>
        <w:t xml:space="preserve">oraz uzupełniającego plug-in na terenie zajezdni. </w:t>
      </w:r>
      <w:r w:rsidR="00251059" w:rsidRPr="00251059">
        <w:t xml:space="preserve">W przypadku zakupu taboru zeroemisyjnego istniejący już system pantografowych stacji szybkiego ładowania na pętli na placu Dworcowym oraz wolnego ładowania w zajezdni zostanie </w:t>
      </w:r>
      <w:r>
        <w:t xml:space="preserve">więc </w:t>
      </w:r>
      <w:r w:rsidR="00251059" w:rsidRPr="00251059">
        <w:t>odpowiednio uzupełniony, umożliwiając codzienne doładowywanie pojazdów zeroemisyjnych komunikacji miejskiej i ewentualnie innych pojazdów służb miejskich.</w:t>
      </w:r>
    </w:p>
    <w:p w14:paraId="5EB83DE5" w14:textId="77777777" w:rsidR="00D86625" w:rsidRDefault="000100ED" w:rsidP="00251059">
      <w:r>
        <w:t>Plan wskazuje na wybór linii do elektryfikacji zgodny z propozycjami przedstawionymi w</w:t>
      </w:r>
      <w:r w:rsidR="00D86625">
        <w:t> </w:t>
      </w:r>
      <w:r w:rsidRPr="000100ED">
        <w:t>„Analizie Kosztów i Korzyści związanych z wykorzystaniem przy świadczeniu usług komunikacji miejskiej autobusów zeroemisyjnych i napędzanych gazem ziemnym dla miasta Rzeszowa”</w:t>
      </w:r>
      <w:r>
        <w:t xml:space="preserve"> z 2018 r. </w:t>
      </w:r>
    </w:p>
    <w:p w14:paraId="44263524" w14:textId="78C5A02D" w:rsidR="000100ED" w:rsidRDefault="000100ED" w:rsidP="00D86625">
      <w:pPr>
        <w:keepNext/>
      </w:pPr>
      <w:r>
        <w:lastRenderedPageBreak/>
        <w:t>Poza już obsługiwanymi taborem elektrycznym liniami 0A i 0B plan przewidu</w:t>
      </w:r>
      <w:r w:rsidR="009650C2">
        <w:t>je więc do</w:t>
      </w:r>
      <w:r w:rsidR="00D86625">
        <w:t> </w:t>
      </w:r>
      <w:r w:rsidR="009650C2">
        <w:t>elektryfikacji</w:t>
      </w:r>
      <w:r>
        <w:t>:</w:t>
      </w:r>
    </w:p>
    <w:p w14:paraId="61963E35" w14:textId="76CFFB5E" w:rsidR="000100ED" w:rsidRPr="00D25193" w:rsidRDefault="000100ED" w:rsidP="007E0C6A">
      <w:pPr>
        <w:numPr>
          <w:ilvl w:val="0"/>
          <w:numId w:val="34"/>
        </w:numPr>
        <w:ind w:left="426"/>
        <w:rPr>
          <w:rFonts w:cs="Tahoma"/>
          <w:bCs/>
        </w:rPr>
      </w:pPr>
      <w:r w:rsidRPr="00D25193">
        <w:rPr>
          <w:rFonts w:cs="Tahoma"/>
          <w:bCs/>
        </w:rPr>
        <w:t>w pierwszej kolejności – linie 10, 18 i 1</w:t>
      </w:r>
      <w:r>
        <w:rPr>
          <w:rFonts w:cs="Tahoma"/>
          <w:bCs/>
        </w:rPr>
        <w:t>9 – ze stanowiskiem dołado</w:t>
      </w:r>
      <w:r w:rsidRPr="00D25193">
        <w:rPr>
          <w:rFonts w:cs="Tahoma"/>
          <w:bCs/>
        </w:rPr>
        <w:t xml:space="preserve">wania </w:t>
      </w:r>
      <w:r>
        <w:rPr>
          <w:rFonts w:cs="Tahoma"/>
          <w:bCs/>
        </w:rPr>
        <w:t>szybkiego n</w:t>
      </w:r>
      <w:r w:rsidRPr="00D25193">
        <w:rPr>
          <w:rFonts w:cs="Tahoma"/>
          <w:bCs/>
        </w:rPr>
        <w:t>a</w:t>
      </w:r>
      <w:r w:rsidR="00D86625">
        <w:rPr>
          <w:rFonts w:cs="Tahoma"/>
          <w:bCs/>
        </w:rPr>
        <w:t> </w:t>
      </w:r>
      <w:r w:rsidRPr="00D25193">
        <w:rPr>
          <w:rFonts w:cs="Tahoma"/>
          <w:bCs/>
        </w:rPr>
        <w:t xml:space="preserve">pętli Łukasiewicza lub opcjonalnie </w:t>
      </w:r>
      <w:r>
        <w:rPr>
          <w:rFonts w:cs="Tahoma"/>
          <w:bCs/>
        </w:rPr>
        <w:t>na pętli</w:t>
      </w:r>
      <w:r w:rsidRPr="00D25193">
        <w:rPr>
          <w:rFonts w:cs="Tahoma"/>
          <w:bCs/>
        </w:rPr>
        <w:t xml:space="preserve"> Obrońców Poczty Gdańskiej;</w:t>
      </w:r>
    </w:p>
    <w:p w14:paraId="5BDD652C" w14:textId="0E91A649" w:rsidR="000100ED" w:rsidRPr="00D25193" w:rsidRDefault="000100ED" w:rsidP="007E0C6A">
      <w:pPr>
        <w:numPr>
          <w:ilvl w:val="0"/>
          <w:numId w:val="34"/>
        </w:numPr>
        <w:ind w:left="426"/>
        <w:rPr>
          <w:rFonts w:cs="Tahoma"/>
          <w:bCs/>
        </w:rPr>
      </w:pPr>
      <w:r w:rsidRPr="00D25193">
        <w:rPr>
          <w:rFonts w:cs="Tahoma"/>
          <w:bCs/>
        </w:rPr>
        <w:t xml:space="preserve">w drugiej kolejności – linia 42 – z wykorzystaniem </w:t>
      </w:r>
      <w:r>
        <w:rPr>
          <w:rFonts w:cs="Tahoma"/>
          <w:bCs/>
        </w:rPr>
        <w:t>istniejących</w:t>
      </w:r>
      <w:r w:rsidRPr="00D25193">
        <w:rPr>
          <w:rFonts w:cs="Tahoma"/>
          <w:bCs/>
        </w:rPr>
        <w:t xml:space="preserve"> stanowisk ładowania </w:t>
      </w:r>
      <w:r>
        <w:rPr>
          <w:rFonts w:cs="Tahoma"/>
          <w:bCs/>
        </w:rPr>
        <w:t xml:space="preserve">szybkiego przy pl. Dworcowym </w:t>
      </w:r>
      <w:r w:rsidRPr="00D25193">
        <w:rPr>
          <w:rFonts w:cs="Tahoma"/>
          <w:bCs/>
        </w:rPr>
        <w:t xml:space="preserve">z ewentualną ich rozbudową oraz linia 30 ze stanowiskiem </w:t>
      </w:r>
      <w:r>
        <w:rPr>
          <w:rFonts w:cs="Tahoma"/>
          <w:bCs/>
        </w:rPr>
        <w:t>łado</w:t>
      </w:r>
      <w:r w:rsidRPr="00D25193">
        <w:rPr>
          <w:rFonts w:cs="Tahoma"/>
          <w:bCs/>
        </w:rPr>
        <w:t xml:space="preserve">wania </w:t>
      </w:r>
      <w:r>
        <w:rPr>
          <w:rFonts w:cs="Tahoma"/>
          <w:bCs/>
        </w:rPr>
        <w:t>szybkiego na pętli</w:t>
      </w:r>
      <w:r w:rsidRPr="00D25193">
        <w:rPr>
          <w:rFonts w:cs="Tahoma"/>
          <w:bCs/>
        </w:rPr>
        <w:t xml:space="preserve"> Mikołajczyka;</w:t>
      </w:r>
    </w:p>
    <w:p w14:paraId="577F34BB" w14:textId="778ABD6F" w:rsidR="000100ED" w:rsidRPr="00D25193" w:rsidRDefault="000100ED" w:rsidP="007E0C6A">
      <w:pPr>
        <w:numPr>
          <w:ilvl w:val="0"/>
          <w:numId w:val="34"/>
        </w:numPr>
        <w:ind w:left="426"/>
        <w:rPr>
          <w:rFonts w:cs="Tahoma"/>
          <w:bCs/>
        </w:rPr>
      </w:pPr>
      <w:r w:rsidRPr="00D25193">
        <w:rPr>
          <w:rFonts w:cs="Tahoma"/>
          <w:bCs/>
        </w:rPr>
        <w:t>w trzeciej kolejności – linie 13, 17</w:t>
      </w:r>
      <w:r>
        <w:rPr>
          <w:rFonts w:cs="Tahoma"/>
          <w:bCs/>
        </w:rPr>
        <w:t xml:space="preserve"> i 34 – ze stanowiskiem </w:t>
      </w:r>
      <w:r w:rsidRPr="00D25193">
        <w:rPr>
          <w:rFonts w:cs="Tahoma"/>
          <w:bCs/>
        </w:rPr>
        <w:t xml:space="preserve">ładowania </w:t>
      </w:r>
      <w:r>
        <w:rPr>
          <w:rFonts w:cs="Tahoma"/>
          <w:bCs/>
        </w:rPr>
        <w:t xml:space="preserve">szybkiego </w:t>
      </w:r>
      <w:r w:rsidRPr="00D25193">
        <w:rPr>
          <w:rFonts w:cs="Tahoma"/>
          <w:bCs/>
        </w:rPr>
        <w:t xml:space="preserve">na pętli </w:t>
      </w:r>
      <w:r>
        <w:rPr>
          <w:rFonts w:cs="Tahoma"/>
          <w:bCs/>
        </w:rPr>
        <w:t>Lwowska Szpital</w:t>
      </w:r>
      <w:r w:rsidRPr="00D25193">
        <w:rPr>
          <w:rFonts w:cs="Tahoma"/>
          <w:bCs/>
        </w:rPr>
        <w:t>;</w:t>
      </w:r>
    </w:p>
    <w:p w14:paraId="4616CB6A" w14:textId="1CBA7E64" w:rsidR="000100ED" w:rsidRPr="00D25193" w:rsidRDefault="000100ED" w:rsidP="007E0C6A">
      <w:pPr>
        <w:numPr>
          <w:ilvl w:val="0"/>
          <w:numId w:val="34"/>
        </w:numPr>
        <w:ind w:left="426"/>
        <w:rPr>
          <w:rFonts w:cs="Tahoma"/>
          <w:bCs/>
        </w:rPr>
      </w:pPr>
      <w:r w:rsidRPr="00D25193">
        <w:rPr>
          <w:rFonts w:cs="Tahoma"/>
          <w:bCs/>
        </w:rPr>
        <w:t xml:space="preserve">w czwartej kolejności – linie 23, 24 i 30 – ze stanowiskiem </w:t>
      </w:r>
      <w:r>
        <w:rPr>
          <w:rFonts w:cs="Tahoma"/>
          <w:bCs/>
        </w:rPr>
        <w:t>łado</w:t>
      </w:r>
      <w:r w:rsidRPr="00D25193">
        <w:rPr>
          <w:rFonts w:cs="Tahoma"/>
          <w:bCs/>
        </w:rPr>
        <w:t xml:space="preserve">wania </w:t>
      </w:r>
      <w:r>
        <w:rPr>
          <w:rFonts w:cs="Tahoma"/>
          <w:bCs/>
        </w:rPr>
        <w:t xml:space="preserve">szybkiego </w:t>
      </w:r>
      <w:r w:rsidRPr="00D25193">
        <w:rPr>
          <w:rFonts w:cs="Tahoma"/>
          <w:bCs/>
        </w:rPr>
        <w:t xml:space="preserve">na pętli </w:t>
      </w:r>
      <w:r>
        <w:rPr>
          <w:rFonts w:cs="Tahoma"/>
          <w:bCs/>
        </w:rPr>
        <w:t>Matuszczaka;</w:t>
      </w:r>
    </w:p>
    <w:p w14:paraId="2E9BAD68" w14:textId="4DA84E21" w:rsidR="000100ED" w:rsidRDefault="00D86625" w:rsidP="00D86625">
      <w:pPr>
        <w:ind w:firstLine="0"/>
      </w:pPr>
      <w:r>
        <w:t xml:space="preserve">– </w:t>
      </w:r>
      <w:r w:rsidR="000100ED">
        <w:t xml:space="preserve">z jednoczesną rozbudową </w:t>
      </w:r>
      <w:r w:rsidR="000100ED">
        <w:rPr>
          <w:bCs/>
        </w:rPr>
        <w:t>stacji</w:t>
      </w:r>
      <w:r w:rsidR="000100ED" w:rsidRPr="000100ED">
        <w:rPr>
          <w:bCs/>
        </w:rPr>
        <w:t xml:space="preserve"> ładowania wolnego (nocnego) na zajezdni przy ul. Lubelskiej, poprzez instalację kolejnych stanowisk, docelowo po jednym na autobus</w:t>
      </w:r>
      <w:r w:rsidR="000100ED">
        <w:rPr>
          <w:bCs/>
        </w:rPr>
        <w:t>.</w:t>
      </w:r>
    </w:p>
    <w:p w14:paraId="47F0BA44" w14:textId="048E7084" w:rsidR="00736B69" w:rsidRDefault="000100ED" w:rsidP="000100ED">
      <w:r>
        <w:t xml:space="preserve">Plan przewiduje, że potencjalną stację tankowania wodoru </w:t>
      </w:r>
      <w:r w:rsidR="009650C2">
        <w:t xml:space="preserve">zostanie </w:t>
      </w:r>
      <w:r w:rsidRPr="000100ED">
        <w:t>zainstalowan</w:t>
      </w:r>
      <w:r w:rsidR="009650C2">
        <w:t>a</w:t>
      </w:r>
      <w:r w:rsidRPr="000100ED">
        <w:t xml:space="preserve"> na</w:t>
      </w:r>
      <w:r w:rsidR="00D86625">
        <w:t> </w:t>
      </w:r>
      <w:r w:rsidR="009650C2">
        <w:t xml:space="preserve">obszarze </w:t>
      </w:r>
      <w:r w:rsidRPr="000100ED">
        <w:t>zajezdni autobusowej przy ul. Lubelskiej albo opcjonalnie na wybranej stacji paliw LOTOS</w:t>
      </w:r>
      <w:r>
        <w:t>.</w:t>
      </w:r>
    </w:p>
    <w:p w14:paraId="30C879B3" w14:textId="696E357E" w:rsidR="00A71E2C" w:rsidRDefault="00A71E2C" w:rsidP="000100ED">
      <w:r>
        <w:t xml:space="preserve">W zakresie integracji transportu regionalnego oraz miejskiego i kolejowego Plan przewiduje realizację inwestycji budowy </w:t>
      </w:r>
      <w:r w:rsidRPr="00A71E2C">
        <w:t>Rzeszowskiego Centrum Komunikacyjnego, w celu stworzenia miejsca dogodnego przesiadania się z pociągów regionalnych i dalekobieżnych, autobusów komunikacji międzywojewódzkiej i regionalnej, obsługującej ciążący obszar gmin, do i z autobusów komunikacji miejskiej – wraz z prowadzącymi do nich ciągami pieszymi, a także parkingami rowerowymi i samochodowymi</w:t>
      </w:r>
      <w:r>
        <w:t xml:space="preserve">, budowę parkingów </w:t>
      </w:r>
      <w:r w:rsidRPr="00A71E2C">
        <w:t xml:space="preserve">Park&amp;Ride, Bike&amp;Ride oraz Kiss&amp;Ride, przy wybranych pętlach końcowych linii komunikacji miejskiej </w:t>
      </w:r>
      <w:r>
        <w:t xml:space="preserve">oraz </w:t>
      </w:r>
      <w:r w:rsidRPr="00A71E2C">
        <w:t>doposażenie wybranych przystanków w parkingi Bike&amp;Ride</w:t>
      </w:r>
      <w:r>
        <w:t>.</w:t>
      </w:r>
    </w:p>
    <w:p w14:paraId="44070109" w14:textId="426CF990" w:rsidR="00A71E2C" w:rsidRDefault="00A71E2C" w:rsidP="000100ED">
      <w:r>
        <w:t>Dokument przewiduje, dla osiągnięcia pożądanego standardu usług przewozowych rzeszowskiej komunikacji miejskiej</w:t>
      </w:r>
      <w:r w:rsidR="009650C2">
        <w:t>,</w:t>
      </w:r>
      <w:r>
        <w:t xml:space="preserve"> m.in. systematyczną wymianę </w:t>
      </w:r>
      <w:r w:rsidRPr="00A71E2C">
        <w:t>pojazdów komunikacji o wieku obecnie wyższym niż 12 lat</w:t>
      </w:r>
      <w:r w:rsidR="009650C2">
        <w:t>,</w:t>
      </w:r>
      <w:r w:rsidRPr="00A71E2C">
        <w:t xml:space="preserve"> na pojazdy w standardzie wyposażenia </w:t>
      </w:r>
      <w:r w:rsidR="009650C2">
        <w:t xml:space="preserve">zbliżonego </w:t>
      </w:r>
      <w:r w:rsidRPr="00A71E2C">
        <w:t>do posiadanych autobusów hybrydowych, do całkowitego ich zastąpienia</w:t>
      </w:r>
      <w:r>
        <w:t xml:space="preserve"> oraz osiągnięcie wskaźnika przeciętnego wieku taboru 6 do 8 lat.</w:t>
      </w:r>
    </w:p>
    <w:p w14:paraId="00863BD1" w14:textId="176AD0F4" w:rsidR="00A71E2C" w:rsidRDefault="00A71E2C" w:rsidP="000100ED">
      <w:r>
        <w:t>Plan określa wymogi wyposażenia autobusów jako:</w:t>
      </w:r>
    </w:p>
    <w:p w14:paraId="277F3D78" w14:textId="77777777" w:rsidR="00A71E2C" w:rsidRPr="00A71E2C" w:rsidRDefault="00A71E2C" w:rsidP="007E0C6A">
      <w:pPr>
        <w:numPr>
          <w:ilvl w:val="0"/>
          <w:numId w:val="35"/>
        </w:numPr>
        <w:ind w:left="426"/>
      </w:pPr>
      <w:r w:rsidRPr="00A71E2C">
        <w:t>jednolite barwy miejskie;</w:t>
      </w:r>
    </w:p>
    <w:p w14:paraId="5765FA29" w14:textId="24140CD3" w:rsidR="00A71E2C" w:rsidRPr="00A71E2C" w:rsidRDefault="00A71E2C" w:rsidP="007E0C6A">
      <w:pPr>
        <w:numPr>
          <w:ilvl w:val="0"/>
          <w:numId w:val="35"/>
        </w:numPr>
        <w:ind w:left="426"/>
      </w:pPr>
      <w:r w:rsidRPr="00A71E2C">
        <w:t>nisk</w:t>
      </w:r>
      <w:r w:rsidR="00D86625">
        <w:t>ą</w:t>
      </w:r>
      <w:r w:rsidRPr="00A71E2C">
        <w:t xml:space="preserve"> podłog</w:t>
      </w:r>
      <w:r w:rsidR="00D86625">
        <w:t>ę</w:t>
      </w:r>
      <w:r w:rsidRPr="00A71E2C">
        <w:t xml:space="preserve"> (bez progów poprzecznych wewnątrz) w wykonaniu antypoślizgowym;</w:t>
      </w:r>
    </w:p>
    <w:p w14:paraId="7E3AE15D" w14:textId="259D1AE2" w:rsidR="00A71E2C" w:rsidRPr="00A71E2C" w:rsidRDefault="00A71E2C" w:rsidP="007E0C6A">
      <w:pPr>
        <w:numPr>
          <w:ilvl w:val="0"/>
          <w:numId w:val="35"/>
        </w:numPr>
        <w:ind w:left="426"/>
      </w:pPr>
      <w:r w:rsidRPr="00A71E2C">
        <w:t>ogrzewanie i klimatyzacj</w:t>
      </w:r>
      <w:r w:rsidR="00D86625">
        <w:t>ę</w:t>
      </w:r>
      <w:r w:rsidRPr="00A71E2C">
        <w:t xml:space="preserve"> przestrzeni pasażerskiej;</w:t>
      </w:r>
    </w:p>
    <w:p w14:paraId="33E4B142" w14:textId="1FE9994A" w:rsidR="00A71E2C" w:rsidRPr="00A71E2C" w:rsidRDefault="00A71E2C" w:rsidP="007E0C6A">
      <w:pPr>
        <w:numPr>
          <w:ilvl w:val="0"/>
          <w:numId w:val="35"/>
        </w:numPr>
        <w:ind w:left="426"/>
      </w:pPr>
      <w:r w:rsidRPr="00A71E2C">
        <w:t>miejsce na wózek inwalidzki lub dziecięcy z dedykowanym miejscem do siedzenia oraz platform</w:t>
      </w:r>
      <w:r w:rsidR="00D86625">
        <w:t>ę</w:t>
      </w:r>
      <w:r w:rsidRPr="00A71E2C">
        <w:t xml:space="preserve"> ułatwiając</w:t>
      </w:r>
      <w:r w:rsidR="00D86625">
        <w:t>ą</w:t>
      </w:r>
      <w:r w:rsidRPr="00A71E2C">
        <w:t xml:space="preserve"> wjazd osobom niepełnosprawnym na wózkach inwalidzkich;</w:t>
      </w:r>
    </w:p>
    <w:p w14:paraId="67711035" w14:textId="77777777" w:rsidR="00A71E2C" w:rsidRPr="00A71E2C" w:rsidRDefault="00A71E2C" w:rsidP="007E0C6A">
      <w:pPr>
        <w:numPr>
          <w:ilvl w:val="0"/>
          <w:numId w:val="35"/>
        </w:numPr>
        <w:ind w:left="426"/>
      </w:pPr>
      <w:r w:rsidRPr="00A71E2C">
        <w:lastRenderedPageBreak/>
        <w:t>system przyklęku prawej strony pojazdu podczas otwarcia drzwi na przystanku;</w:t>
      </w:r>
    </w:p>
    <w:p w14:paraId="7787BC48" w14:textId="2AB97FD1" w:rsidR="00A71E2C" w:rsidRPr="00A71E2C" w:rsidRDefault="00A71E2C" w:rsidP="007E0C6A">
      <w:pPr>
        <w:numPr>
          <w:ilvl w:val="0"/>
          <w:numId w:val="35"/>
        </w:numPr>
        <w:ind w:left="426"/>
      </w:pPr>
      <w:r w:rsidRPr="00A71E2C">
        <w:t>system elektronicznej informacji pasażerskiej</w:t>
      </w:r>
      <w:r w:rsidR="009650C2">
        <w:t xml:space="preserve"> (m.</w:t>
      </w:r>
      <w:r w:rsidR="00606546">
        <w:t>in. wyświetlacze, tablice z trasą linii z</w:t>
      </w:r>
      <w:r w:rsidR="00D86625">
        <w:t> </w:t>
      </w:r>
      <w:r w:rsidR="00606546">
        <w:t>przesiadkami)</w:t>
      </w:r>
      <w:r w:rsidRPr="00A71E2C">
        <w:t>, lokalizujący także pojazd na tablicach przystankowej informacji dynamicznej oraz zapowiedzi głosowe przystanków</w:t>
      </w:r>
      <w:r w:rsidR="00606546" w:rsidRPr="00606546">
        <w:t xml:space="preserve"> </w:t>
      </w:r>
      <w:r w:rsidR="00606546">
        <w:t>wewnętrzne i zewnętrzne</w:t>
      </w:r>
      <w:r w:rsidRPr="00A71E2C">
        <w:t>;</w:t>
      </w:r>
    </w:p>
    <w:p w14:paraId="2D4F201A" w14:textId="77777777" w:rsidR="00A71E2C" w:rsidRPr="00A71E2C" w:rsidRDefault="00A71E2C" w:rsidP="007E0C6A">
      <w:pPr>
        <w:numPr>
          <w:ilvl w:val="0"/>
          <w:numId w:val="35"/>
        </w:numPr>
        <w:ind w:left="426"/>
      </w:pPr>
      <w:r w:rsidRPr="00A71E2C">
        <w:t>dostęp do internetu oraz ładowarki USB;</w:t>
      </w:r>
    </w:p>
    <w:p w14:paraId="4F8F485B" w14:textId="310CE375" w:rsidR="00A71E2C" w:rsidRDefault="00A71E2C" w:rsidP="007E0C6A">
      <w:pPr>
        <w:numPr>
          <w:ilvl w:val="0"/>
          <w:numId w:val="35"/>
        </w:numPr>
        <w:ind w:left="426"/>
      </w:pPr>
      <w:r w:rsidRPr="00A71E2C">
        <w:t>system monitoringu wizyjnego wewnętrznego i zewnętr</w:t>
      </w:r>
      <w:r>
        <w:t>znego wraz z rejestracją obrazu;</w:t>
      </w:r>
    </w:p>
    <w:p w14:paraId="4F815E56" w14:textId="429B312C" w:rsidR="00A71E2C" w:rsidRPr="00A71E2C" w:rsidRDefault="00606546" w:rsidP="007E0C6A">
      <w:pPr>
        <w:numPr>
          <w:ilvl w:val="0"/>
          <w:numId w:val="35"/>
        </w:numPr>
        <w:ind w:left="426"/>
      </w:pPr>
      <w:r w:rsidRPr="00606546">
        <w:t>oświetlenie wnętrza pojazdu, w tym w szczególności wszystkich miejsc, w których znajdują się przeszkody dla pasażerów, umożliwiające odczytanie wszelkich informacji umieszczonych wewnątrz dla pasażerów</w:t>
      </w:r>
      <w:r>
        <w:t>, piktogramy.</w:t>
      </w:r>
    </w:p>
    <w:p w14:paraId="77DEE6C5" w14:textId="07404B11" w:rsidR="00A71E2C" w:rsidRDefault="00606546" w:rsidP="000100ED">
      <w:r>
        <w:t>Jako waż</w:t>
      </w:r>
      <w:r w:rsidR="009650C2">
        <w:t>n</w:t>
      </w:r>
      <w:r>
        <w:t xml:space="preserve">y element dostosowania transportu zbiorowego do potrzeb osób niepełnosprawnych wymieniono budowę peronów </w:t>
      </w:r>
      <w:r w:rsidR="00423FAD" w:rsidRPr="00423FAD">
        <w:t xml:space="preserve">przystanków </w:t>
      </w:r>
      <w:r w:rsidRPr="00606546">
        <w:t>o wysokości dostosowanej do poziomu podłogi pojazdu</w:t>
      </w:r>
      <w:r w:rsidR="00423FAD">
        <w:t>,</w:t>
      </w:r>
      <w:r>
        <w:t xml:space="preserve"> </w:t>
      </w:r>
      <w:r w:rsidRPr="00606546">
        <w:t xml:space="preserve">likwidację barier </w:t>
      </w:r>
      <w:r w:rsidR="00423FAD">
        <w:t xml:space="preserve">architektonicznych </w:t>
      </w:r>
      <w:r w:rsidRPr="00606546">
        <w:t>na trasach dróg dojścia</w:t>
      </w:r>
      <w:r w:rsidR="00423FAD">
        <w:t xml:space="preserve"> oraz </w:t>
      </w:r>
      <w:r w:rsidR="00423FAD" w:rsidRPr="00423FAD">
        <w:t>wyposażanie w siedzące miejsca oczekiwania dla pasażerów – w miarę możliwości zadaszone i osłonięte przed wiatrem</w:t>
      </w:r>
      <w:r w:rsidR="00423FAD">
        <w:t>.</w:t>
      </w:r>
    </w:p>
    <w:p w14:paraId="369EBC5A" w14:textId="4517085F" w:rsidR="008E73D3" w:rsidRDefault="00D732DA" w:rsidP="00423FAD">
      <w:r>
        <w:t xml:space="preserve">W zakresie </w:t>
      </w:r>
      <w:r w:rsidR="00423FAD">
        <w:t xml:space="preserve">realizacji </w:t>
      </w:r>
      <w:r>
        <w:t xml:space="preserve">inwestycji taborowych Plan wskazuje na potrzebę </w:t>
      </w:r>
      <w:r w:rsidR="00423FAD">
        <w:t xml:space="preserve">dokończenia realizacji projektów ze wsparciem środkami pomocowymi Unii Europejskiej, w szczególności </w:t>
      </w:r>
      <w:r w:rsidR="00423FAD" w:rsidRPr="00423FAD">
        <w:t>w</w:t>
      </w:r>
      <w:r w:rsidR="00D86625">
        <w:t> </w:t>
      </w:r>
      <w:r w:rsidR="00423FAD" w:rsidRPr="00423FAD">
        <w:t>zakresie uruchamianych programów</w:t>
      </w:r>
      <w:r w:rsidR="00423FAD">
        <w:t xml:space="preserve"> w ramach </w:t>
      </w:r>
      <w:r w:rsidR="00423FAD" w:rsidRPr="00423FAD">
        <w:t>przyszłego h</w:t>
      </w:r>
      <w:r w:rsidR="00423FAD">
        <w:t>oryzontu finansowania 2021-2027</w:t>
      </w:r>
      <w:r>
        <w:t>.</w:t>
      </w:r>
    </w:p>
    <w:p w14:paraId="37BA3993" w14:textId="301BC0EA" w:rsidR="00D732DA" w:rsidRDefault="00423FAD" w:rsidP="00423FAD">
      <w:r w:rsidRPr="00423FAD">
        <w:t>Źródłem finansowania mogą być także inne środki pomocowe krajowe i europejskie, w</w:t>
      </w:r>
      <w:r w:rsidR="00D86625">
        <w:t> </w:t>
      </w:r>
      <w:r w:rsidRPr="00423FAD">
        <w:t>miarę ich uruchamiania.</w:t>
      </w:r>
    </w:p>
    <w:p w14:paraId="3D60DF08" w14:textId="710EB09C" w:rsidR="005B489B" w:rsidRPr="00821AF6" w:rsidRDefault="005B489B" w:rsidP="009611BC">
      <w:pPr>
        <w:pStyle w:val="Nagwek2"/>
        <w:keepLines/>
        <w:spacing w:before="120"/>
        <w:ind w:left="567"/>
        <w:jc w:val="center"/>
      </w:pPr>
      <w:bookmarkStart w:id="47" w:name="_Toc89417672"/>
      <w:r w:rsidRPr="00821AF6">
        <w:t>Wybór rodzaju napędu</w:t>
      </w:r>
      <w:bookmarkEnd w:id="47"/>
    </w:p>
    <w:p w14:paraId="48F63F03" w14:textId="0B5AF19B" w:rsidR="002B3A06" w:rsidRPr="00821AF6" w:rsidRDefault="002B3A06" w:rsidP="00F1738F">
      <w:r w:rsidRPr="00821AF6">
        <w:t xml:space="preserve">Wybór rodzaju napędu stosowanego w pojazdach komunikacji miejskiej zależy nie tylko od wyników analiz zawartych w dokumentach strategicznych związanych z rozwojem danego miasta i jego obszaru funkcjonalnego, w tym w obszarze publicznego transportu zbiorowego, ale także od </w:t>
      </w:r>
      <w:r w:rsidR="00493069" w:rsidRPr="00821AF6">
        <w:t xml:space="preserve">wielu różnych </w:t>
      </w:r>
      <w:r w:rsidRPr="00821AF6">
        <w:t>uwarunkowań technicznych i finansowych.</w:t>
      </w:r>
    </w:p>
    <w:p w14:paraId="689C22E4" w14:textId="77777777" w:rsidR="007E69E5" w:rsidRPr="00821AF6" w:rsidRDefault="007E69E5" w:rsidP="00F1738F">
      <w:r w:rsidRPr="00821AF6">
        <w:t>Przesłankami przemawiającymi za zastosowaniem w eksploatowanym taborze autobusowym różnych źródeł zasilania, są możliwe do osiągnięcia następujące efekty:</w:t>
      </w:r>
    </w:p>
    <w:p w14:paraId="5E464BC0" w14:textId="17741FB1" w:rsidR="007574BE" w:rsidRDefault="007574BE" w:rsidP="00F1738F">
      <w:pPr>
        <w:pStyle w:val="Akapitzlist"/>
        <w:numPr>
          <w:ilvl w:val="0"/>
          <w:numId w:val="15"/>
        </w:numPr>
        <w:spacing w:after="0" w:line="360" w:lineRule="auto"/>
        <w:ind w:left="284"/>
        <w:jc w:val="both"/>
        <w:rPr>
          <w:rFonts w:ascii="Tahoma" w:hAnsi="Tahoma" w:cs="Tahoma"/>
        </w:rPr>
      </w:pPr>
      <w:r w:rsidRPr="007574BE">
        <w:rPr>
          <w:rFonts w:ascii="Tahoma" w:hAnsi="Tahoma" w:cs="Tahoma"/>
        </w:rPr>
        <w:t xml:space="preserve">dywersyfikacja źródeł zasilania taboru (już posiadane – </w:t>
      </w:r>
      <w:r>
        <w:rPr>
          <w:rFonts w:ascii="Tahoma" w:hAnsi="Tahoma" w:cs="Tahoma"/>
        </w:rPr>
        <w:t xml:space="preserve">tabor autobusowy </w:t>
      </w:r>
      <w:r w:rsidRPr="007574BE">
        <w:rPr>
          <w:rFonts w:ascii="Tahoma" w:hAnsi="Tahoma" w:cs="Tahoma"/>
        </w:rPr>
        <w:t xml:space="preserve">ON i </w:t>
      </w:r>
      <w:r w:rsidR="00E104F0">
        <w:rPr>
          <w:rFonts w:ascii="Tahoma" w:hAnsi="Tahoma" w:cs="Tahoma"/>
        </w:rPr>
        <w:t xml:space="preserve">CNG </w:t>
      </w:r>
      <w:r w:rsidRPr="007574BE">
        <w:rPr>
          <w:rFonts w:ascii="Tahoma" w:hAnsi="Tahoma" w:cs="Tahoma"/>
        </w:rPr>
        <w:t xml:space="preserve">oraz </w:t>
      </w:r>
      <w:r w:rsidR="00F1738F">
        <w:rPr>
          <w:rFonts w:ascii="Tahoma" w:hAnsi="Tahoma" w:cs="Tahoma"/>
        </w:rPr>
        <w:t>z</w:t>
      </w:r>
      <w:r w:rsidR="00D86625">
        <w:rPr>
          <w:rFonts w:ascii="Tahoma" w:hAnsi="Tahoma" w:cs="Tahoma"/>
        </w:rPr>
        <w:t> </w:t>
      </w:r>
      <w:r w:rsidRPr="007574BE">
        <w:rPr>
          <w:rFonts w:ascii="Tahoma" w:hAnsi="Tahoma" w:cs="Tahoma"/>
        </w:rPr>
        <w:t>napęd</w:t>
      </w:r>
      <w:r w:rsidR="00F1738F">
        <w:rPr>
          <w:rFonts w:ascii="Tahoma" w:hAnsi="Tahoma" w:cs="Tahoma"/>
        </w:rPr>
        <w:t>em</w:t>
      </w:r>
      <w:r w:rsidRPr="007574BE">
        <w:rPr>
          <w:rFonts w:ascii="Tahoma" w:hAnsi="Tahoma" w:cs="Tahoma"/>
        </w:rPr>
        <w:t xml:space="preserve"> </w:t>
      </w:r>
      <w:r>
        <w:rPr>
          <w:rFonts w:ascii="Tahoma" w:hAnsi="Tahoma" w:cs="Tahoma"/>
        </w:rPr>
        <w:t>elektryczny</w:t>
      </w:r>
      <w:r w:rsidR="00F1738F">
        <w:rPr>
          <w:rFonts w:ascii="Tahoma" w:hAnsi="Tahoma" w:cs="Tahoma"/>
        </w:rPr>
        <w:t>m</w:t>
      </w:r>
      <w:r w:rsidRPr="007574BE">
        <w:rPr>
          <w:rFonts w:ascii="Tahoma" w:hAnsi="Tahoma" w:cs="Tahoma"/>
        </w:rPr>
        <w:t xml:space="preserve"> bateryjny</w:t>
      </w:r>
      <w:r w:rsidR="00F1738F">
        <w:rPr>
          <w:rFonts w:ascii="Tahoma" w:hAnsi="Tahoma" w:cs="Tahoma"/>
        </w:rPr>
        <w:t>m</w:t>
      </w:r>
      <w:r>
        <w:rPr>
          <w:rFonts w:ascii="Tahoma" w:hAnsi="Tahoma" w:cs="Tahoma"/>
        </w:rPr>
        <w:t xml:space="preserve"> z zasilaniem pantografowym</w:t>
      </w:r>
      <w:r w:rsidRPr="007574BE">
        <w:rPr>
          <w:rFonts w:ascii="Tahoma" w:hAnsi="Tahoma" w:cs="Tahoma"/>
        </w:rPr>
        <w:t xml:space="preserve">) zwiększa bezpieczeństwo ekonomiczne przy wahaniach cen paliw </w:t>
      </w:r>
      <w:r w:rsidR="00F1738F">
        <w:rPr>
          <w:rFonts w:ascii="Tahoma" w:hAnsi="Tahoma" w:cs="Tahoma"/>
        </w:rPr>
        <w:t xml:space="preserve">i energii </w:t>
      </w:r>
      <w:r w:rsidRPr="007574BE">
        <w:rPr>
          <w:rFonts w:ascii="Tahoma" w:hAnsi="Tahoma" w:cs="Tahoma"/>
        </w:rPr>
        <w:t>oraz zmianie warunków klimatycznych;</w:t>
      </w:r>
    </w:p>
    <w:p w14:paraId="3D72018D" w14:textId="77777777" w:rsidR="007E69E5" w:rsidRPr="00821AF6" w:rsidRDefault="007E69E5" w:rsidP="00F1738F">
      <w:pPr>
        <w:pStyle w:val="Akapitzlist"/>
        <w:numPr>
          <w:ilvl w:val="0"/>
          <w:numId w:val="15"/>
        </w:numPr>
        <w:spacing w:after="0" w:line="360" w:lineRule="auto"/>
        <w:ind w:left="284"/>
        <w:jc w:val="both"/>
        <w:rPr>
          <w:rFonts w:ascii="Tahoma" w:hAnsi="Tahoma" w:cs="Tahoma"/>
        </w:rPr>
      </w:pPr>
      <w:r w:rsidRPr="00821AF6">
        <w:rPr>
          <w:rFonts w:ascii="Tahoma" w:hAnsi="Tahoma" w:cs="Tahoma"/>
        </w:rPr>
        <w:t>zwiększenie bezpieczeństwa dostaw paliw i energii oraz ich stabilności cenowej;</w:t>
      </w:r>
    </w:p>
    <w:p w14:paraId="59B24554" w14:textId="176B7AFE" w:rsidR="007E69E5" w:rsidRPr="00821AF6" w:rsidRDefault="007E69E5" w:rsidP="00F1738F">
      <w:pPr>
        <w:pStyle w:val="Akapitzlist"/>
        <w:numPr>
          <w:ilvl w:val="0"/>
          <w:numId w:val="15"/>
        </w:numPr>
        <w:spacing w:after="0" w:line="360" w:lineRule="auto"/>
        <w:ind w:left="284"/>
        <w:jc w:val="both"/>
        <w:rPr>
          <w:rFonts w:ascii="Tahoma" w:hAnsi="Tahoma" w:cs="Tahoma"/>
        </w:rPr>
      </w:pPr>
      <w:r w:rsidRPr="00821AF6">
        <w:rPr>
          <w:rFonts w:ascii="Tahoma" w:hAnsi="Tahoma" w:cs="Tahoma"/>
        </w:rPr>
        <w:t>wydłużenie okresu eksploatacji pojazdów</w:t>
      </w:r>
      <w:r w:rsidR="00F0384E" w:rsidRPr="00821AF6">
        <w:rPr>
          <w:rFonts w:ascii="Tahoma" w:hAnsi="Tahoma" w:cs="Tahoma"/>
        </w:rPr>
        <w:t xml:space="preserve"> bez konieczności dokonywania poważnych napraw</w:t>
      </w:r>
      <w:r w:rsidRPr="00821AF6">
        <w:rPr>
          <w:rFonts w:ascii="Tahoma" w:hAnsi="Tahoma" w:cs="Tahoma"/>
        </w:rPr>
        <w:t>, ze względu na większą trwałość silników elektrycznych (z wyjątkiem baterii);</w:t>
      </w:r>
    </w:p>
    <w:p w14:paraId="271A8FD1" w14:textId="36757593" w:rsidR="007E69E5" w:rsidRPr="00821AF6" w:rsidRDefault="007E69E5" w:rsidP="00F1738F">
      <w:pPr>
        <w:pStyle w:val="Akapitzlist"/>
        <w:numPr>
          <w:ilvl w:val="0"/>
          <w:numId w:val="15"/>
        </w:numPr>
        <w:spacing w:after="0" w:line="360" w:lineRule="auto"/>
        <w:ind w:left="284"/>
        <w:jc w:val="both"/>
        <w:rPr>
          <w:rFonts w:ascii="Tahoma" w:hAnsi="Tahoma" w:cs="Tahoma"/>
        </w:rPr>
      </w:pPr>
      <w:r w:rsidRPr="00821AF6">
        <w:rPr>
          <w:rFonts w:ascii="Tahoma" w:hAnsi="Tahoma" w:cs="Tahoma"/>
        </w:rPr>
        <w:t xml:space="preserve">zmniejszenie niekorzystnego oddziaływania transportu publicznego na mieszkańców w silnie zurbanizowanym obszarze miasta, w związku z brakiem emisji zanieczyszczeń do atmosfery </w:t>
      </w:r>
      <w:r w:rsidRPr="00821AF6">
        <w:rPr>
          <w:rFonts w:ascii="Tahoma" w:hAnsi="Tahoma" w:cs="Tahoma"/>
        </w:rPr>
        <w:lastRenderedPageBreak/>
        <w:t xml:space="preserve">w miejscu użytkowania autobusów elektrycznych i zmniejszoną emisją zanieczyszczeń przez pojazdy </w:t>
      </w:r>
      <w:r w:rsidR="00CC5A56">
        <w:rPr>
          <w:rFonts w:ascii="Tahoma" w:hAnsi="Tahoma" w:cs="Tahoma"/>
        </w:rPr>
        <w:t>zasilane CNG</w:t>
      </w:r>
      <w:r w:rsidRPr="00821AF6">
        <w:rPr>
          <w:rFonts w:ascii="Tahoma" w:hAnsi="Tahoma" w:cs="Tahoma"/>
        </w:rPr>
        <w:t>;</w:t>
      </w:r>
    </w:p>
    <w:p w14:paraId="410C18C5" w14:textId="23D6FB32" w:rsidR="007E69E5" w:rsidRPr="00821AF6" w:rsidRDefault="007E69E5" w:rsidP="00F1738F">
      <w:pPr>
        <w:pStyle w:val="Akapitzlist"/>
        <w:numPr>
          <w:ilvl w:val="0"/>
          <w:numId w:val="15"/>
        </w:numPr>
        <w:spacing w:after="0" w:line="360" w:lineRule="auto"/>
        <w:ind w:left="284"/>
        <w:jc w:val="both"/>
        <w:rPr>
          <w:rFonts w:ascii="Tahoma" w:hAnsi="Tahoma" w:cs="Tahoma"/>
        </w:rPr>
      </w:pPr>
      <w:r w:rsidRPr="00821AF6">
        <w:rPr>
          <w:rFonts w:ascii="Tahoma" w:hAnsi="Tahoma" w:cs="Tahoma"/>
        </w:rPr>
        <w:t>realizacja wytycznych zawartych w „Krajowych Ramach Polityki Rozwoju Infrastruktury Paliw Alternatywnych”.</w:t>
      </w:r>
    </w:p>
    <w:p w14:paraId="2E02082C" w14:textId="1919A8A1" w:rsidR="002B3A06" w:rsidRPr="00821AF6" w:rsidRDefault="002B3A06" w:rsidP="00F1738F">
      <w:r w:rsidRPr="00821AF6">
        <w:t xml:space="preserve">Nakłady finansowe na uruchomienie przewozów </w:t>
      </w:r>
      <w:r w:rsidR="00A507AE" w:rsidRPr="00821AF6">
        <w:t xml:space="preserve">bateryjnymi </w:t>
      </w:r>
      <w:r w:rsidRPr="00821AF6">
        <w:t>autobusami elektrycznymi związane są nie tylko z wysokim kosztem zakupu pojazdów, ale także ze znacznymi dodatkowymi wydatkami na infrastrukturę służącą do ich zasilania. Z drugiej strony, w wyniku niższych kosztów zakupu energii elektrycznej niż oleju napędowego, możliwe są do osiągnięcia oszczędności wynikające z codziennej eksploatacji tego typu pojazdów.</w:t>
      </w:r>
    </w:p>
    <w:p w14:paraId="10B37E9F" w14:textId="2FDABFFA" w:rsidR="00E62606" w:rsidRDefault="00E62606" w:rsidP="00F1738F">
      <w:r w:rsidRPr="00821AF6">
        <w:t xml:space="preserve">Z kolei nakłady finansowe na uruchomienie przewozów autobusami elektrycznymi z </w:t>
      </w:r>
      <w:r>
        <w:t xml:space="preserve">wodorowymi </w:t>
      </w:r>
      <w:r w:rsidRPr="00821AF6">
        <w:t>ogniwami paliwowymi związane są z</w:t>
      </w:r>
      <w:r w:rsidR="00F1738F">
        <w:t>e</w:t>
      </w:r>
      <w:r w:rsidRPr="00821AF6">
        <w:t xml:space="preserve"> </w:t>
      </w:r>
      <w:r w:rsidR="00F1738F">
        <w:t>znacznie wyższym</w:t>
      </w:r>
      <w:r w:rsidRPr="00821AF6">
        <w:t xml:space="preserve"> kosztem zakupu pojazdów stosujących tą nowatorską technologię oraz z brakiem dostępu do stacji tankowania wodoru w Polsce. Koszt uruchomienia dedykowanej stacji tankowania wodoru jest bowiem wciąż kliku- lub nawet kilkunastokrotnie wyższy od kosztu wybudowania stacji szybkiego ładowania autobusów elektrycznych.</w:t>
      </w:r>
    </w:p>
    <w:p w14:paraId="0D0BF857" w14:textId="13743901" w:rsidR="002B3A06" w:rsidRPr="00821AF6" w:rsidRDefault="002B3A06" w:rsidP="00F1738F">
      <w:r w:rsidRPr="00821AF6">
        <w:t xml:space="preserve">Wprowadzony ustawą o elektromobilności obowiązek systematycznego zwiększania udziału autobusów zeroemisyjnych w strukturze taboru wykorzystywanego w komunikacji miejskiej, stwarza konieczność zmiany dotychczasowej praktyki nabywania nowych pojazdów zasilanych olejem napędowym na – w coraz większym zakresie – pojazdy zeroemisyjne. Zapisy tej ustawy wymagają, aby w miastach przekraczających 50 000 mieszkańców, począwszy od 1 stycznia 2028 r., flota pojazdów składała się przynajmniej w 30% z autobusów zeroemisyjnych. W skali kraju aktualnie udział takich autobusów w strukturze taboru operatorów komunikacji miejskiej jest </w:t>
      </w:r>
      <w:r w:rsidR="00727823" w:rsidRPr="00821AF6">
        <w:t>nadal niewielki</w:t>
      </w:r>
      <w:r w:rsidRPr="00821AF6">
        <w:t xml:space="preserve">, tymczasem </w:t>
      </w:r>
      <w:r w:rsidR="00493069" w:rsidRPr="00821AF6">
        <w:t xml:space="preserve">narzucone </w:t>
      </w:r>
      <w:r w:rsidRPr="00821AF6">
        <w:t>tempo wzrostu tego udziału, wyn</w:t>
      </w:r>
      <w:r w:rsidR="00727823" w:rsidRPr="00821AF6">
        <w:t>ikające z </w:t>
      </w:r>
      <w:r w:rsidRPr="00821AF6">
        <w:t>przepisów ustawy o elektromobilności, należy uznać za wysokie.</w:t>
      </w:r>
    </w:p>
    <w:p w14:paraId="5A902E1F" w14:textId="6729E1C4" w:rsidR="007E69E5" w:rsidRPr="00821AF6" w:rsidRDefault="007E69E5" w:rsidP="00F1738F">
      <w:r w:rsidRPr="00821AF6">
        <w:t xml:space="preserve">Zastosowanie CNG do zasilania autobusów determinowane jest głównie kosztem jego zakupu. Cena gazu w dużej mierze jest zależna od polityki skarbowej państwa. </w:t>
      </w:r>
      <w:r w:rsidR="00493069" w:rsidRPr="00821AF6">
        <w:rPr>
          <w:rFonts w:cs="Tahoma"/>
        </w:rPr>
        <w:t>Rozwój stacji z możliwością tankowania CNG i popularyzacji gazu z</w:t>
      </w:r>
      <w:r w:rsidR="002766DF" w:rsidRPr="00821AF6">
        <w:rPr>
          <w:rFonts w:cs="Tahoma"/>
        </w:rPr>
        <w:t xml:space="preserve">iemnego </w:t>
      </w:r>
      <w:r w:rsidR="00493069" w:rsidRPr="00821AF6">
        <w:rPr>
          <w:rFonts w:cs="Tahoma"/>
        </w:rPr>
        <w:t>jako paliwa został zahamowany okresowym wprowadzeniem w 2013 r. akcyzy na to paliwo (w wysokości 0,34 zł/m</w:t>
      </w:r>
      <w:r w:rsidR="00493069" w:rsidRPr="00821AF6">
        <w:rPr>
          <w:rFonts w:cs="Tahoma"/>
          <w:vertAlign w:val="superscript"/>
        </w:rPr>
        <w:t>3</w:t>
      </w:r>
      <w:r w:rsidR="00493069" w:rsidRPr="00821AF6">
        <w:rPr>
          <w:rFonts w:cs="Tahoma"/>
        </w:rPr>
        <w:t xml:space="preserve">), zniesionej dopiero w </w:t>
      </w:r>
      <w:r w:rsidR="002766DF" w:rsidRPr="00821AF6">
        <w:rPr>
          <w:rFonts w:cs="Tahoma"/>
        </w:rPr>
        <w:t xml:space="preserve">II kwartale </w:t>
      </w:r>
      <w:r w:rsidR="00493069" w:rsidRPr="00821AF6">
        <w:rPr>
          <w:rFonts w:cs="Tahoma"/>
        </w:rPr>
        <w:t>2020 r.</w:t>
      </w:r>
      <w:r w:rsidR="002766DF" w:rsidRPr="00821AF6">
        <w:rPr>
          <w:rFonts w:cs="Tahoma"/>
        </w:rPr>
        <w:t xml:space="preserve"> </w:t>
      </w:r>
      <w:r w:rsidR="00000C70" w:rsidRPr="00821AF6">
        <w:rPr>
          <w:rFonts w:cs="Tahoma"/>
        </w:rPr>
        <w:t xml:space="preserve">Nie </w:t>
      </w:r>
      <w:r w:rsidRPr="00821AF6">
        <w:t xml:space="preserve">bez znaczenia jest też fakt, że cena gazu ustalana jest przez jego dystrybutora – monopolistę – </w:t>
      </w:r>
      <w:r w:rsidR="00142637">
        <w:t xml:space="preserve">Grupę </w:t>
      </w:r>
      <w:r w:rsidR="008762EA">
        <w:t>Kapitało</w:t>
      </w:r>
      <w:r w:rsidR="00142637">
        <w:t>wą PGNiG</w:t>
      </w:r>
      <w:r w:rsidRPr="00821AF6">
        <w:t>.</w:t>
      </w:r>
    </w:p>
    <w:p w14:paraId="684646B5" w14:textId="30982A33" w:rsidR="007E69E5" w:rsidRPr="00821AF6" w:rsidRDefault="007E69E5" w:rsidP="00F1738F">
      <w:bookmarkStart w:id="48" w:name="_Hlk530911346"/>
      <w:r w:rsidRPr="00821AF6">
        <w:t>Przy eksploatacji taboru zasilanego CNG istotne jest także to, że właścicielem infrastruktury do tankowania autobusów gazowych nie jest operator przewozów, lecz</w:t>
      </w:r>
      <w:r w:rsidR="00727823" w:rsidRPr="00821AF6">
        <w:t xml:space="preserve"> </w:t>
      </w:r>
      <w:r w:rsidR="00142637">
        <w:t xml:space="preserve">jedna ze spółek Grupy </w:t>
      </w:r>
      <w:r w:rsidRPr="00821AF6">
        <w:t>PGNiG. W miastach eksploatujących takie pojazdy, pewne problemy z codzienną eksploatacją autobusów CNG wynikają z częstych awarii stacji tankowania, w szczególności braku dostatecznej liczby zapasowych sprężarek.</w:t>
      </w:r>
    </w:p>
    <w:p w14:paraId="24CECFF6" w14:textId="634CAA85" w:rsidR="00E61585" w:rsidRPr="00821AF6" w:rsidRDefault="00E61585" w:rsidP="00F1738F">
      <w:r w:rsidRPr="00821AF6">
        <w:lastRenderedPageBreak/>
        <w:t>Zasadność eksploatacji pojazdów zasilanych CNG i LNG w Polsce wzrosła także po wejściu w życie ustawy o elektromobilności, która stanowi podstawę do utworzenia ogólnopolskiej sieci tankowania pojazdów zasilanych tymi paliwami gazowymi.</w:t>
      </w:r>
      <w:r w:rsidR="00E62606">
        <w:t xml:space="preserve"> </w:t>
      </w:r>
      <w:r w:rsidR="00E62606" w:rsidRPr="00E62606">
        <w:t>Priorytetowe zamiary tworzenia sieci stacji tankowania gazu ziemnego dotyczą ich utworzenia przy drogach sieci TEN-T.</w:t>
      </w:r>
      <w:r w:rsidR="00E62606">
        <w:t xml:space="preserve"> </w:t>
      </w:r>
    </w:p>
    <w:p w14:paraId="566D5271" w14:textId="56F3E3CD" w:rsidR="00F72A33" w:rsidRDefault="00E61585" w:rsidP="00F1738F">
      <w:bookmarkStart w:id="49" w:name="_Hlk529809329"/>
      <w:r w:rsidRPr="00821AF6">
        <w:t xml:space="preserve">Istotną kwestią, przy podejmowaniu decyzji o eksploatacji taboru zasilanego CNG, jest dostępność </w:t>
      </w:r>
      <w:bookmarkStart w:id="50" w:name="_Hlk86698419"/>
      <w:r w:rsidRPr="00821AF6">
        <w:t xml:space="preserve">stacji tankowania </w:t>
      </w:r>
      <w:r w:rsidR="008C3100">
        <w:t>sprężonego gazu ziemnego</w:t>
      </w:r>
      <w:r w:rsidRPr="00821AF6">
        <w:t xml:space="preserve">. </w:t>
      </w:r>
      <w:bookmarkStart w:id="51" w:name="_Hlk86698382"/>
      <w:bookmarkEnd w:id="49"/>
      <w:bookmarkEnd w:id="50"/>
      <w:r w:rsidRPr="00821AF6">
        <w:t xml:space="preserve">W </w:t>
      </w:r>
      <w:r w:rsidR="00F1258F">
        <w:t>Rzeszowie</w:t>
      </w:r>
      <w:r w:rsidR="00AE0C28">
        <w:t xml:space="preserve"> </w:t>
      </w:r>
      <w:r w:rsidRPr="00821AF6">
        <w:t xml:space="preserve">funkcjonuje </w:t>
      </w:r>
      <w:r w:rsidR="002F60AB">
        <w:t xml:space="preserve">obecnie </w:t>
      </w:r>
      <w:r w:rsidRPr="00821AF6">
        <w:t>taka stacja</w:t>
      </w:r>
      <w:r w:rsidR="008C3100">
        <w:t xml:space="preserve"> na terenie zajezdni </w:t>
      </w:r>
      <w:r w:rsidR="00C73F5E">
        <w:t>MPK</w:t>
      </w:r>
      <w:r w:rsidR="00F1738F">
        <w:t>-Rzeszów</w:t>
      </w:r>
      <w:r w:rsidR="00C73F5E">
        <w:t xml:space="preserve"> </w:t>
      </w:r>
      <w:r w:rsidR="008C3100">
        <w:t>sp. z o.o.</w:t>
      </w:r>
      <w:r w:rsidRPr="00821AF6">
        <w:t xml:space="preserve">, </w:t>
      </w:r>
      <w:r w:rsidR="008C3100">
        <w:t xml:space="preserve">przy ul. </w:t>
      </w:r>
      <w:r w:rsidR="00F1738F">
        <w:t>Lubelskiej 52, z której korzystają także pojazdy operatora.</w:t>
      </w:r>
    </w:p>
    <w:bookmarkEnd w:id="51"/>
    <w:p w14:paraId="48D0A949" w14:textId="77777777" w:rsidR="00E62606" w:rsidRPr="00821AF6" w:rsidRDefault="00E62606" w:rsidP="00F1738F">
      <w:r w:rsidRPr="00821AF6">
        <w:t>Zainteresowanie pojazdami zasilanymi CNG zapewne wzrośnie po wprowadzeniu planowanych zmian do ustawy o elektromobilności, w wyniku implementacji w polskim systemie prawnym dyrektywy (UE) 2019/1161</w:t>
      </w:r>
      <w:r>
        <w:rPr>
          <w:rStyle w:val="Odwoanieprzypisudolnego"/>
        </w:rPr>
        <w:footnoteReference w:id="16"/>
      </w:r>
      <w:r w:rsidRPr="00821AF6">
        <w:t>.</w:t>
      </w:r>
    </w:p>
    <w:p w14:paraId="31ED1804" w14:textId="49B1647D" w:rsidR="00727823" w:rsidRPr="00821AF6" w:rsidRDefault="002766DF" w:rsidP="00200EE2">
      <w:r w:rsidRPr="00821AF6">
        <w:t xml:space="preserve">Warto </w:t>
      </w:r>
      <w:r w:rsidR="008C3100">
        <w:t>jednak</w:t>
      </w:r>
      <w:r w:rsidRPr="00821AF6">
        <w:t xml:space="preserve"> podkreślić, że u</w:t>
      </w:r>
      <w:r w:rsidR="00727823" w:rsidRPr="00821AF6">
        <w:t>stawa o</w:t>
      </w:r>
      <w:r w:rsidR="000944CF" w:rsidRPr="00821AF6">
        <w:t> </w:t>
      </w:r>
      <w:r w:rsidR="00727823" w:rsidRPr="00821AF6">
        <w:t xml:space="preserve">elektromobilności nie uznaje autobusów zasilanych CNG za zeroemisyjne, </w:t>
      </w:r>
      <w:r w:rsidRPr="00821AF6">
        <w:t xml:space="preserve">zatem </w:t>
      </w:r>
      <w:r w:rsidR="00727823" w:rsidRPr="00821AF6">
        <w:t xml:space="preserve">zastosowanie tego paliwa nie powoduje spełnienia wymogów </w:t>
      </w:r>
      <w:r w:rsidRPr="00821AF6">
        <w:t xml:space="preserve">określonego </w:t>
      </w:r>
      <w:r w:rsidR="00E61585" w:rsidRPr="00821AF6">
        <w:t xml:space="preserve">udziału taboru zeroemisyjnego we flocie obsługujących pojazdów, </w:t>
      </w:r>
      <w:r w:rsidRPr="00821AF6">
        <w:t>zawartych w przepisach tej ustawy.</w:t>
      </w:r>
    </w:p>
    <w:p w14:paraId="050A211D" w14:textId="77777777" w:rsidR="00A746C5" w:rsidRPr="00821AF6" w:rsidRDefault="00A746C5" w:rsidP="00200EE2">
      <w:bookmarkStart w:id="52" w:name="_Hlk529809488"/>
      <w:bookmarkEnd w:id="48"/>
      <w:r w:rsidRPr="00821AF6">
        <w:t>Napędy elektryczne stosowane są do napędzania pojazdów od początku historii rozwoju motoryzacji. Podstawowym problemem – bardzo ograniczającym ich upowszechnienie – był brak zasobników energii o dużej pojemności. Pojazdy elektryczne stosowane były w przewozach kolejowych, a w przewozach drogowych, w tym w komunikacji miejskiej – tylko tam, gdzie możliwe było ich stałe zasilanie z sieci trakcyjnej (metro, tramwaje, trolejbusy). Małe pojazdy elektryczne do przewozu osób stosowane były głównie jako wózki golfowe i wózki transportowe w przemyśle.</w:t>
      </w:r>
    </w:p>
    <w:p w14:paraId="06513771" w14:textId="2735E9A4" w:rsidR="00DA5EED" w:rsidRPr="00821AF6" w:rsidRDefault="00DA5EED" w:rsidP="00200EE2">
      <w:r w:rsidRPr="00821AF6">
        <w:t xml:space="preserve">Dostępnymi </w:t>
      </w:r>
      <w:r w:rsidR="007E69E5" w:rsidRPr="00821AF6">
        <w:t xml:space="preserve">obecnie na rynku </w:t>
      </w:r>
      <w:r w:rsidRPr="00821AF6">
        <w:t>autobusami zeroemisyjnymi – nieemitującymi gazów cieplarnianych</w:t>
      </w:r>
      <w:r w:rsidRPr="00821AF6">
        <w:rPr>
          <w:rFonts w:cs="Tahoma"/>
        </w:rPr>
        <w:t xml:space="preserve"> </w:t>
      </w:r>
      <w:r w:rsidRPr="00821AF6">
        <w:t xml:space="preserve">lub innych substancji objętych systemem zarządzania emisjami gazów cieplarnianych – są </w:t>
      </w:r>
      <w:r w:rsidR="007E69E5" w:rsidRPr="00821AF6">
        <w:t xml:space="preserve">pojazdy </w:t>
      </w:r>
      <w:r w:rsidRPr="00821AF6">
        <w:t>z napędem elektrycznym zasilane bateryjnie, z sieci zewnętrznej (trolejbusy), ze stacji doładowania różnych rodzajów lub w systemie mieszanym oraz autobusy elektryczne z wytwarzaniem energii w ogniwach paliwowych, ale tylko takich, dla których w efekcie spalania paliwa nie występuje emisja CO</w:t>
      </w:r>
      <w:r w:rsidRPr="00821AF6">
        <w:rPr>
          <w:vertAlign w:val="subscript"/>
        </w:rPr>
        <w:t>2</w:t>
      </w:r>
      <w:r w:rsidRPr="00821AF6">
        <w:t xml:space="preserve"> – co przy obecnym stanie zaawansowania techniki – w praktyce ogranicza je do autobusów z ogniwami paliwowymi zasilanymi wodorem (H</w:t>
      </w:r>
      <w:r w:rsidRPr="00821AF6">
        <w:rPr>
          <w:vertAlign w:val="subscript"/>
        </w:rPr>
        <w:t>2</w:t>
      </w:r>
      <w:r w:rsidRPr="00821AF6">
        <w:t>).</w:t>
      </w:r>
    </w:p>
    <w:p w14:paraId="6AD39AE8" w14:textId="364609C7" w:rsidR="00A746C5" w:rsidRPr="00821AF6" w:rsidRDefault="00A746C5" w:rsidP="00200EE2">
      <w:r w:rsidRPr="00821AF6">
        <w:t xml:space="preserve">Od lat stosowanym napędem elektrycznym wykorzystywanym w pojazdach innych niż szynowe, jest napęd zasilany z sieci napowietrznej – system zwany trolejbusowym. </w:t>
      </w:r>
      <w:r w:rsidR="00DA5EED" w:rsidRPr="00821AF6">
        <w:t xml:space="preserve">Zgodnie </w:t>
      </w:r>
      <w:r w:rsidR="00DA5EED" w:rsidRPr="00821AF6">
        <w:lastRenderedPageBreak/>
        <w:t>z</w:t>
      </w:r>
      <w:r w:rsidR="002766DF" w:rsidRPr="00821AF6">
        <w:t> </w:t>
      </w:r>
      <w:r w:rsidR="00DA5EED" w:rsidRPr="00821AF6">
        <w:t xml:space="preserve">definicją zawartą w ustawie Prawo o ruchu drogowym, trolejbusem jest autobus przystosowany do zasilania energią elektryczną z sieci trakcyjnej. </w:t>
      </w:r>
      <w:r w:rsidRPr="00821AF6">
        <w:t>Trolejbus jest, zgodnie z ustawą o elektromobilności, pojazdem zeroemisyjnym.</w:t>
      </w:r>
    </w:p>
    <w:p w14:paraId="2343CBCF" w14:textId="2B9CC090" w:rsidR="00A746C5" w:rsidRPr="00821AF6" w:rsidRDefault="00A746C5" w:rsidP="00200EE2">
      <w:r w:rsidRPr="00821AF6">
        <w:t xml:space="preserve">Obecnie w Polsce są trzy sieci komunikacyjne wykorzystujące w transporcie miejskim trolejbusy – Gdynia (z Sopotem), Lublin i Tychy. </w:t>
      </w:r>
      <w:r w:rsidR="00DA5EED" w:rsidRPr="00821AF6">
        <w:t xml:space="preserve">Głównym ograniczeniem rozwoju trolejbusów w komunikacji miejskiej jest wysoki koszt budowy sieci zasilającej wzdłuż trasy linii. </w:t>
      </w:r>
      <w:r w:rsidRPr="00821AF6">
        <w:t>Sieć napowietrzna rozwieszona jest nad torem jazdy trolejbusu na odciągach zawieszanych na słupach – albo specjalnie dedykowanych, albo też jednocześnie oświetleniowych. Rozstaw takich słupów jest przeciętnie o 50% mniejszy niż słupów tylko oświetleniowych, a ciężka sieć wymaga masywnej ich budowy. W miejscach skrzyżowań i rozjazdów podwieszone są dodatkowo zwrotnice, krzyżówki, zjazdówki, prowadnice lub impulsatory. Powoduje to powstanie nad ulicą plątaniny przewodów i odciągów, co negatywnie wpływa na estetykę miasta i nie wszędzie jest akceptowane.</w:t>
      </w:r>
    </w:p>
    <w:p w14:paraId="74C89FB3" w14:textId="71E145D2" w:rsidR="00DA5EED" w:rsidRPr="00821AF6" w:rsidRDefault="00DA5EED" w:rsidP="00200EE2">
      <w:r w:rsidRPr="00821AF6">
        <w:t>Pobór energii z sieci trolejbusowej lub ze stacji je zasilających, może natomiast stanowić dobre źródło do zasilania ładowarek dla pojazdów czerpiących energię podczas</w:t>
      </w:r>
      <w:r w:rsidR="00FC3496" w:rsidRPr="00821AF6">
        <w:t xml:space="preserve"> ruchu wyłącznie z baterii. Doś</w:t>
      </w:r>
      <w:r w:rsidRPr="00821AF6">
        <w:t xml:space="preserve">wiadczenia związane z napędzaniem drogowych pojazdów transportu miejskiego energią elektryczną (trolejbusów) przekładają się na wzmożone zainteresowanie autobusami elektrycznymi. Obecnie </w:t>
      </w:r>
      <w:r w:rsidR="002766DF" w:rsidRPr="00821AF6">
        <w:t>wprowadzane są one do eksploatacji w</w:t>
      </w:r>
      <w:r w:rsidRPr="00821AF6">
        <w:t xml:space="preserve"> każdym z miast w Polsce posiadających sieć komunikacji trolejbusowej, tj. w Gdyni, Lublinie i Tychach. Na obecnym etapie rozwoju technologii autobusów elektrycznych należy zatem uznać, że trolejbusy są pojazdami komplementarnymi wobec autobusów elektrycznych, a ich eksploatacja stanowi okoliczność sprzyjającą zakupowi autobusów elektrycznych.</w:t>
      </w:r>
    </w:p>
    <w:p w14:paraId="378F5802" w14:textId="785E175C" w:rsidR="007E1E6D" w:rsidRDefault="007E1E6D" w:rsidP="00200EE2">
      <w:r w:rsidRPr="00821AF6">
        <w:t xml:space="preserve">Istotną wadą wprowadzenia trolejbusów do eksploatacji jest długotrwałość procesu budowy sieci trakcyjnej i jej zasilania. Budowa taka wymaga znaczącej ingerencji w infrastrukturę okołodrogową, </w:t>
      </w:r>
      <w:r w:rsidR="002766DF" w:rsidRPr="00821AF6">
        <w:t xml:space="preserve">dlatego </w:t>
      </w:r>
      <w:r w:rsidRPr="00821AF6">
        <w:t xml:space="preserve">czas uzyskania niezbędnych uzgodnień jest znacznie dłuższy niż czas </w:t>
      </w:r>
      <w:r w:rsidR="002766DF" w:rsidRPr="00821AF6">
        <w:t xml:space="preserve">wymagany </w:t>
      </w:r>
      <w:r w:rsidRPr="00821AF6">
        <w:t>na budowę punktowych stacji zasilania dla autobusów elektrycznych pantografowych.</w:t>
      </w:r>
    </w:p>
    <w:p w14:paraId="0A9150E8" w14:textId="67D5A69F" w:rsidR="00A746C5" w:rsidRPr="00821AF6" w:rsidRDefault="00A746C5" w:rsidP="00200EE2">
      <w:r w:rsidRPr="00821AF6">
        <w:t xml:space="preserve">W </w:t>
      </w:r>
      <w:r w:rsidR="002766DF" w:rsidRPr="00821AF6">
        <w:t>Lublinie ob</w:t>
      </w:r>
      <w:r w:rsidRPr="00821AF6">
        <w:t xml:space="preserve">ecnie wykorzystywane są w codziennej pracy eksploatacyjnej na części odcinków tras dwa rodzaje trolejbusów z dodatkowym napędem: hybrydowe – z agregatem spalinowym albo wyposażone w </w:t>
      </w:r>
      <w:r w:rsidR="002766DF" w:rsidRPr="00821AF6">
        <w:t xml:space="preserve">dodatkowe zasobniki energii – </w:t>
      </w:r>
      <w:r w:rsidRPr="00821AF6">
        <w:t xml:space="preserve">baterie litowo-jonowe </w:t>
      </w:r>
      <w:r w:rsidR="002766DF" w:rsidRPr="00821AF6">
        <w:t>lub</w:t>
      </w:r>
      <w:r w:rsidRPr="00821AF6">
        <w:t xml:space="preserve"> litowo-polimerowe. W pierwszym typie pojazdów, agregat poprzez generator zasila elektryczne silniki trakcyjne, w drugim – baterie służą jako zasobniki energii na okres pracy bez zasilania sieciowego i ponownie są ładowane podczas jazdy trolejbusu pod siecią. Trolejbusy te przejeżdżają pewien odcinek trasy bez zasilania sieciowego, włączając się jednak do sieci na większości trasy linii.</w:t>
      </w:r>
    </w:p>
    <w:p w14:paraId="03D977A7" w14:textId="360BF88D" w:rsidR="00A746C5" w:rsidRPr="00821AF6" w:rsidRDefault="00A746C5" w:rsidP="00200EE2">
      <w:r w:rsidRPr="00821AF6">
        <w:lastRenderedPageBreak/>
        <w:t xml:space="preserve">Trolejbusy z agregatem spalinowym trudno uznać za bezemisyjne, choć do </w:t>
      </w:r>
      <w:r w:rsidR="002766DF" w:rsidRPr="00821AF6">
        <w:t xml:space="preserve">tej pory </w:t>
      </w:r>
      <w:r w:rsidRPr="00821AF6">
        <w:t>są uznawane w ustawie o elektromobilności za pojazd zeroemisyjny. Ma to ulec zmianie dopiero po</w:t>
      </w:r>
      <w:r w:rsidR="002766DF" w:rsidRPr="00821AF6">
        <w:t> </w:t>
      </w:r>
      <w:r w:rsidRPr="00821AF6">
        <w:t>przyjęciu przygotowywanej nowelizacji ustawy o elektromobilności.</w:t>
      </w:r>
    </w:p>
    <w:p w14:paraId="48CFEAF4" w14:textId="50939D62" w:rsidR="00A746C5" w:rsidRPr="00821AF6" w:rsidRDefault="00A746C5" w:rsidP="00200EE2">
      <w:r w:rsidRPr="00821AF6">
        <w:t xml:space="preserve">Podobnie w Gdyni, od wielu lat dodatkowy napęd bateryjny wykorzystywany jest do krótkich przejazdów trolejbusów podczas remontów dróg i awaryjnych objazdów. Od 2015 r. trolejbusy wyposażone w baterie litowo-jonowe wykorzystywane są do liniowej eksploatacji na krótkich odcinkach niewyposażonych w sieć trakcyjną. </w:t>
      </w:r>
      <w:bookmarkStart w:id="53" w:name="_Hlk81055409"/>
      <w:r w:rsidRPr="00821AF6">
        <w:t xml:space="preserve">Obecnie w Gdyni </w:t>
      </w:r>
      <w:r w:rsidR="002766DF" w:rsidRPr="00821AF6">
        <w:t>eksploatowane są także pojazdy z podwójną homologacją, tzw. supertrolejbusy</w:t>
      </w:r>
      <w:r w:rsidR="00AD23B9" w:rsidRPr="00821AF6">
        <w:t>,</w:t>
      </w:r>
      <w:r w:rsidR="002766DF" w:rsidRPr="00821AF6">
        <w:t xml:space="preserve"> marki </w:t>
      </w:r>
      <w:r w:rsidRPr="00821AF6">
        <w:t xml:space="preserve">Solaris Trollino 12 </w:t>
      </w:r>
      <w:proofErr w:type="spellStart"/>
      <w:r w:rsidR="00F72A33">
        <w:t>e</w:t>
      </w:r>
      <w:r w:rsidRPr="00821AF6">
        <w:t>lectric</w:t>
      </w:r>
      <w:proofErr w:type="spellEnd"/>
      <w:r w:rsidRPr="00821AF6">
        <w:t>, posiadające homologację zarówno autobusu elektrycznego, jak i trolejbusu</w:t>
      </w:r>
      <w:r w:rsidR="002766DF" w:rsidRPr="00821AF6">
        <w:t xml:space="preserve">. Pojazdy te kierowane są do obsługi trasy mniej niż w połowie długości </w:t>
      </w:r>
      <w:r w:rsidRPr="00821AF6">
        <w:t xml:space="preserve">z siecią trakcyjną. </w:t>
      </w:r>
      <w:r w:rsidR="002766DF" w:rsidRPr="00821AF6">
        <w:t xml:space="preserve">Supertrolejbusy </w:t>
      </w:r>
      <w:r w:rsidRPr="00821AF6">
        <w:t xml:space="preserve">ładowane są podczas przejazdu pod siecią, a pozostałe odcinki trasy pokonują jako autobusy elektryczne </w:t>
      </w:r>
      <w:r w:rsidR="002766DF" w:rsidRPr="00821AF6">
        <w:t xml:space="preserve">– </w:t>
      </w:r>
      <w:r w:rsidRPr="00821AF6">
        <w:t>korzystając ze zmagazynowanej energii. Mogą być także ewentualnie doładowywane poprzez złącze plug-in, np. na pętli lub zajezdni.</w:t>
      </w:r>
    </w:p>
    <w:bookmarkEnd w:id="53"/>
    <w:p w14:paraId="7C4ABFD5" w14:textId="7209B831" w:rsidR="009F4B88" w:rsidRDefault="002766DF" w:rsidP="00200EE2">
      <w:r w:rsidRPr="00821AF6">
        <w:t xml:space="preserve">W świetle obowiązujących przepisów za </w:t>
      </w:r>
      <w:r w:rsidR="009F4B88" w:rsidRPr="00821AF6">
        <w:t>zeroemisyjny uważa się trolejbus lub bateryjny autobus elektryczny z ogrzewaniem zasilanym olejem napędowym lub paliwem gazowym, pomimo iż pojazd taki emituje jednak pewne zanieczyszczenia.</w:t>
      </w:r>
    </w:p>
    <w:p w14:paraId="7593F020" w14:textId="3F5A4B3F" w:rsidR="00F05811" w:rsidRDefault="00F05811" w:rsidP="00F05811">
      <w:r>
        <w:t xml:space="preserve">Opracowana w 2018 r. </w:t>
      </w:r>
      <w:r w:rsidR="00670B28">
        <w:t>„</w:t>
      </w:r>
      <w:r>
        <w:t xml:space="preserve">Analiza kosztów i korzyści </w:t>
      </w:r>
      <w:r w:rsidR="00670B28">
        <w:t>związanych w wykorzystaniem przy świadczeniu usług komunikacji miejskiej autobusów zeroemisyjnych i napędzanych gazem ziemnym dla miasta Rzeszowa” przywołuje zaktualizowany w październiku 2017 r. dokument „Analiza potrzeb w zakresie wymiany taboru autobusowego przez Gminę Miasto Rzeszów w</w:t>
      </w:r>
      <w:r w:rsidR="00D86625">
        <w:t> </w:t>
      </w:r>
      <w:r w:rsidR="00670B28">
        <w:t>projektach realizowanych w latach 2014-2023. Analiza Wielokryterialna przechodzenia na</w:t>
      </w:r>
      <w:r w:rsidR="00D86625">
        <w:t> </w:t>
      </w:r>
      <w:r w:rsidR="00670B28">
        <w:t>ekologiczny tabor”. Dokument ten został przygotowany przez Miasto d</w:t>
      </w:r>
      <w:r>
        <w:t xml:space="preserve">la potrzeb </w:t>
      </w:r>
      <w:r w:rsidR="00670B28">
        <w:t>opracowania</w:t>
      </w:r>
      <w:r>
        <w:t xml:space="preserve"> wniosków aplikacyjnych do skorzystania ze środków pomocowych Programu Operacyjnego Polska Wschodnia w ramach horyzontu finansowania 2014-2020</w:t>
      </w:r>
      <w:r w:rsidR="00670B28">
        <w:t>.</w:t>
      </w:r>
    </w:p>
    <w:p w14:paraId="6A9D77B8" w14:textId="1FBD7C82" w:rsidR="00670B28" w:rsidRDefault="00670B28" w:rsidP="00F05811">
      <w:r>
        <w:t xml:space="preserve">W powyższym opracowaniu analizie poddano zakup 130 pojazdów dla potrzeb komunikacji miejskiej w różnych konfiguracjach napędów: zasilane CNG, zasilane olejem napędowym i CNG, zasilane olejem napędowym i hybrydowe, zasilane olejem napędowym i elektryczne, zasilane CNG i elektryczne oraz </w:t>
      </w:r>
      <w:r w:rsidR="00A366A0">
        <w:t xml:space="preserve">mieszane – </w:t>
      </w:r>
      <w:r>
        <w:t>zasilane olejem napędowym, CNG, elektryczne i</w:t>
      </w:r>
      <w:r w:rsidR="00D86625">
        <w:t> </w:t>
      </w:r>
      <w:r>
        <w:t xml:space="preserve">hybrydowe. </w:t>
      </w:r>
      <w:r w:rsidRPr="00670B28">
        <w:t>Analizę przeprowadzono uwzględniając cztery grupy kryteriów: ekonomiczne, środowiskowe, techniczne i społeczne, przy czym największą wagę przyznano kryteriom środowiskowym.</w:t>
      </w:r>
      <w:r w:rsidR="00A366A0">
        <w:t xml:space="preserve"> Pod względem ekonomicznym za najkorzystniejszy uznano wariant z taborem zasilanym olejem napędowym i CNG, a pod względem społecznym wariant z napędami mieszanymi, który wybrano do realizacji. Wariant ten przewidywał zakup 60 autobusów zasilanych </w:t>
      </w:r>
      <w:r w:rsidR="00A366A0">
        <w:lastRenderedPageBreak/>
        <w:t xml:space="preserve">olejem napędowym, 40 autobusów zasilanych CNG, 20 autobusów hybrydowych oraz 10 elektrycznych. Analiza ta posłużyła do wyboru rodzaju napędu autobusów nabywanych w ramach trzech projektów inwestycyjnych ze wparciem ze środków pomocowych Unii Europejskiej: </w:t>
      </w:r>
    </w:p>
    <w:p w14:paraId="7E3B847F" w14:textId="1963DDF6" w:rsidR="00A366A0" w:rsidRPr="00070E17" w:rsidRDefault="00070E17" w:rsidP="00D90830">
      <w:pPr>
        <w:pStyle w:val="Akapitzlist"/>
        <w:numPr>
          <w:ilvl w:val="0"/>
          <w:numId w:val="15"/>
        </w:numPr>
        <w:spacing w:after="0" w:line="360" w:lineRule="auto"/>
        <w:ind w:left="284"/>
        <w:jc w:val="both"/>
        <w:rPr>
          <w:rFonts w:ascii="Tahoma" w:hAnsi="Tahoma" w:cs="Tahoma"/>
        </w:rPr>
      </w:pPr>
      <w:r>
        <w:rPr>
          <w:rFonts w:ascii="Tahoma" w:hAnsi="Tahoma" w:cs="Tahoma"/>
        </w:rPr>
        <w:t>„</w:t>
      </w:r>
      <w:r w:rsidR="007C088A" w:rsidRPr="00070E17">
        <w:rPr>
          <w:rFonts w:ascii="Tahoma" w:hAnsi="Tahoma" w:cs="Tahoma"/>
        </w:rPr>
        <w:t>Rozwój systemu transportu publicznego w Rzeszowie</w:t>
      </w:r>
      <w:r>
        <w:rPr>
          <w:rFonts w:ascii="Tahoma" w:hAnsi="Tahoma" w:cs="Tahoma"/>
        </w:rPr>
        <w:t>”</w:t>
      </w:r>
      <w:r w:rsidRPr="00070E17">
        <w:rPr>
          <w:rFonts w:ascii="Tahoma" w:hAnsi="Tahoma" w:cs="Tahoma"/>
        </w:rPr>
        <w:t xml:space="preserve"> – </w:t>
      </w:r>
      <w:r w:rsidR="007C088A" w:rsidRPr="00070E17">
        <w:rPr>
          <w:rFonts w:ascii="Tahoma" w:hAnsi="Tahoma" w:cs="Tahoma"/>
        </w:rPr>
        <w:t>w ramach którego zakupiono 40 autobusów zasilanych olejem napędowym – 10 szt. Autosan Sancity 12 LF oraz 30 szt. Solaris Urbino 18</w:t>
      </w:r>
      <w:r w:rsidR="00DA65C7" w:rsidRPr="00070E17">
        <w:rPr>
          <w:rFonts w:ascii="Tahoma" w:hAnsi="Tahoma" w:cs="Tahoma"/>
        </w:rPr>
        <w:t>, a także</w:t>
      </w:r>
      <w:r w:rsidR="007C088A" w:rsidRPr="00070E17">
        <w:rPr>
          <w:rFonts w:ascii="Tahoma" w:hAnsi="Tahoma" w:cs="Tahoma"/>
        </w:rPr>
        <w:t xml:space="preserve"> 10 bateryjnych autobusów elektrycznych Solaris Urbino 12 </w:t>
      </w:r>
      <w:proofErr w:type="spellStart"/>
      <w:r w:rsidR="007C088A" w:rsidRPr="00070E17">
        <w:rPr>
          <w:rFonts w:ascii="Tahoma" w:hAnsi="Tahoma" w:cs="Tahoma"/>
        </w:rPr>
        <w:t>electric</w:t>
      </w:r>
      <w:proofErr w:type="spellEnd"/>
      <w:r w:rsidR="007C088A" w:rsidRPr="00070E17">
        <w:rPr>
          <w:rFonts w:ascii="Tahoma" w:hAnsi="Tahoma" w:cs="Tahoma"/>
        </w:rPr>
        <w:t>, doładowywanych na pętlach poprzez odwrócony pantograf;</w:t>
      </w:r>
    </w:p>
    <w:p w14:paraId="71AF8051" w14:textId="07DB6F3C" w:rsidR="00DA65C7" w:rsidRPr="00070E17" w:rsidRDefault="00070E17" w:rsidP="001178C0">
      <w:pPr>
        <w:pStyle w:val="Akapitzlist"/>
        <w:numPr>
          <w:ilvl w:val="0"/>
          <w:numId w:val="15"/>
        </w:numPr>
        <w:spacing w:after="0" w:line="360" w:lineRule="auto"/>
        <w:ind w:left="284"/>
        <w:jc w:val="both"/>
        <w:rPr>
          <w:rFonts w:ascii="Tahoma" w:hAnsi="Tahoma" w:cs="Tahoma"/>
        </w:rPr>
      </w:pPr>
      <w:r w:rsidRPr="00070E17">
        <w:rPr>
          <w:rFonts w:ascii="Tahoma" w:hAnsi="Tahoma" w:cs="Tahoma"/>
        </w:rPr>
        <w:t>„</w:t>
      </w:r>
      <w:r w:rsidR="007C088A" w:rsidRPr="00070E17">
        <w:rPr>
          <w:rFonts w:ascii="Tahoma" w:hAnsi="Tahoma" w:cs="Tahoma"/>
        </w:rPr>
        <w:t>Integracja różnych form publicznego transportu zbiorowego w Rzeszowie</w:t>
      </w:r>
      <w:r w:rsidRPr="00070E17">
        <w:rPr>
          <w:rFonts w:ascii="Tahoma" w:hAnsi="Tahoma" w:cs="Tahoma"/>
        </w:rPr>
        <w:t>” –</w:t>
      </w:r>
      <w:r w:rsidR="00DA65C7" w:rsidRPr="00070E17">
        <w:rPr>
          <w:rFonts w:ascii="Tahoma" w:hAnsi="Tahoma" w:cs="Tahoma"/>
        </w:rPr>
        <w:t>w ramach którego zakupiono 60 autobusów Autosan Sancity 12LF CNG;</w:t>
      </w:r>
    </w:p>
    <w:p w14:paraId="0825FA15" w14:textId="5BEC5193" w:rsidR="00DA65C7" w:rsidRPr="002E7D82" w:rsidRDefault="002E7D82" w:rsidP="00D845D7">
      <w:pPr>
        <w:pStyle w:val="Akapitzlist"/>
        <w:numPr>
          <w:ilvl w:val="0"/>
          <w:numId w:val="15"/>
        </w:numPr>
        <w:spacing w:after="0" w:line="360" w:lineRule="auto"/>
        <w:ind w:left="284"/>
        <w:jc w:val="both"/>
        <w:rPr>
          <w:rFonts w:ascii="Tahoma" w:hAnsi="Tahoma" w:cs="Tahoma"/>
        </w:rPr>
      </w:pPr>
      <w:r w:rsidRPr="002E7D82">
        <w:rPr>
          <w:rFonts w:ascii="Tahoma" w:hAnsi="Tahoma" w:cs="Tahoma"/>
        </w:rPr>
        <w:t>„</w:t>
      </w:r>
      <w:r w:rsidR="00DA65C7" w:rsidRPr="002E7D82">
        <w:rPr>
          <w:rFonts w:ascii="Tahoma" w:hAnsi="Tahoma" w:cs="Tahoma"/>
        </w:rPr>
        <w:t>Rozbudowa systemu transportu publicznego w Rzeszowie</w:t>
      </w:r>
      <w:r w:rsidRPr="002E7D82">
        <w:rPr>
          <w:rFonts w:ascii="Tahoma" w:hAnsi="Tahoma" w:cs="Tahoma"/>
        </w:rPr>
        <w:t xml:space="preserve">” – </w:t>
      </w:r>
      <w:r w:rsidR="00DA65C7" w:rsidRPr="002E7D82">
        <w:rPr>
          <w:rFonts w:ascii="Tahoma" w:hAnsi="Tahoma" w:cs="Tahoma"/>
        </w:rPr>
        <w:t xml:space="preserve">w ramach którego planuje się zakup </w:t>
      </w:r>
      <w:r w:rsidR="00573560" w:rsidRPr="002E7D82">
        <w:rPr>
          <w:rFonts w:ascii="Tahoma" w:hAnsi="Tahoma" w:cs="Tahoma"/>
        </w:rPr>
        <w:t>2</w:t>
      </w:r>
      <w:r w:rsidR="00DA65C7" w:rsidRPr="002E7D82">
        <w:rPr>
          <w:rFonts w:ascii="Tahoma" w:hAnsi="Tahoma" w:cs="Tahoma"/>
        </w:rPr>
        <w:t xml:space="preserve"> autobusów zasilanych CNG klasy mega, 16 autobusów zasilanych CNG klasy maxi oraz 2 bateryjnych autobusów elektrycznych klasy mega, dostosowanych do zasilania na</w:t>
      </w:r>
      <w:r>
        <w:rPr>
          <w:rFonts w:ascii="Tahoma" w:hAnsi="Tahoma" w:cs="Tahoma"/>
        </w:rPr>
        <w:t> </w:t>
      </w:r>
      <w:r w:rsidR="00DA65C7" w:rsidRPr="002E7D82">
        <w:rPr>
          <w:rFonts w:ascii="Tahoma" w:hAnsi="Tahoma" w:cs="Tahoma"/>
        </w:rPr>
        <w:t>pętli za pomocą odwróconego pantografu.</w:t>
      </w:r>
    </w:p>
    <w:p w14:paraId="16D66B00" w14:textId="16353C72" w:rsidR="00AF4DF6" w:rsidRDefault="00AF4DF6" w:rsidP="00DA65C7">
      <w:bookmarkStart w:id="54" w:name="_Hlk85143748"/>
      <w:r>
        <w:t>W wyniku realizacji powyższych trzech projektów Miasto nabędzie łącznie 130 autobusów, w tym: 40 zasilanych olejem napę</w:t>
      </w:r>
      <w:r w:rsidR="00573560">
        <w:t>dowym, 78</w:t>
      </w:r>
      <w:r>
        <w:t xml:space="preserve"> zasil</w:t>
      </w:r>
      <w:r w:rsidR="00573560">
        <w:t>anych CNG oraz 12 elektrycznych wyposażonych w baterie doładowywane na pętli poprzez odwrócony pantograf.</w:t>
      </w:r>
    </w:p>
    <w:p w14:paraId="200213A3" w14:textId="23A6660A" w:rsidR="00DA65C7" w:rsidRDefault="00DA65C7" w:rsidP="00DA65C7">
      <w:r>
        <w:t xml:space="preserve">Miasto Rzeszów – z uwagi na stwierdzony, w przywołanej </w:t>
      </w:r>
      <w:r w:rsidR="00F9661D">
        <w:t>„</w:t>
      </w:r>
      <w:r>
        <w:t xml:space="preserve">Analizie kosztów i korzyści </w:t>
      </w:r>
      <w:r w:rsidR="00F9661D">
        <w:t xml:space="preserve">…” </w:t>
      </w:r>
      <w:r>
        <w:t xml:space="preserve">z 2018 r., brak korzyści ze stosowania taboru zeroemisyjnego – nie miało obowiązku planowania zakupów autobusów zeroemisyjnych. Zakup takich pojazdów nastąpił w wyniku realizacji wybranej strategii, </w:t>
      </w:r>
      <w:r w:rsidR="00F9661D">
        <w:t>zdefiniowanej</w:t>
      </w:r>
      <w:r>
        <w:t xml:space="preserve"> w opisanej </w:t>
      </w:r>
      <w:r w:rsidR="00F9661D">
        <w:t xml:space="preserve">w niniejszym punkcie </w:t>
      </w:r>
      <w:r>
        <w:t>„Analizie potrzeb …”.</w:t>
      </w:r>
    </w:p>
    <w:p w14:paraId="08937A57" w14:textId="75103584" w:rsidR="00BC79CD" w:rsidRPr="00821AF6" w:rsidRDefault="00627AAF" w:rsidP="00DA65C7">
      <w:r>
        <w:t xml:space="preserve">Z uwagi na brak w </w:t>
      </w:r>
      <w:r w:rsidR="00F1258F">
        <w:t>Rzeszowie</w:t>
      </w:r>
      <w:r>
        <w:t xml:space="preserve"> sieci trolejbusowej i bardzo wysokie koszty jej uruchomienia od </w:t>
      </w:r>
      <w:r w:rsidR="005045A1">
        <w:t>p</w:t>
      </w:r>
      <w:r>
        <w:t xml:space="preserve">odstaw, w </w:t>
      </w:r>
      <w:r w:rsidR="00BC79CD" w:rsidRPr="00821AF6">
        <w:t xml:space="preserve">celu spełnienia </w:t>
      </w:r>
      <w:r w:rsidR="00322BD9">
        <w:t xml:space="preserve">w wymaganym krótkim czasie </w:t>
      </w:r>
      <w:r w:rsidR="00BC79CD" w:rsidRPr="00821AF6">
        <w:t xml:space="preserve">wymogów ustawy o elektromobilności, </w:t>
      </w:r>
      <w:bookmarkEnd w:id="54"/>
      <w:r w:rsidR="00BC79CD" w:rsidRPr="00821AF6">
        <w:t xml:space="preserve">Miasto </w:t>
      </w:r>
      <w:r w:rsidR="00C73F5E">
        <w:t xml:space="preserve">Rzeszów </w:t>
      </w:r>
      <w:r w:rsidR="00BC79CD" w:rsidRPr="00821AF6">
        <w:t>może rozważyć zastosowanie jedynie dwóch typów napędów autobusów</w:t>
      </w:r>
      <w:r>
        <w:t xml:space="preserve"> zapewniających zeroemisyjność</w:t>
      </w:r>
      <w:r w:rsidR="00BC79CD" w:rsidRPr="00821AF6">
        <w:t>, które stanowią odpowiednio elektryczne silniki napędowe zasilane bateryjnie – z okresowym doładowywaniem baterii oraz elektryczne silniki napędowe zasilane z lokalnego źródła – wodorowego ogniwa paliwowego.</w:t>
      </w:r>
    </w:p>
    <w:p w14:paraId="1EB899E9" w14:textId="77777777" w:rsidR="003E6593" w:rsidRPr="00821AF6" w:rsidRDefault="005B489B" w:rsidP="00557240">
      <w:pPr>
        <w:pStyle w:val="Nagwek2"/>
        <w:spacing w:before="120"/>
        <w:ind w:left="567"/>
        <w:jc w:val="center"/>
      </w:pPr>
      <w:bookmarkStart w:id="55" w:name="_Toc528236522"/>
      <w:bookmarkStart w:id="56" w:name="_Toc89417673"/>
      <w:bookmarkEnd w:id="52"/>
      <w:r w:rsidRPr="00821AF6">
        <w:t>Rozwiązania sposobów ładowania autobusów zeroemisyjnych</w:t>
      </w:r>
      <w:bookmarkEnd w:id="55"/>
      <w:bookmarkEnd w:id="56"/>
    </w:p>
    <w:p w14:paraId="67D22E25" w14:textId="6E1B6869" w:rsidR="001D0ECE" w:rsidRPr="003C074C" w:rsidRDefault="001D0ECE" w:rsidP="00557240">
      <w:bookmarkStart w:id="57" w:name="_Hlk529809717"/>
      <w:r>
        <w:t xml:space="preserve">Rozpoczęcie eksploatacji w komunikacji miejskiej elektrycznych autobusów zeroemisyjnych wprowadza w miastach nowy rodzaj napędu, nieemitującego z zastosowanych silników, w miejscu ich użytkowania, gazów cieplarnianych i innych zanieczyszczeń powietrza. Koszty codziennej eksploatacji taboru autobusowego z silnikami elektrycznymi są jak dotychczas istotnie niższe niż autobusów zasilanych olejem napędowym, co przekłada się na zmniejszenie kosztów bieżącego funkcjonowania komunikacji miejskiej. Nowy rodzaj napędu wymaga jednak </w:t>
      </w:r>
      <w:r w:rsidRPr="001724AF">
        <w:t xml:space="preserve">dostosowania obiektów zajezdni </w:t>
      </w:r>
      <w:r>
        <w:t xml:space="preserve">operatorów </w:t>
      </w:r>
      <w:r w:rsidRPr="001724AF">
        <w:t xml:space="preserve">i przeszkolenia załogi w zakresie eksploatacji </w:t>
      </w:r>
      <w:r>
        <w:t xml:space="preserve">oraz obsługi </w:t>
      </w:r>
      <w:r w:rsidRPr="001724AF">
        <w:t xml:space="preserve">autobusów zeroemisyjnych </w:t>
      </w:r>
      <w:r>
        <w:t xml:space="preserve">– wymagającej zupełnie innych czynności, niż obsługa </w:t>
      </w:r>
      <w:r>
        <w:lastRenderedPageBreak/>
        <w:t xml:space="preserve">autobusów z napędem konwencjonalnym. </w:t>
      </w:r>
      <w:r w:rsidRPr="003C074C">
        <w:t xml:space="preserve">Autobusy zeroemisyjne wymagają posiadania przez </w:t>
      </w:r>
      <w:r>
        <w:t>pracowników zaplecza technicznego</w:t>
      </w:r>
      <w:r w:rsidRPr="003C074C">
        <w:t xml:space="preserve"> oraz zespoły naprawczo-remontowe dodatkowych umiejętności i uprawnień, związanych z obsługą pojazdów z silnikami elektrycznymi. Zakres i koszty dostosowania obiektów zajezdni oraz przeszkolenia załogi</w:t>
      </w:r>
      <w:r>
        <w:t>,</w:t>
      </w:r>
      <w:r w:rsidRPr="003C074C">
        <w:t xml:space="preserve"> należy uznać za znaczące.</w:t>
      </w:r>
      <w:r w:rsidR="00557240">
        <w:t xml:space="preserve"> W Rzeszowie część tych kosztów, w związku z wprowadzeniem do codziennej eksploatacji 10 pierwszych autobusów elektrycznych, została już poniesiona. Nie bez znaczenia jest także nabyte przez służby operatora doświadczenie z eksploatacji napędów elektrycznych i zasilania bateryjnego.</w:t>
      </w:r>
    </w:p>
    <w:bookmarkEnd w:id="57"/>
    <w:p w14:paraId="196086AE" w14:textId="59BD5AD1" w:rsidR="00E51D10" w:rsidRPr="00055872" w:rsidRDefault="00E51D10" w:rsidP="00557240">
      <w:r w:rsidRPr="00055872">
        <w:t xml:space="preserve">Pojazdy z napędem elektrycznym wydają się być najlepszym rozwiązaniem dla </w:t>
      </w:r>
      <w:r w:rsidR="00647308">
        <w:t xml:space="preserve">średnich i </w:t>
      </w:r>
      <w:r w:rsidRPr="00055872">
        <w:t>dużych miast – z uwagi na niemal zerową emisję zanieczyszczeń, mniejszą emisję hałasu oraz korzystniejsze parametry pracy silnika elektrycznego, pretendujące go do wykonywania trudnej pracy eksploatacyjnej autobusu w mieście.</w:t>
      </w:r>
    </w:p>
    <w:p w14:paraId="7B0C4B9B" w14:textId="77777777" w:rsidR="001D0ECE" w:rsidRPr="00055872" w:rsidRDefault="001D0ECE" w:rsidP="00557240">
      <w:r w:rsidRPr="00055872">
        <w:t>Pojazdy zasilane z baterii stanowią obecnie zdecydowaną większość nowowprowadzanych do użytkowania autobusów z napędem elektrycznym. Istotną kwestią, związaną z ich codzienną eksploatacją, jest wybór strategii ładowania baterii.</w:t>
      </w:r>
    </w:p>
    <w:p w14:paraId="0A0264CE" w14:textId="47D0F0CC" w:rsidR="001D0ECE" w:rsidRPr="007D4C27" w:rsidRDefault="001D0ECE" w:rsidP="00557240">
      <w:pPr>
        <w:rPr>
          <w:rFonts w:cs="Tahoma"/>
        </w:rPr>
      </w:pPr>
      <w:r w:rsidRPr="007D4C27">
        <w:rPr>
          <w:rFonts w:cs="Tahoma"/>
        </w:rPr>
        <w:t>Rozwój pojazdów elektrycznych poruszających się samodzielnie był i jest ograniczony dostępnymi zasobnikami energii. Początkowo zasobniki takie stanowiły akumulatory kwasowo-ołowiowe, potem niklowo-kadmowe (</w:t>
      </w:r>
      <w:proofErr w:type="spellStart"/>
      <w:r w:rsidRPr="007D4C27">
        <w:rPr>
          <w:rFonts w:cs="Tahoma"/>
        </w:rPr>
        <w:t>NiCd</w:t>
      </w:r>
      <w:proofErr w:type="spellEnd"/>
      <w:r w:rsidRPr="007D4C27">
        <w:rPr>
          <w:rFonts w:cs="Tahoma"/>
        </w:rPr>
        <w:t>), a obecnie: niklowo-</w:t>
      </w:r>
      <w:r>
        <w:rPr>
          <w:rFonts w:cs="Tahoma"/>
        </w:rPr>
        <w:t>metalowo-</w:t>
      </w:r>
      <w:r w:rsidRPr="007D4C27">
        <w:rPr>
          <w:rFonts w:cs="Tahoma"/>
        </w:rPr>
        <w:t>wodorkowe (</w:t>
      </w:r>
      <w:proofErr w:type="spellStart"/>
      <w:r w:rsidRPr="007D4C27">
        <w:rPr>
          <w:rFonts w:cs="Tahoma"/>
        </w:rPr>
        <w:t>NiMH</w:t>
      </w:r>
      <w:proofErr w:type="spellEnd"/>
      <w:r w:rsidRPr="007D4C27">
        <w:rPr>
          <w:rFonts w:cs="Tahoma"/>
        </w:rPr>
        <w:t>) oraz litowo-jonowe (Li-</w:t>
      </w:r>
      <w:proofErr w:type="spellStart"/>
      <w:r w:rsidRPr="007D4C27">
        <w:rPr>
          <w:rFonts w:cs="Tahoma"/>
        </w:rPr>
        <w:t>Ion</w:t>
      </w:r>
      <w:proofErr w:type="spellEnd"/>
      <w:r w:rsidRPr="007D4C27">
        <w:rPr>
          <w:rFonts w:cs="Tahoma"/>
        </w:rPr>
        <w:t>), litowo-polimerowe (Li-</w:t>
      </w:r>
      <w:proofErr w:type="spellStart"/>
      <w:r w:rsidRPr="007D4C27">
        <w:rPr>
          <w:rFonts w:cs="Tahoma"/>
        </w:rPr>
        <w:t>Poly</w:t>
      </w:r>
      <w:proofErr w:type="spellEnd"/>
      <w:r w:rsidRPr="007D4C27">
        <w:rPr>
          <w:rFonts w:cs="Tahoma"/>
        </w:rPr>
        <w:t>), litowo-manganowe (Li-MN</w:t>
      </w:r>
      <w:r w:rsidRPr="007D4C27">
        <w:rPr>
          <w:rFonts w:cs="Tahoma"/>
          <w:vertAlign w:val="subscript"/>
        </w:rPr>
        <w:t>2</w:t>
      </w:r>
      <w:r w:rsidRPr="007D4C27">
        <w:rPr>
          <w:rFonts w:cs="Tahoma"/>
        </w:rPr>
        <w:t>O</w:t>
      </w:r>
      <w:r w:rsidRPr="007D4C27">
        <w:rPr>
          <w:rFonts w:cs="Tahoma"/>
          <w:vertAlign w:val="subscript"/>
        </w:rPr>
        <w:t>4</w:t>
      </w:r>
      <w:r w:rsidRPr="007D4C27">
        <w:rPr>
          <w:rFonts w:cs="Tahoma"/>
        </w:rPr>
        <w:t>) i litowo-żelazowo-fosforanowe (Li-FePO</w:t>
      </w:r>
      <w:r w:rsidRPr="007D4C27">
        <w:rPr>
          <w:rFonts w:cs="Tahoma"/>
          <w:vertAlign w:val="subscript"/>
        </w:rPr>
        <w:t>4</w:t>
      </w:r>
      <w:r w:rsidRPr="007D4C27">
        <w:rPr>
          <w:rFonts w:cs="Tahoma"/>
        </w:rPr>
        <w:t>). Systematycznie wprowadzane są na rynek także inne typy baterii, np. baterie litowo-niklowo-kobaltowo-aluminiowe czy litowo-niklowo-kobaltowo-manganowe</w:t>
      </w:r>
      <w:r w:rsidR="00FB454B">
        <w:rPr>
          <w:rFonts w:cs="Tahoma"/>
        </w:rPr>
        <w:t xml:space="preserve"> (NMC)</w:t>
      </w:r>
      <w:r w:rsidRPr="007D4C27">
        <w:rPr>
          <w:rFonts w:cs="Tahoma"/>
        </w:rPr>
        <w:t>. W niektórych zastosowaniach preferowane są baterie pozwalające na rozładowywanie i ładowanie wysokim prądem (3C i 4C), takie też stosowane są w autobusach elektrycznych i hybrydowych. Przyszłością rozwoju baterii będą rozwiązania ze stałym elektrolitem, o większym bezpieczeństwie użytkowania oraz pozwalające na zwiększenie zasięgu pojazdu.</w:t>
      </w:r>
    </w:p>
    <w:p w14:paraId="18E1D887" w14:textId="039B95DC" w:rsidR="001D0ECE" w:rsidRPr="007D4C27" w:rsidRDefault="001D0ECE" w:rsidP="00557240">
      <w:pPr>
        <w:rPr>
          <w:rFonts w:cs="Tahoma"/>
        </w:rPr>
      </w:pPr>
      <w:r w:rsidRPr="007D4C27">
        <w:rPr>
          <w:rFonts w:cs="Tahoma"/>
        </w:rPr>
        <w:t xml:space="preserve">Sporadycznie stosowane były i są w autobusach elektrycznych także superkondensatory – pozwalające na bardzo szybkie oddawanie energii, czyli na generowanie dużej mocy zasilania, ale o niskiej gęstości energii. Superkondensatory, z powodu niższej wagi niż akumulatory, stosowane są natomiast do magazynowania energii w </w:t>
      </w:r>
      <w:r>
        <w:rPr>
          <w:rFonts w:cs="Tahoma"/>
        </w:rPr>
        <w:t xml:space="preserve">niektórych </w:t>
      </w:r>
      <w:r w:rsidRPr="007D4C27">
        <w:rPr>
          <w:rFonts w:cs="Tahoma"/>
        </w:rPr>
        <w:t>autobusach hybrydowych.</w:t>
      </w:r>
    </w:p>
    <w:p w14:paraId="1C80D649" w14:textId="77777777" w:rsidR="001D0ECE" w:rsidRPr="007D4C27" w:rsidRDefault="001D0ECE" w:rsidP="00557240">
      <w:r w:rsidRPr="007D4C27">
        <w:t xml:space="preserve">Wszystkie zasobniki energii elektrycznej charakteryzuje ograniczona pojemność z jednostki ich objętości lub masy (gęstość energii), ograniczony prąd rozładowania i ładowania oraz ograniczona liczba cykli. Gęstość energii w jednostce masy akumulatorów niklowo-kadmowych jest wyższa niż kwasowo-ołowiowych. Gęstość energii akumulatorów litowo-jonowych </w:t>
      </w:r>
      <w:r w:rsidRPr="007D4C27">
        <w:lastRenderedPageBreak/>
        <w:t>jest natomiast około 3-krotnie wyższa niż akumulatorów niklowo-kadmowych. Żaden z akumulatorów nie jest także odporny na jego całkowite rozładowanie, które może nawet doprowadzić do jego zniszczenia, a zwykle powoduje istotne zmniejszenie pojemności. Podobnie, przeładowanie akumulatora może spowodować jego zniszczenie – jeśli nieprawidłowo działa regulator napięcia albo gdy akumulator jest zbyt głęboko rozładowany.</w:t>
      </w:r>
    </w:p>
    <w:p w14:paraId="41D4A8C9" w14:textId="72AAAB94" w:rsidR="007D4C27" w:rsidRPr="00821AF6" w:rsidRDefault="007D4C27" w:rsidP="00557240">
      <w:r w:rsidRPr="00821AF6">
        <w:t>Producenci akumulatorów zalecają dopuszczalny stopień rozładowania (do 20-30% pojemności) oraz obszar codziennej pracy akumulatora (np. rozładowania do 50%) – w celu zwiększenia jego żywotności. W miarę zwiększania się liczby cykli zmniejsza się także efektywność akumulatora – mierzona dostępną pojemnością i oddawanym prądem.</w:t>
      </w:r>
    </w:p>
    <w:p w14:paraId="442FA197" w14:textId="0658EDD5" w:rsidR="007D4C27" w:rsidRPr="00821AF6" w:rsidRDefault="007D4C27" w:rsidP="00557240">
      <w:r w:rsidRPr="00821AF6">
        <w:t>Rozwój pojazdów elektrycznych nastąpił wraz z rozwojem akumulatorów litowych, o znacznie niższej wadze. Akumulatory te są łączone w duże pakiety (o pojemności zazwyczaj 20-100 kWh), odpowiednio zabezpieczone – z wewnętrznym chłodzeniem i ogrzewaniem oraz z odizolowaniem od wpływów warunków atmosferycznych. Akumulatory litowe wymaga</w:t>
      </w:r>
      <w:r w:rsidR="00BA620B">
        <w:t xml:space="preserve">ją stabilnych warunków pracy, </w:t>
      </w:r>
      <w:r w:rsidRPr="00821AF6">
        <w:t>przy ładowaniu nagrzewają się, co może spowodować ich zapalenie się, a w akumulatorach litowo-jonowych nawet wybuch, wymagają więc odpowiednich zabezpieczeń.</w:t>
      </w:r>
    </w:p>
    <w:p w14:paraId="7256FD3D" w14:textId="77777777" w:rsidR="007D4C27" w:rsidRPr="00821AF6" w:rsidRDefault="007D4C27" w:rsidP="00557240">
      <w:r w:rsidRPr="00821AF6">
        <w:t>Żywotność baterii litowych określana jest, przy właściwych warunkach eksploatacji, na co najwyżej 10 lat, dlatego we wcześniejszym okresie (np. po 8 latach lub po określonym przebiegu), cała bateria akumulatorów powinna być wymieniona, co jest związane zawsze z wysokim kosztem dla użytkownika. W zależności od zastosowanego typu akumulatorów, różne są także dopuszczalne parametry ich doładowywania.</w:t>
      </w:r>
    </w:p>
    <w:p w14:paraId="60BB6679" w14:textId="2CEAC7B0" w:rsidR="007D4C27" w:rsidRPr="00821AF6" w:rsidRDefault="007D4C27" w:rsidP="00557240">
      <w:r w:rsidRPr="00821AF6">
        <w:t>Parametry ładowania zależą także od stosowanej ładowarki. Na rynku występują ładowarki o małej mocy (</w:t>
      </w:r>
      <w:r w:rsidR="001F7691" w:rsidRPr="00821AF6">
        <w:t>4</w:t>
      </w:r>
      <w:r w:rsidRPr="00821AF6">
        <w:t>0-</w:t>
      </w:r>
      <w:r w:rsidR="001F7691" w:rsidRPr="00821AF6">
        <w:t>60</w:t>
      </w:r>
      <w:r w:rsidRPr="00821AF6">
        <w:t xml:space="preserve"> kW) – do codziennego ładowania postojowego (nocnego) oraz o dużej mocy (</w:t>
      </w:r>
      <w:r w:rsidR="00377E68" w:rsidRPr="00821AF6">
        <w:t xml:space="preserve">do 500 </w:t>
      </w:r>
      <w:r w:rsidRPr="00821AF6">
        <w:t xml:space="preserve">kW, a </w:t>
      </w:r>
      <w:r w:rsidR="00377E68" w:rsidRPr="00821AF6">
        <w:t xml:space="preserve">niekiedy </w:t>
      </w:r>
      <w:r w:rsidRPr="00821AF6">
        <w:t xml:space="preserve">nawet </w:t>
      </w:r>
      <w:r w:rsidR="001F7691" w:rsidRPr="00821AF6">
        <w:t>większej</w:t>
      </w:r>
      <w:r w:rsidRPr="00821AF6">
        <w:t xml:space="preserve">) – do </w:t>
      </w:r>
      <w:r w:rsidR="00C87C39" w:rsidRPr="00821AF6">
        <w:t xml:space="preserve">szybkiego </w:t>
      </w:r>
      <w:r w:rsidRPr="00821AF6">
        <w:t>ładowania. Podstawową metodą dostarczania energii jest złącze kablowe plug-in, które ma jednak zwykle moc przekazywaną ograniczoną do 1</w:t>
      </w:r>
      <w:r w:rsidR="001F7691" w:rsidRPr="00821AF6">
        <w:t>2</w:t>
      </w:r>
      <w:r w:rsidRPr="00821AF6">
        <w:t xml:space="preserve">0 kW oraz dla autobusów miejskich – pantografy zwykłe i odwrócone – pozwalające na szybkie ładowanie wysokim prądem na stanowisku postojowym na trasie pojazdu. Innymi sposobami ładowania pojazdów są automatyczne stacje ładowania indukcyjnego – poprzez pętle zamontowane w nawierzchni jezdni, na przystanku lub na placu postojowym. Pętle indukcyjne muszą mieć system bezpiecznej automatyki – załączający dostawy prądu wyłącznie podczas postoju pojazdu nad pętlą i odłączający je wraz </w:t>
      </w:r>
      <w:r w:rsidR="00DB18B8">
        <w:t xml:space="preserve">z </w:t>
      </w:r>
      <w:r w:rsidRPr="00821AF6">
        <w:t>rozpoczęciem jazdy autobusu.</w:t>
      </w:r>
    </w:p>
    <w:p w14:paraId="31B623BE" w14:textId="77777777" w:rsidR="000B317D" w:rsidRPr="00821AF6" w:rsidRDefault="000B317D" w:rsidP="00557240">
      <w:r w:rsidRPr="00821AF6">
        <w:t xml:space="preserve">W każdym przypadku użytkowania większej liczby autobusów elektrycznych konieczne jest jednoczesne dostosowanie sieci energetycznej w zajezdni oraz na pętlach i przystankach – o ile wybrano taki sposób ładowania – do możliwości poboru dużych mocy. Najczęściej wiąże </w:t>
      </w:r>
      <w:r w:rsidRPr="00821AF6">
        <w:lastRenderedPageBreak/>
        <w:t>się to z jednoczesną budową dedykowanej stacji trafo oraz rozdzielni z automatyką, układami pomiarowymi i zabezpieczeniami.</w:t>
      </w:r>
    </w:p>
    <w:p w14:paraId="3CCD0367" w14:textId="0E932857" w:rsidR="00C978D9" w:rsidRPr="00821AF6" w:rsidRDefault="00C978D9" w:rsidP="00557240">
      <w:r w:rsidRPr="00821AF6">
        <w:t>Najprostszym rozwiązaniem jest wyposażenie pojazdów w baterie pozwalające na wykonanie pełnego dziennego cyklu pracy w danej sieci komunikacji miejskiej – podobnego jak dla autobusów zasilanych olejem napędowym – czyli na zapewnienie przynajmniej 250</w:t>
      </w:r>
      <w:r w:rsidR="000B317D" w:rsidRPr="00821AF6">
        <w:t>-300</w:t>
      </w:r>
      <w:r w:rsidRPr="00821AF6">
        <w:t xml:space="preserve"> km przejazdu z pełnym obciążeniem</w:t>
      </w:r>
      <w:r w:rsidR="000B317D" w:rsidRPr="00821AF6">
        <w:t xml:space="preserve"> bez doładowywania baterii</w:t>
      </w:r>
      <w:r w:rsidRPr="00821AF6">
        <w:t xml:space="preserve">. Ładowanie pojazdów odbywałoby się w tym przypadku </w:t>
      </w:r>
      <w:r w:rsidR="003F1F93" w:rsidRPr="00821AF6">
        <w:t>w</w:t>
      </w:r>
      <w:r w:rsidRPr="00821AF6">
        <w:t> zajezdni, w czasie nocnego postoju autobusów.</w:t>
      </w:r>
    </w:p>
    <w:p w14:paraId="2AB76B06" w14:textId="31FDD4D0" w:rsidR="000B317D" w:rsidRPr="00337CBF" w:rsidRDefault="000B317D" w:rsidP="00557240">
      <w:r w:rsidRPr="00821AF6">
        <w:t xml:space="preserve">Czas ładowania zależy nie tylko od stosowanego typu baterii, ale także od używanej ładowarki i ograniczeń stawianych przez energetyczną sieć zasilającą. Standardowy czas ładowania nocnego jednego autobusu elektrycznego poprzez złącze plug-in wynosi od 3 do </w:t>
      </w:r>
      <w:r w:rsidR="001F7691" w:rsidRPr="00821AF6">
        <w:t>6</w:t>
      </w:r>
      <w:r w:rsidRPr="00821AF6">
        <w:t xml:space="preserve"> godzin, co oznacza, że dla każdego użytkowanego pojazdu elektrycznego powinna być zakupiona oddzielna </w:t>
      </w:r>
      <w:r w:rsidRPr="00337CBF">
        <w:t>ładowarka i najczęściej zagwarantowane oddzielne miejsce postojowe, a sieć energetyczna powinna pozwolić na jednoczesne ładowanie standardowe wszystkich użytkowanych pojazdów elektrycznych.</w:t>
      </w:r>
    </w:p>
    <w:p w14:paraId="71DA07D3" w14:textId="0D4AF6F4" w:rsidR="00F767C0" w:rsidRDefault="00DE2AAD" w:rsidP="00557240">
      <w:r w:rsidRPr="00337CBF">
        <w:t>Autobusy elektryczne posiadają zasobniki energii (baterie), których pojemność determinuje z jednej strony zasięg pojazdów</w:t>
      </w:r>
      <w:r>
        <w:t xml:space="preserve"> pomiędzy ładowaniami, a z drugiej strony – cenę pojazdów i ich masę własną, która przy ograniczonej dopuszczalnej masie całkowitej, ma wpływ na nominalną pojemność pasażerską. </w:t>
      </w:r>
    </w:p>
    <w:p w14:paraId="3648878A" w14:textId="1EF8D56E" w:rsidR="00E31187" w:rsidRDefault="00DE2AAD" w:rsidP="00557240">
      <w:r>
        <w:t>Aktualnie na rynku w segmencie autobusów elektrycznych klasy maxi, o długości około 12 m, wyraźnie ścierają się ze sobą dwa rozwiązania. Pierwsze zakłada wyposażenie autobusów w baterie o relatywnie małej pojemności i zapewnienie ich okresowego doładowywania szybkiego podczas pracy na linii, najczęściej poprzez pantograf.</w:t>
      </w:r>
      <w:r w:rsidR="00451106">
        <w:t xml:space="preserve"> </w:t>
      </w:r>
      <w:r w:rsidR="00E31187">
        <w:t>W najmniejszej pojemności baterie wyposażane są trolejbusy, pokonujące bez sieci trakcyjnej w miarę krótkie odcinki tras i następnie doładowywane z tej sieci w ruchu (</w:t>
      </w:r>
      <w:r w:rsidR="00E31187" w:rsidRPr="00821AF6">
        <w:t>In Motion Charging</w:t>
      </w:r>
      <w:r w:rsidR="00E31187">
        <w:t xml:space="preserve">) lub podczas postojów wyrównawczych na pętlach, także pod siecią. W Gdyni, Lublinie </w:t>
      </w:r>
      <w:r w:rsidR="00BA620B">
        <w:t xml:space="preserve">i Tychach </w:t>
      </w:r>
      <w:r w:rsidR="00E31187">
        <w:t xml:space="preserve">nabyto trolejbusy o pojemności baterii 58 kWh. Większą pojemność baterii (87 kWh) mają </w:t>
      </w:r>
      <w:r w:rsidR="00E31187" w:rsidRPr="00E31187">
        <w:t>supertrolejbusy, posiadające homologację zarówno autobusu elektrycznego, jak i trolejbusu</w:t>
      </w:r>
      <w:r w:rsidR="00E31187">
        <w:t xml:space="preserve">, eksploatowane już w Gdyni i zakontraktowane dla Tychów. </w:t>
      </w:r>
    </w:p>
    <w:p w14:paraId="76320D87" w14:textId="77777777" w:rsidR="00284FCD" w:rsidRDefault="00E31187" w:rsidP="00557240">
      <w:r>
        <w:t xml:space="preserve">Baterie o pojemności jedynie 90 kWh, zakładając ich doładowywanie nie rzadziej niż co kółko na obsługiwanej linii, zastosowano wprawdzie w </w:t>
      </w:r>
      <w:r w:rsidR="00451106">
        <w:t>partii 43 autobusów Ursus CS 12 LF dla Zielonej Gór</w:t>
      </w:r>
      <w:r>
        <w:t xml:space="preserve">y, ale po pierwsze </w:t>
      </w:r>
      <w:r w:rsidR="00284FCD">
        <w:t>było to rozwiązanie przyjęte w autobusach kontraktowanych w 2017 r. i dostarczonych rok później, a po drugie – stanowiło odpowiedź jednego z oferentów na wymóg przetargowy zapewnienia możliwości pokonania przez autobus przynajmniej 50 km pomiędzy ładowaniami. Drugi z oferentów określił minimalną pojemność baterii przy takim wymogu na 120 kWh.</w:t>
      </w:r>
    </w:p>
    <w:p w14:paraId="611F6AEC" w14:textId="69693D34" w:rsidR="006A7D09" w:rsidRDefault="00284FCD" w:rsidP="00557240">
      <w:r>
        <w:lastRenderedPageBreak/>
        <w:t>W realiach 2021 r., w warunkach niższych cen zasobników energii dostępnych na rynku, dla pojazdów, które maj</w:t>
      </w:r>
      <w:r w:rsidR="00337CBF">
        <w:t>ą</w:t>
      </w:r>
      <w:r>
        <w:t xml:space="preserve"> być doładowywane na trasie, standardem jest wymaganie, aby w </w:t>
      </w:r>
      <w:r w:rsidRPr="00284FCD">
        <w:t>okresie udzielonej gwarancji</w:t>
      </w:r>
      <w:r>
        <w:t xml:space="preserve">, </w:t>
      </w:r>
      <w:r w:rsidRPr="00284FCD">
        <w:t>zdolność magazynowania energii w pojeździe powinna umożliwić zgromadzenie co najmniej 150 kWh energii elektrycznej</w:t>
      </w:r>
      <w:r w:rsidR="00B27BCB">
        <w:t xml:space="preserve"> i aby przy tym pojemność </w:t>
      </w:r>
      <w:r w:rsidRPr="00284FCD">
        <w:t xml:space="preserve">użyteczna dostępna dla </w:t>
      </w:r>
      <w:r w:rsidR="00B27BCB">
        <w:t>u</w:t>
      </w:r>
      <w:r w:rsidRPr="00284FCD">
        <w:t>żytkownika</w:t>
      </w:r>
      <w:r w:rsidR="00B27BCB">
        <w:t xml:space="preserve">, nie była </w:t>
      </w:r>
      <w:r w:rsidRPr="00284FCD">
        <w:t xml:space="preserve">mniejsza </w:t>
      </w:r>
      <w:r w:rsidR="00B27BCB">
        <w:t xml:space="preserve">od </w:t>
      </w:r>
      <w:r w:rsidRPr="00284FCD">
        <w:t>120 kWh.</w:t>
      </w:r>
      <w:r w:rsidR="00B27BCB">
        <w:t xml:space="preserve"> W miastach o wysokim poziomie kongestii drogowej lub z rozkładami jazdy zakładającymi </w:t>
      </w:r>
      <w:r w:rsidR="006A7D09">
        <w:t xml:space="preserve">okresową </w:t>
      </w:r>
      <w:r w:rsidR="00B27BCB">
        <w:t xml:space="preserve">minimalizację postojów wyrównawczych </w:t>
      </w:r>
      <w:r w:rsidR="006A7D09">
        <w:t xml:space="preserve">– </w:t>
      </w:r>
      <w:r w:rsidR="00B27BCB">
        <w:t>w wąskich szczytach zaangażowania największej liczby p</w:t>
      </w:r>
      <w:r w:rsidR="001C148B">
        <w:t>o</w:t>
      </w:r>
      <w:r w:rsidR="00B27BCB">
        <w:t>jazdów w</w:t>
      </w:r>
      <w:r w:rsidR="006A7D09">
        <w:t> </w:t>
      </w:r>
      <w:r w:rsidR="00B27BCB">
        <w:t>ruchu</w:t>
      </w:r>
      <w:r w:rsidR="006A7D09">
        <w:t xml:space="preserve"> –</w:t>
      </w:r>
      <w:r w:rsidR="001C148B">
        <w:t xml:space="preserve"> </w:t>
      </w:r>
      <w:r w:rsidR="006A7D09">
        <w:t xml:space="preserve">często </w:t>
      </w:r>
      <w:r w:rsidR="001C148B">
        <w:t>zakłada się możliwość ładowania elektrobusów co 2 lub 3 pełne kółka</w:t>
      </w:r>
      <w:r w:rsidR="006A7D09">
        <w:t xml:space="preserve"> nawet w ekstremalnych warunkach pogodowych (silny mróz lub upał)</w:t>
      </w:r>
      <w:r w:rsidR="001C148B">
        <w:t>, ws</w:t>
      </w:r>
      <w:r w:rsidR="006A7D09">
        <w:t>k</w:t>
      </w:r>
      <w:r w:rsidR="001C148B">
        <w:t xml:space="preserve">utek </w:t>
      </w:r>
      <w:r w:rsidR="006A7D09">
        <w:t>czego minimalna wymagana pojemność baterii wzrasta nawet do 240 kWh dostępnych dla użytkownika.</w:t>
      </w:r>
    </w:p>
    <w:p w14:paraId="31F3CAEC" w14:textId="6A2926BD" w:rsidR="007000EA" w:rsidRDefault="007000EA" w:rsidP="00557240">
      <w:bookmarkStart w:id="58" w:name="_Hlk85144536"/>
      <w:r>
        <w:t xml:space="preserve">Takie </w:t>
      </w:r>
      <w:r w:rsidRPr="00821AF6">
        <w:t xml:space="preserve">autobusy elektryczne zapewniają zasięg na poziomie do 200 km przy zastosowaniu ogrzewania paliwowego (olej opałowy, olej napędowy lub gaz ziemny) albo tylko do 150 </w:t>
      </w:r>
      <w:r>
        <w:t xml:space="preserve">km </w:t>
      </w:r>
      <w:r w:rsidRPr="00821AF6">
        <w:t xml:space="preserve">– przy zastosowaniu ogrzewania elektrycznego. Z powyższych przyczyn </w:t>
      </w:r>
      <w:r w:rsidRPr="00821AF6">
        <w:rPr>
          <w:bCs/>
        </w:rPr>
        <w:t xml:space="preserve">strategia ładowania </w:t>
      </w:r>
      <w:r w:rsidR="006D0AB6">
        <w:rPr>
          <w:bCs/>
        </w:rPr>
        <w:t xml:space="preserve">wyłącznie wolnego </w:t>
      </w:r>
      <w:r>
        <w:t>pojazdów klasy maxi o użytecznej pojemności baterii do 240 kWh</w:t>
      </w:r>
      <w:r w:rsidR="006D0AB6">
        <w:t>,</w:t>
      </w:r>
      <w:r>
        <w:t xml:space="preserve"> </w:t>
      </w:r>
      <w:r w:rsidRPr="00821AF6">
        <w:t xml:space="preserve">powinna mieć zastosowanie przede wszystkim w przypadku używania ogrzewania paliwowego, a także przy przeznaczaniu </w:t>
      </w:r>
      <w:r>
        <w:t xml:space="preserve">takich </w:t>
      </w:r>
      <w:r w:rsidRPr="00821AF6">
        <w:t xml:space="preserve">autobusów elektrycznych do obsługi krótkich (szczytowych) zadań przewozowych. Z uwagi na bardzo wysokie koszty zakupu </w:t>
      </w:r>
      <w:r>
        <w:t>taboru elektrycznego</w:t>
      </w:r>
      <w:r w:rsidRPr="00821AF6">
        <w:t xml:space="preserve">, pojazdy takie nie powinny być jednak alokowane do obsługi </w:t>
      </w:r>
      <w:r>
        <w:t xml:space="preserve">tego rodzaju </w:t>
      </w:r>
      <w:r w:rsidRPr="00821AF6">
        <w:t xml:space="preserve">zadań w pierwszej kolejności – takie działanie jest nieefektywne ekonomicznie. </w:t>
      </w:r>
    </w:p>
    <w:bookmarkEnd w:id="58"/>
    <w:p w14:paraId="0394E219" w14:textId="77777777" w:rsidR="007000EA" w:rsidRPr="00821AF6" w:rsidRDefault="007000EA" w:rsidP="00557240">
      <w:r w:rsidRPr="00821AF6">
        <w:t>Celem organizatorów i operatorów jest zwykle optymalizacja masy baterii, umożliwiająca zmniejszenie zużycia energii, a także likwidacja koniecznych do zrealizowania przejazdów technicznych do i z bazy autobusowej, w celu podłączenia do źródła zasilania i związanych z dłuższym ładowaniem wyłączeń autobusów z ruchu. Jest to realizowane poprzez zastosowanie dodatkowych punktów ładowania na trasie linii – w ramach strategii szybkiego ładowania. Stosowany czas ładowania autobusu poprzez pantograf zainstalowany na pętli lub przystanku zależy od dopuszczalnego czasu postoju autobusu i waha się od kilku do ok. 20 minut.</w:t>
      </w:r>
    </w:p>
    <w:p w14:paraId="4E82946B" w14:textId="4CF77650" w:rsidR="008E6EE2" w:rsidRDefault="008E6EE2" w:rsidP="008E6EE2">
      <w:r>
        <w:t>W przypadku doładowywania autobusów na pętlach, w zajezdni docelowo powinny być zarówno stanowiska ładowarek wolnych – po jednej dla każdego pojazdu, jak i dodatkowe stanowisko ładowania szybkiego. Pojazdy zeroemisyjne z ładowarek zajezdniowych wolnych korzystałyby przede wszystkim w celu prawidłowego uformowania baterii, natomiast z ładowarki szybkiej do uzupełnienia energii w autobusach po remontach i w sytuacjach awaryjnych.</w:t>
      </w:r>
    </w:p>
    <w:p w14:paraId="56817AD9" w14:textId="16B13373" w:rsidR="00403639" w:rsidRDefault="006A7D09" w:rsidP="00557240">
      <w:r>
        <w:t xml:space="preserve">Drugi z trendów rynkowych </w:t>
      </w:r>
      <w:r w:rsidR="00403639">
        <w:t>polega na wyposażaniu elektrobusów w baterie o pojemności użytecznej ponad 300 kWh w pojeździe 12-metrowym – w celu zapewnienia możliwości obsługi pomiędzy ładowaniami większości nawet dwuzmianowych zadań przewozowych, w szczegól</w:t>
      </w:r>
      <w:r w:rsidR="00403639">
        <w:lastRenderedPageBreak/>
        <w:t>ności w miastach małych i średnich, charakteryzujących się z reguły węższym zakresem czasowym funkcjonowa</w:t>
      </w:r>
      <w:r w:rsidR="00BA620B">
        <w:t xml:space="preserve">nia komunikacji miejskiej niż </w:t>
      </w:r>
      <w:r w:rsidR="00403639">
        <w:t xml:space="preserve">miasta największe. Takie rozwiązanie zastosowano w autobusach kilku marek, dostępnych na krajowym rynku. Elektrobus MAN Lion’s City 12E o nieco większej od standardowej długości (12,2 m) wyposażony został w baterie o pojemności nominalnej 480 kWh oraz użytkowej 387 kWh, autobus Solaris Urbino </w:t>
      </w:r>
      <w:proofErr w:type="spellStart"/>
      <w:r w:rsidR="00403639">
        <w:t>electric</w:t>
      </w:r>
      <w:proofErr w:type="spellEnd"/>
      <w:r w:rsidR="00403639">
        <w:t xml:space="preserve"> 12 wyposażono w wersji testowej w baterie o pojemności nominalnej 395 kWh, a użytkowej 316 kWh, natomiast autobus Yutong E12LF – w zasobniki energii o pojemności użytecznej 374 kWh.</w:t>
      </w:r>
    </w:p>
    <w:p w14:paraId="37498A8C" w14:textId="13854C41" w:rsidR="00403639" w:rsidRDefault="00403639" w:rsidP="00557240">
      <w:r>
        <w:t>Autobusy te nie są jeszcze dostosowane do ładowania szybkiego na pętlach – uzupełnianie energii odbywa się w nich na terenie zajezdni, poprzez złącze plug-in. Przy przeciętnych warunkach pracy pojazdu (brak ekstremalnie wysokich temperatur powietrza lub silnych mrozów, stosunkowo płaski teren) taka pojemność baterii powinna wystarczyć do obsługi większości zadań całodziennych zaplanowanych w sieciach komunikacyjnych polskich miast.</w:t>
      </w:r>
    </w:p>
    <w:p w14:paraId="01193E62" w14:textId="31FA31AA" w:rsidR="00403639" w:rsidRDefault="00403639" w:rsidP="00557240">
      <w:r>
        <w:t>Zastosowanie wyłącznie ogrzewania elektrycznego w tego rodzaju pojazdach wciąż jednak nie zapewnia w polskim klimacie w trudnych warunkach użytkowania, pewności pokonania przez autobus 250-300 km bez konieczności doładowania (doświadczenia z testów w różnych miastach).</w:t>
      </w:r>
    </w:p>
    <w:p w14:paraId="7223A4C2" w14:textId="66502132" w:rsidR="00403639" w:rsidRDefault="00403639" w:rsidP="00557240">
      <w:r>
        <w:t>Istotnym utrudnieniem byłoby występowanie silnych mrozów, upałów albo obsługa terenu o znaczących deniwelacjach (energia zużyta na pokonanie różnicy wysokości podczas podjazdu, przy zjeździe jest odzyskiwana tylko w niewielkim stopniu).</w:t>
      </w:r>
    </w:p>
    <w:p w14:paraId="5E463AE0" w14:textId="143688CA" w:rsidR="007000EA" w:rsidRPr="00821AF6" w:rsidRDefault="007000EA" w:rsidP="00557240">
      <w:r w:rsidRPr="00821AF6">
        <w:t xml:space="preserve">Podkreślić jednak należy, że </w:t>
      </w:r>
      <w:r w:rsidR="001A771A">
        <w:t>wskutek postępu technicznego, w najbliższych latach s</w:t>
      </w:r>
      <w:r w:rsidRPr="00821AF6">
        <w:t xml:space="preserve">ystematycznie </w:t>
      </w:r>
      <w:r w:rsidR="001A771A">
        <w:t xml:space="preserve">wzrastać będzie </w:t>
      </w:r>
      <w:r w:rsidRPr="00821AF6">
        <w:t>dostępność autobusów umożliwiający</w:t>
      </w:r>
      <w:r w:rsidR="001A771A">
        <w:t xml:space="preserve">ch </w:t>
      </w:r>
      <w:r w:rsidRPr="00821AF6">
        <w:t xml:space="preserve">pokonywanie pomiędzy ładowaniami </w:t>
      </w:r>
      <w:r w:rsidR="00337CBF">
        <w:t xml:space="preserve">dystansu </w:t>
      </w:r>
      <w:r w:rsidR="001A771A">
        <w:t xml:space="preserve">ponad </w:t>
      </w:r>
      <w:r w:rsidRPr="00821AF6">
        <w:t>300 km – wykorzystujący</w:t>
      </w:r>
      <w:r w:rsidR="00337CBF">
        <w:t xml:space="preserve">ch </w:t>
      </w:r>
      <w:r w:rsidRPr="00821AF6">
        <w:t>baterie nowej generacji i urządzenia o</w:t>
      </w:r>
      <w:r w:rsidR="001A771A">
        <w:t> </w:t>
      </w:r>
      <w:r w:rsidRPr="00821AF6">
        <w:t>większej efektywności</w:t>
      </w:r>
      <w:r w:rsidR="00337CBF">
        <w:t xml:space="preserve"> energetycznej.</w:t>
      </w:r>
    </w:p>
    <w:p w14:paraId="6F85D29F" w14:textId="37CAEC39" w:rsidR="00403639" w:rsidRDefault="00403639" w:rsidP="00557240">
      <w:r>
        <w:t xml:space="preserve">Barierą w dalszym zwiększaniu zasięgu autobusów elektrycznych poprzez instalację baterii o jeszcze większej pojemności użytkowej (znacznie ponad 400 kWh) są – poza wysokimi kosztami takiego rozwiązania – ograniczenia w dopuszczalnej masie całkowitej pojazdów </w:t>
      </w:r>
      <w:r w:rsidR="00787B55">
        <w:t>klasy maxi</w:t>
      </w:r>
      <w:r>
        <w:t xml:space="preserve"> </w:t>
      </w:r>
      <w:r w:rsidR="00787B55" w:rsidRPr="00821AF6">
        <w:t xml:space="preserve">(dla autobusu o dwóch osiach – do 19,5 t) </w:t>
      </w:r>
      <w:r w:rsidR="00787B55">
        <w:t xml:space="preserve">oraz w </w:t>
      </w:r>
      <w:r w:rsidR="00787B55" w:rsidRPr="00787B55">
        <w:t xml:space="preserve">dopuszczalnym nacisku na oś </w:t>
      </w:r>
      <w:r w:rsidR="00787B55">
        <w:t>(</w:t>
      </w:r>
      <w:r w:rsidR="00787B55" w:rsidRPr="00787B55">
        <w:t>do</w:t>
      </w:r>
      <w:r w:rsidR="007C2E48">
        <w:t> </w:t>
      </w:r>
      <w:r w:rsidR="00787B55" w:rsidRPr="00787B55">
        <w:t>11,5</w:t>
      </w:r>
      <w:r w:rsidR="007C2E48">
        <w:t> </w:t>
      </w:r>
      <w:r w:rsidR="00787B55" w:rsidRPr="00787B55">
        <w:t>t na oś napędową i do 10 t na pojedynczą oś nienapędową)</w:t>
      </w:r>
      <w:r w:rsidR="00787B55">
        <w:t xml:space="preserve">. Większy ciężar baterii w opisanych uwarunkowaniach </w:t>
      </w:r>
      <w:r w:rsidR="007000EA">
        <w:t xml:space="preserve">przekłada się na znaczące ograniczenie maksymalnej </w:t>
      </w:r>
      <w:r w:rsidR="007000EA" w:rsidRPr="007000EA">
        <w:t>pojemnoś</w:t>
      </w:r>
      <w:r w:rsidR="007000EA">
        <w:t xml:space="preserve">ci </w:t>
      </w:r>
      <w:r w:rsidR="007000EA" w:rsidRPr="007000EA">
        <w:t>pasażersk</w:t>
      </w:r>
      <w:r w:rsidR="007000EA">
        <w:t>iej w</w:t>
      </w:r>
      <w:r w:rsidR="007000EA" w:rsidRPr="007000EA">
        <w:t xml:space="preserve"> porównaniu do analogicznego autobusu ze standardowym napędem Diesla.</w:t>
      </w:r>
      <w:r w:rsidR="007000EA">
        <w:t xml:space="preserve"> W rezultacie, większe pojemności baterii </w:t>
      </w:r>
      <w:r>
        <w:t xml:space="preserve">stosuje się przeważnie tylko w autobusach </w:t>
      </w:r>
      <w:r w:rsidR="007000EA">
        <w:t xml:space="preserve">trzyosiowych lub </w:t>
      </w:r>
      <w:r>
        <w:t xml:space="preserve">przegubowych, </w:t>
      </w:r>
      <w:r w:rsidR="007000EA">
        <w:t xml:space="preserve">jak np. </w:t>
      </w:r>
      <w:proofErr w:type="spellStart"/>
      <w:r>
        <w:t>Irizar</w:t>
      </w:r>
      <w:proofErr w:type="spellEnd"/>
      <w:r>
        <w:t xml:space="preserve"> </w:t>
      </w:r>
      <w:proofErr w:type="spellStart"/>
      <w:r>
        <w:t>ie</w:t>
      </w:r>
      <w:proofErr w:type="spellEnd"/>
      <w:r>
        <w:t xml:space="preserve"> </w:t>
      </w:r>
      <w:proofErr w:type="spellStart"/>
      <w:r>
        <w:t>bus</w:t>
      </w:r>
      <w:proofErr w:type="spellEnd"/>
      <w:r>
        <w:t xml:space="preserve"> 18 m obsługujący </w:t>
      </w:r>
      <w:r w:rsidR="007000EA">
        <w:t xml:space="preserve">trasy </w:t>
      </w:r>
      <w:r>
        <w:t>w Luksemburgu</w:t>
      </w:r>
      <w:r w:rsidR="007000EA">
        <w:t xml:space="preserve">, który </w:t>
      </w:r>
      <w:r>
        <w:t xml:space="preserve">wyposażono w baterie o </w:t>
      </w:r>
      <w:r w:rsidR="007000EA">
        <w:t xml:space="preserve">użytecznej </w:t>
      </w:r>
      <w:r>
        <w:t>pojemności 525 kWh.</w:t>
      </w:r>
    </w:p>
    <w:p w14:paraId="28D3B8CF" w14:textId="523A21ED" w:rsidR="007000EA" w:rsidRPr="00821AF6" w:rsidRDefault="004076E3" w:rsidP="00557240">
      <w:r>
        <w:lastRenderedPageBreak/>
        <w:t xml:space="preserve">Masa własna takich pojazdów klasy maxi wzrasta do ponad 14 ton. </w:t>
      </w:r>
      <w:r w:rsidR="007000EA">
        <w:t>Większy ciężar pojazdu wymaga także dostosowania nawierzchni dróg i placów, szczególnie pętli z miejscami do</w:t>
      </w:r>
      <w:r w:rsidR="007C2E48">
        <w:t> </w:t>
      </w:r>
      <w:r w:rsidR="007000EA">
        <w:t>o</w:t>
      </w:r>
      <w:r w:rsidR="00337CBF">
        <w:t>d</w:t>
      </w:r>
      <w:r w:rsidR="007000EA">
        <w:t xml:space="preserve">bywania postojów. Z tego względu operowanie pojazdami ładowanymi wyłącznie w zajezdni, nie zawsze jest zalecane. </w:t>
      </w:r>
      <w:r w:rsidR="007000EA" w:rsidRPr="00821AF6">
        <w:t>Pojazdy z bateriami o większej pojemności są jednocześnie znacznie droższe, a dodatkowo koszt ich użytkowania podnosi konieczność wymiany kosztownych baterii po kliku latach eksploatacji.</w:t>
      </w:r>
    </w:p>
    <w:p w14:paraId="2F489865" w14:textId="517EA932" w:rsidR="00C978D9" w:rsidRPr="00821AF6" w:rsidRDefault="000F17C4" w:rsidP="005D6C08">
      <w:r w:rsidRPr="00821AF6">
        <w:rPr>
          <w:rFonts w:cs="Tahoma"/>
        </w:rPr>
        <w:t>Aktualnie produkowane autobusy elektryczne pozwalają – przy doładowywaniu na pętlach</w:t>
      </w:r>
      <w:r w:rsidR="00377E68" w:rsidRPr="00821AF6">
        <w:rPr>
          <w:rFonts w:cs="Tahoma"/>
        </w:rPr>
        <w:t xml:space="preserve"> – </w:t>
      </w:r>
      <w:r w:rsidRPr="00821AF6">
        <w:rPr>
          <w:rFonts w:cs="Tahoma"/>
        </w:rPr>
        <w:t xml:space="preserve">na </w:t>
      </w:r>
      <w:r w:rsidR="00377E68" w:rsidRPr="00821AF6">
        <w:rPr>
          <w:rFonts w:cs="Tahoma"/>
        </w:rPr>
        <w:t xml:space="preserve">swobodną obsługę całodziennych, dwuzmianowych zadań przewozowych, o przebiegu rzędu </w:t>
      </w:r>
      <w:r w:rsidR="00BA620B" w:rsidRPr="00821AF6">
        <w:rPr>
          <w:rFonts w:cs="Tahoma"/>
        </w:rPr>
        <w:t xml:space="preserve">nawet </w:t>
      </w:r>
      <w:r w:rsidR="00377E68" w:rsidRPr="00821AF6">
        <w:rPr>
          <w:rFonts w:cs="Tahoma"/>
        </w:rPr>
        <w:t xml:space="preserve">350 km, także </w:t>
      </w:r>
      <w:r w:rsidRPr="00821AF6">
        <w:rPr>
          <w:rFonts w:cs="Tahoma"/>
        </w:rPr>
        <w:t>w warunkach dużej kongestii i na trasach bardzo obciążonych.</w:t>
      </w:r>
      <w:r w:rsidR="00377E68" w:rsidRPr="00821AF6">
        <w:rPr>
          <w:rFonts w:cs="Tahoma"/>
        </w:rPr>
        <w:t xml:space="preserve"> </w:t>
      </w:r>
      <w:r w:rsidR="00C978D9" w:rsidRPr="00821AF6">
        <w:t>Zmniejszenie wagi baterii, a w jej rezultacie – zwiększenie pojemności pasażerskiej pojazdu i zmniejszenie kosztu przewozu pojedynczego pasażera – może być wówczas znaczące. Ogranicza jednak wykorzystanie pojazdu z bateryjnym napędem elektrycznym do dedykowanych tras – obejmujących pętle, na których zainstalowano ładowarki.</w:t>
      </w:r>
    </w:p>
    <w:p w14:paraId="19E5BDE1" w14:textId="4399EEF6" w:rsidR="00516577" w:rsidRPr="00821AF6" w:rsidRDefault="00516577" w:rsidP="005D6C08">
      <w:r w:rsidRPr="00821AF6">
        <w:t>Na pętlach stosuje się zwykle ładowarki s</w:t>
      </w:r>
      <w:r w:rsidR="000F17C4" w:rsidRPr="00821AF6">
        <w:t>zybkie, o dużej mocy (nawet do 5</w:t>
      </w:r>
      <w:r w:rsidRPr="00821AF6">
        <w:t xml:space="preserve">00 kW) z systemem pantografowym. W Chinach oraz w wybranych krajach Europy Zachodniej stosowane są także systemy ładowania indukcyjnego na przystankach, lecz z uwagi na bardzo wysoką cenę takiej instalacji, stosowane są one jedynie na wybranych, dedykowanych trasach w dużych miastach i aglomeracjach. </w:t>
      </w:r>
      <w:bookmarkStart w:id="59" w:name="_Hlk85144631"/>
      <w:r w:rsidR="000F17C4" w:rsidRPr="00821AF6">
        <w:t>T</w:t>
      </w:r>
      <w:r w:rsidRPr="00821AF6">
        <w:t>aki sposób ładowania wymaga wydłużenia czasu postoju na</w:t>
      </w:r>
      <w:r w:rsidR="00377E68" w:rsidRPr="00821AF6">
        <w:t> </w:t>
      </w:r>
      <w:r w:rsidRPr="00821AF6">
        <w:t xml:space="preserve">przystanku, </w:t>
      </w:r>
      <w:r w:rsidR="000F17C4" w:rsidRPr="00821AF6">
        <w:t xml:space="preserve">a ponadto </w:t>
      </w:r>
      <w:r w:rsidR="00BA620B">
        <w:t>wiąże się z zapewnieniem</w:t>
      </w:r>
      <w:r w:rsidRPr="00821AF6">
        <w:t xml:space="preserve"> wolnego miejsca na danym</w:t>
      </w:r>
      <w:r w:rsidR="000F17C4" w:rsidRPr="00821AF6">
        <w:t xml:space="preserve"> przystanku w</w:t>
      </w:r>
      <w:r w:rsidR="007C2E48">
        <w:t> </w:t>
      </w:r>
      <w:r w:rsidR="000F17C4" w:rsidRPr="00821AF6">
        <w:t>określonym czasie, przeznaczon</w:t>
      </w:r>
      <w:r w:rsidR="00BA620B">
        <w:t>ym</w:t>
      </w:r>
      <w:r w:rsidR="000F17C4" w:rsidRPr="00821AF6">
        <w:t xml:space="preserve"> na ładowanie. </w:t>
      </w:r>
      <w:r w:rsidRPr="00821AF6">
        <w:t xml:space="preserve">Ładowaniu indukcyjnemu na przystankach nie sprzyja także polski klimat, w którym normalnym zjawiskiem atmosferycznym są opady śniegu. </w:t>
      </w:r>
    </w:p>
    <w:bookmarkEnd w:id="59"/>
    <w:p w14:paraId="1DB21544" w14:textId="04BEFC81" w:rsidR="00516577" w:rsidRPr="00821AF6" w:rsidRDefault="00516577" w:rsidP="005D6C08">
      <w:r w:rsidRPr="00821AF6">
        <w:t>Najczęściej stosowane jest ładowanie pantografowe, które odbywa się w czasie od kilku do kilkunastu minut – wielokrotnie w czasie użytkowania autobusu w ciągu dnia. Instalacja ładowarki pantografowej wiąże się z</w:t>
      </w:r>
      <w:r w:rsidR="000F17C4" w:rsidRPr="00821AF6">
        <w:t>e</w:t>
      </w:r>
      <w:r w:rsidRPr="00821AF6">
        <w:t xml:space="preserve"> </w:t>
      </w:r>
      <w:r w:rsidR="000F17C4" w:rsidRPr="00821AF6">
        <w:t>znacznymi</w:t>
      </w:r>
      <w:r w:rsidRPr="00821AF6">
        <w:t xml:space="preserve"> kosztami jej budowy, w tym zasilania energetycznego o </w:t>
      </w:r>
      <w:r w:rsidR="000F17C4" w:rsidRPr="00821AF6">
        <w:t>dużej</w:t>
      </w:r>
      <w:r w:rsidRPr="00821AF6">
        <w:t xml:space="preserve"> mocy. Niezależnie od powyższego, w celu pełnego naładowania baterii oraz ich ustabilizowania, pojazd musi być też ostatecznie codziennie doładowywany podczas postoju </w:t>
      </w:r>
      <w:r w:rsidR="00377E68" w:rsidRPr="00821AF6">
        <w:t xml:space="preserve">w </w:t>
      </w:r>
      <w:r w:rsidRPr="00821AF6">
        <w:t>zajezdni.</w:t>
      </w:r>
    </w:p>
    <w:p w14:paraId="53E691D7" w14:textId="4D8D98EA" w:rsidR="00516577" w:rsidRPr="00821AF6" w:rsidRDefault="00516577" w:rsidP="005D6C08">
      <w:r w:rsidRPr="00821AF6">
        <w:t xml:space="preserve">W przypadku korzystania z instalacji zasilania z sieci tramwajowej, punkt ładowania autobusu elektrycznego </w:t>
      </w:r>
      <w:r w:rsidR="000F17C4" w:rsidRPr="00821AF6">
        <w:t xml:space="preserve">także </w:t>
      </w:r>
      <w:r w:rsidRPr="00821AF6">
        <w:t xml:space="preserve">występuje jako stacjonarny – z koniecznym postojem pojazdu – z uwagi na stosowaną w tramwajach sieć powrotną wykorzystującą szyny, których nie może wykorzystywać </w:t>
      </w:r>
      <w:r w:rsidR="00377E68" w:rsidRPr="00821AF6">
        <w:t xml:space="preserve">podczas ruchu </w:t>
      </w:r>
      <w:r w:rsidRPr="00821AF6">
        <w:t>pojazd z kołami pneumatycznymi.</w:t>
      </w:r>
    </w:p>
    <w:p w14:paraId="4F75D187" w14:textId="15F8D685" w:rsidR="00516577" w:rsidRPr="00821AF6" w:rsidRDefault="00516577" w:rsidP="005D6C08">
      <w:r w:rsidRPr="00821AF6">
        <w:t xml:space="preserve">Odmienna, korzystna sytuacja występuje w przypadku napowietrznych sieci trolejbusowych. Sieci te są zasilane dwuprzewodowo prądem stałym o standardowym napięciu 600 V, co umożliwia podłączenie do niej każdego pojazdu drogowego wyposażonego w odpowiednie </w:t>
      </w:r>
      <w:r w:rsidRPr="00821AF6">
        <w:lastRenderedPageBreak/>
        <w:t xml:space="preserve">urządzenia odbiorcze (pantograf, przetwornice, elementy sterowania). Przykładem jest linia BRT w Marrakeszu. Pojazdy tam stosowane mogą być uznawane za autobusy o małej pojemności baterii z ładowaniem w ruchu </w:t>
      </w:r>
      <w:r w:rsidR="001A771A">
        <w:t>a</w:t>
      </w:r>
      <w:r w:rsidRPr="00821AF6">
        <w:t>lbo też za trolejbusy o dużej pojemności baterii. W każdym przypadku będą one jednak, zgodnie z ustawą o elektromobilności, autobusami zeroemisyjnymi.</w:t>
      </w:r>
    </w:p>
    <w:p w14:paraId="5B8B0F58" w14:textId="77777777" w:rsidR="008E6EE2" w:rsidRDefault="008E6EE2" w:rsidP="008E6EE2">
      <w:r>
        <w:t>Obszar pętli autobusowych stanowi teren miejski, jedynie udostępniony operatorowi, także przeważająca większość jednostek taborowych stanowi własność Miasta i także jest jedynie wydzierżawiona operatorowi. Inwestycje zakupu taboru zeroemisyjnego oraz budowy stacji ładowania szybkiego powinno więc realizować Miasto, przekazując wybudowane urządzenia operatorowi do eksploatacji. W takim przypadku podmiotem zarządzającym stacjami ładowania mógłby być operator – MPK-Rzeszów sp. z o.o.</w:t>
      </w:r>
    </w:p>
    <w:p w14:paraId="501D4BBB" w14:textId="21D66063" w:rsidR="00F96745" w:rsidRDefault="00847BF9" w:rsidP="00F96745">
      <w:r>
        <w:t xml:space="preserve">Rozwiązania wymaga również kwestia </w:t>
      </w:r>
      <w:r w:rsidR="00FB2858" w:rsidRPr="00FB2858">
        <w:t>dostosowani</w:t>
      </w:r>
      <w:r>
        <w:t xml:space="preserve">a </w:t>
      </w:r>
      <w:r w:rsidR="00FB2858" w:rsidRPr="00FB2858">
        <w:t>obiektu przyszłej zajezdni operatora do zasilania wielu pojazdów w okresie postoju nocnego. Prz</w:t>
      </w:r>
      <w:r w:rsidR="00955F34">
        <w:t xml:space="preserve">y zastosowaniu </w:t>
      </w:r>
      <w:r w:rsidR="00FB2858" w:rsidRPr="00FB2858">
        <w:t>pojazd</w:t>
      </w:r>
      <w:r w:rsidR="00955F34">
        <w:t>ów</w:t>
      </w:r>
      <w:r w:rsidR="00D77512">
        <w:t xml:space="preserve"> zeroemisyjnych </w:t>
      </w:r>
      <w:r w:rsidR="00F96745">
        <w:t>do</w:t>
      </w:r>
      <w:r w:rsidR="00D77512">
        <w:t>ładow</w:t>
      </w:r>
      <w:r w:rsidR="00F96745">
        <w:t>yw</w:t>
      </w:r>
      <w:r w:rsidR="00D77512">
        <w:t>anych</w:t>
      </w:r>
      <w:r w:rsidR="008E6EE2">
        <w:t xml:space="preserve"> na pętlach, konieczne jest </w:t>
      </w:r>
      <w:r w:rsidR="00955F34">
        <w:t>jednoczesn</w:t>
      </w:r>
      <w:r w:rsidR="00F96745">
        <w:t>e</w:t>
      </w:r>
      <w:r w:rsidR="00D77512">
        <w:t xml:space="preserve"> </w:t>
      </w:r>
      <w:r w:rsidR="008E6EE2">
        <w:t xml:space="preserve">naładowanie </w:t>
      </w:r>
      <w:r w:rsidR="00955F34">
        <w:t xml:space="preserve">ich </w:t>
      </w:r>
      <w:r w:rsidR="008E6EE2">
        <w:t>baterii w</w:t>
      </w:r>
      <w:r w:rsidR="00070E17">
        <w:t> </w:t>
      </w:r>
      <w:r w:rsidR="008E6EE2">
        <w:t xml:space="preserve">okresie nocnego </w:t>
      </w:r>
      <w:r w:rsidR="00F96745">
        <w:t>na placu</w:t>
      </w:r>
      <w:r w:rsidR="00D77512">
        <w:t xml:space="preserve"> zajezdni</w:t>
      </w:r>
      <w:r w:rsidR="00955F34">
        <w:t>. Dla</w:t>
      </w:r>
      <w:r>
        <w:t xml:space="preserve"> </w:t>
      </w:r>
      <w:r w:rsidR="00955F34">
        <w:t>docelowo 69</w:t>
      </w:r>
      <w:r w:rsidR="00955F34" w:rsidRPr="00FB2858">
        <w:t xml:space="preserve"> </w:t>
      </w:r>
      <w:r w:rsidR="00955F34">
        <w:t xml:space="preserve">takich autobusów </w:t>
      </w:r>
      <w:r w:rsidR="00F96745">
        <w:t xml:space="preserve">i mocy pojedynczej ładowarki 40 kW, niezbędna moc </w:t>
      </w:r>
      <w:r w:rsidR="00B03FBB">
        <w:t>urządzeń zasilających instalacje do ładowania autobusów</w:t>
      </w:r>
      <w:r w:rsidR="008D3E69">
        <w:t>,</w:t>
      </w:r>
      <w:r w:rsidR="00F96745">
        <w:t xml:space="preserve"> </w:t>
      </w:r>
      <w:r w:rsidR="008D3E69">
        <w:t>przy rezerwie taborowej 15%, t</w:t>
      </w:r>
      <w:r w:rsidR="00F96745">
        <w:t xml:space="preserve">o </w:t>
      </w:r>
      <w:r w:rsidR="00B03FBB">
        <w:t xml:space="preserve">ok. </w:t>
      </w:r>
      <w:r w:rsidR="00F96745">
        <w:t>2,</w:t>
      </w:r>
      <w:r w:rsidR="00B03FBB">
        <w:t>4</w:t>
      </w:r>
      <w:r w:rsidR="00F96745">
        <w:t xml:space="preserve"> MWh. </w:t>
      </w:r>
    </w:p>
    <w:p w14:paraId="29BFAF11" w14:textId="5FB68886" w:rsidR="008D3E69" w:rsidRDefault="008D3E69" w:rsidP="008D3E69">
      <w:r>
        <w:t xml:space="preserve">Rozwiązaniem alternatywnym, wobec zastosowania autobusów elektrycznych z szybkim ładowaniem na pętlach, jest zakup autobusów zeroemisyjnych wyposażonych w baterie o dużej pojemności, z ładowaniem wyłącznie w zajezdni operatora. Ładowanie takich autobusów odbywa się w okresie ich postoju nocnego na placu zajezdni. Obecnie baterie takich autobusów klasy maxi mogą mieć pojemność użytkową nawet przekraczającą 320 kWh, co czyni to rozwiązanie atrakcyjniejszym. Pewną przeszkodą w zastosowaniu tego rozwiązania jest duża okresowa kongestia w mieście, a także brak szerszych doświadczeń polskich miast z eksploatacji autobusów zeroemisyjnych z bateriami o dużej pojemności, ładowanych wyłącznie w porze postoju nocnego (wcześniejsze wyczerpanie baterii wymaga awaryjnego zjazdu do zajezdni). </w:t>
      </w:r>
    </w:p>
    <w:p w14:paraId="5A6DC92F" w14:textId="4EE9E2E1" w:rsidR="00F96745" w:rsidRDefault="00F96745" w:rsidP="00F96745">
      <w:r>
        <w:t xml:space="preserve">W przypadku zastosowania autobusów ładowanych wyłącznie </w:t>
      </w:r>
      <w:r w:rsidR="008D3E69">
        <w:t>w porze nocnego postoju</w:t>
      </w:r>
      <w:r>
        <w:t xml:space="preserve">, przy </w:t>
      </w:r>
      <w:r w:rsidR="00FB2858" w:rsidRPr="00FB2858">
        <w:t xml:space="preserve">pojemności użytkowej baterii 320 kWh </w:t>
      </w:r>
      <w:r w:rsidR="008D3E69">
        <w:t xml:space="preserve">na pojazd </w:t>
      </w:r>
      <w:r w:rsidR="00847BF9">
        <w:t xml:space="preserve">oraz </w:t>
      </w:r>
      <w:r w:rsidR="00FB2858" w:rsidRPr="00FB2858">
        <w:t xml:space="preserve">dostępnym czasie 6 godzin na jej naładowanie, moc ładowarki dla każdego autobusu powinna wynosić ok. 60 kW (przy 90% sprawności). </w:t>
      </w:r>
      <w:r w:rsidR="00D77512">
        <w:t>K</w:t>
      </w:r>
      <w:r w:rsidR="00FB2858" w:rsidRPr="00FB2858">
        <w:t xml:space="preserve">ażdej nocy </w:t>
      </w:r>
      <w:r w:rsidR="00D77512">
        <w:t xml:space="preserve">baterie </w:t>
      </w:r>
      <w:r w:rsidR="008D3E69">
        <w:t xml:space="preserve">wszystkich użytkowanych </w:t>
      </w:r>
      <w:r w:rsidR="00D77512">
        <w:t xml:space="preserve">autobusów elektrycznych </w:t>
      </w:r>
      <w:r w:rsidR="00FB2858" w:rsidRPr="00FB2858">
        <w:t xml:space="preserve">musiałyby być </w:t>
      </w:r>
      <w:r w:rsidR="00955F34">
        <w:t xml:space="preserve">w pełni </w:t>
      </w:r>
      <w:r w:rsidR="00FB2858" w:rsidRPr="00FB2858">
        <w:t xml:space="preserve">naładowane, </w:t>
      </w:r>
      <w:r w:rsidR="00847BF9">
        <w:t xml:space="preserve">zatem </w:t>
      </w:r>
      <w:r w:rsidR="00FB2858" w:rsidRPr="00FB2858">
        <w:t xml:space="preserve">dostępna moc </w:t>
      </w:r>
      <w:r w:rsidR="00847BF9">
        <w:t xml:space="preserve">dla </w:t>
      </w:r>
      <w:r w:rsidR="00FB2858" w:rsidRPr="00FB2858">
        <w:t>zajezdni powinn</w:t>
      </w:r>
      <w:r w:rsidR="00D77512">
        <w:t xml:space="preserve">a wynosić ponad </w:t>
      </w:r>
      <w:r w:rsidR="00C82E14">
        <w:t>3,5</w:t>
      </w:r>
      <w:r w:rsidR="00FB2858" w:rsidRPr="00FB2858">
        <w:t xml:space="preserve"> MW. </w:t>
      </w:r>
    </w:p>
    <w:p w14:paraId="1099163F" w14:textId="121BAE71" w:rsidR="008E6EE2" w:rsidRDefault="00C73F5E" w:rsidP="00FF047C">
      <w:r>
        <w:t>MPK</w:t>
      </w:r>
      <w:r w:rsidR="00F96745">
        <w:t>-Rzeszów</w:t>
      </w:r>
      <w:r>
        <w:t xml:space="preserve"> </w:t>
      </w:r>
      <w:r w:rsidR="00D77512">
        <w:t>sp.</w:t>
      </w:r>
      <w:r w:rsidR="00847BF9">
        <w:t> </w:t>
      </w:r>
      <w:r w:rsidR="00D77512">
        <w:t>z</w:t>
      </w:r>
      <w:r w:rsidR="006D0AB6">
        <w:t> </w:t>
      </w:r>
      <w:r w:rsidR="00D77512">
        <w:t xml:space="preserve">o.o. </w:t>
      </w:r>
      <w:r w:rsidR="00FB2858" w:rsidRPr="00FB2858">
        <w:t>dysponuje</w:t>
      </w:r>
      <w:r w:rsidR="00847BF9">
        <w:t xml:space="preserve"> </w:t>
      </w:r>
      <w:r w:rsidR="00FB2858" w:rsidRPr="00FB2858">
        <w:t>odpowiednim terenem</w:t>
      </w:r>
      <w:r w:rsidR="00D77512">
        <w:t xml:space="preserve"> dla jednoczesnego ładowania </w:t>
      </w:r>
      <w:r w:rsidR="00F96745">
        <w:t>69</w:t>
      </w:r>
      <w:r w:rsidR="00D77512">
        <w:t xml:space="preserve"> pojazdów</w:t>
      </w:r>
      <w:r w:rsidR="00FB2858" w:rsidRPr="00FB2858">
        <w:t xml:space="preserve">, rozbudowy wymagałaby </w:t>
      </w:r>
      <w:r w:rsidR="00FF047C">
        <w:t>jednak</w:t>
      </w:r>
      <w:r w:rsidR="00D77512">
        <w:t xml:space="preserve"> i</w:t>
      </w:r>
      <w:r w:rsidR="00FB2858" w:rsidRPr="00FB2858">
        <w:t>nstalacja zasilania zajezdni</w:t>
      </w:r>
      <w:r w:rsidR="00D77512">
        <w:t xml:space="preserve"> oraz </w:t>
      </w:r>
      <w:r w:rsidR="008E6EE2">
        <w:t>stanowisk</w:t>
      </w:r>
      <w:r w:rsidR="00FF047C">
        <w:t xml:space="preserve"> ładowania autobusów</w:t>
      </w:r>
      <w:r w:rsidR="008E6EE2">
        <w:t>.</w:t>
      </w:r>
    </w:p>
    <w:p w14:paraId="646E9EC1" w14:textId="4837772A" w:rsidR="00FB2858" w:rsidRDefault="00955F34" w:rsidP="00FF047C">
      <w:r>
        <w:lastRenderedPageBreak/>
        <w:t>N</w:t>
      </w:r>
      <w:r w:rsidR="00FB2858" w:rsidRPr="00FB2858">
        <w:t xml:space="preserve">a </w:t>
      </w:r>
      <w:r>
        <w:t>uruchomienie zasilania</w:t>
      </w:r>
      <w:r w:rsidR="00FB2858" w:rsidRPr="00FB2858">
        <w:t xml:space="preserve"> terenu zajezdni operatora oraz doposażenie w urządzenia do ładowania baterii w pojazdach, </w:t>
      </w:r>
      <w:r w:rsidR="00FF047C">
        <w:t>łącznie z pracami przygotowawczo-projektowymi</w:t>
      </w:r>
      <w:r>
        <w:t xml:space="preserve"> i procedurą przetargową</w:t>
      </w:r>
      <w:r w:rsidR="00FF047C">
        <w:t>, p</w:t>
      </w:r>
      <w:r w:rsidR="00FB2858" w:rsidRPr="00FB2858">
        <w:t xml:space="preserve">otrzeba czasu </w:t>
      </w:r>
      <w:r w:rsidR="00FF047C">
        <w:t>od</w:t>
      </w:r>
      <w:r w:rsidR="00FB2858" w:rsidRPr="00FB2858">
        <w:t xml:space="preserve"> kilkunastu</w:t>
      </w:r>
      <w:r w:rsidR="00FF047C">
        <w:t xml:space="preserve"> </w:t>
      </w:r>
      <w:r w:rsidR="00FB2858" w:rsidRPr="00FB2858">
        <w:t>miesięcy</w:t>
      </w:r>
      <w:r w:rsidR="00FF047C">
        <w:t xml:space="preserve"> do nawet trzech lat</w:t>
      </w:r>
      <w:r w:rsidR="00FB2858" w:rsidRPr="00FB2858">
        <w:t>.</w:t>
      </w:r>
      <w:r w:rsidRPr="00955F34">
        <w:t xml:space="preserve"> </w:t>
      </w:r>
      <w:r w:rsidR="00C82E14">
        <w:t xml:space="preserve">Nieco krótszy </w:t>
      </w:r>
      <w:r>
        <w:t xml:space="preserve">jest </w:t>
      </w:r>
      <w:r w:rsidR="00C82E14">
        <w:t xml:space="preserve">zwykle </w:t>
      </w:r>
      <w:r>
        <w:t>czas budowy stacji ładowania szybkiego</w:t>
      </w:r>
      <w:r w:rsidRPr="00FB2858">
        <w:t xml:space="preserve"> </w:t>
      </w:r>
      <w:r>
        <w:t>na pętlach.</w:t>
      </w:r>
    </w:p>
    <w:p w14:paraId="3A519514" w14:textId="239C9487" w:rsidR="00C82E14" w:rsidRDefault="00C82E14" w:rsidP="00C82E14">
      <w:r>
        <w:t>Pierwsze autobusy elektryczne, użytkowane w Rzeszowie od 2019 r., wyposażone są w baterie Solaris High Power o pojemności 87,6 kWh i są dostosowane do ładowania za pomocą odwróconego pantografu, z maksymalnym prądem 550A. Na pętli przy ul. Grottgera zainstalowana jest dwumasztowa szybka ładowarka pantografowa, przeznaczona dla ładowania tych autobusów.</w:t>
      </w:r>
    </w:p>
    <w:p w14:paraId="58CCB9E1" w14:textId="77777777" w:rsidR="00C82E14" w:rsidRDefault="00C82E14" w:rsidP="00C82E14">
      <w:r>
        <w:t>W „Analizie kosztów i korzyści …” z 2018 r., w wariancie elektrycznym założono budowę czterech stacji szybkiego ładowania autobusów na wybranych pętlach, wybrano więc wariant zakupu autobusów wyposażonych w mniejsze baterie z częstym, szybkim doładowywaniem na trasie.</w:t>
      </w:r>
    </w:p>
    <w:p w14:paraId="12CC2FDE" w14:textId="77777777" w:rsidR="008E6EE2" w:rsidRPr="00821AF6" w:rsidRDefault="008E6EE2" w:rsidP="008E6EE2">
      <w:r w:rsidRPr="00821AF6">
        <w:t>Jeszcze innym rozwiązaniem jest napęd elektryczny z podstawowym zasilaniem energią elektryczną wytwarzaną podczas jazdy w wodorowym ogniwie paliwowym. Autobus wyposażony w taki napęd posiada baterie o znacznie mniejszej pojemności – mające jedynie charakter wyrównawczy – podobnie jak zestawy baterii w autobusach hybrydowych, pojazdach z rekuperacją energii, czy też z systemem start-stop.</w:t>
      </w:r>
    </w:p>
    <w:p w14:paraId="3E550189" w14:textId="77777777" w:rsidR="008E6EE2" w:rsidRPr="00821AF6" w:rsidRDefault="008E6EE2" w:rsidP="008E6EE2">
      <w:r w:rsidRPr="00821AF6">
        <w:t>Autobusy wyposażone w ogniwa paliwowe zasilane H</w:t>
      </w:r>
      <w:r w:rsidRPr="00821AF6">
        <w:rPr>
          <w:vertAlign w:val="subscript"/>
        </w:rPr>
        <w:t>2</w:t>
      </w:r>
      <w:r w:rsidRPr="00821AF6">
        <w:t xml:space="preserve"> mają zbiorniki sprężonego wodoru zainstalowane na dachu, o pojemności wystarczającej na przejazd nawet do 350-400 km.</w:t>
      </w:r>
    </w:p>
    <w:p w14:paraId="5E28ACD9" w14:textId="77777777" w:rsidR="008E6EE2" w:rsidRPr="00821AF6" w:rsidRDefault="008E6EE2" w:rsidP="008E6EE2">
      <w:r w:rsidRPr="00821AF6">
        <w:t>Wadą tego rodzaju rozwiązania jest wysoki koszt ogniw paliwowych, co wpływa na zwiększoną cenę autobusów elektrycznych w nie wyposażonych oraz mocno ograniczona dostępność źródeł wodoru. Nie bez znaczenia są także wysokie koszty zapewnienia bezpieczeństwa eksploatacji takich pojazdów, gdyż wodór, przy odpowiednim stosunku objętościowym, tworzy z powietrzem mieszaninę wybuchową.</w:t>
      </w:r>
    </w:p>
    <w:p w14:paraId="597BF6FE" w14:textId="77777777" w:rsidR="008E6EE2" w:rsidRPr="00821AF6" w:rsidRDefault="008E6EE2" w:rsidP="008E6EE2">
      <w:r w:rsidRPr="00821AF6">
        <w:t>Zaletą pojazdów elektrycznych z ogniwami paliwowymi, przy pewności dostaw wodoru, jest ich funkcjonowanie podobne do autobusów zasilanych olejem napędowym – codzienne jednorazowe tankowanie przed wyjazdem z zajezdni oraz brak utrudnień związanych z koniecznością okresowych doładowań na trasie przejazdu. Autobus taki posiada natomiast wszystkie zalety autobusu elektrycznego.</w:t>
      </w:r>
    </w:p>
    <w:p w14:paraId="03BF5946" w14:textId="77777777" w:rsidR="008E6EE2" w:rsidRPr="00821AF6" w:rsidRDefault="008E6EE2" w:rsidP="008E6EE2">
      <w:r w:rsidRPr="00821AF6">
        <w:t xml:space="preserve">Istotnym utrudnieniem jest nadal brak w Polsce dostępnych stacji tankowania wodoru. Plany budowy ogólnodostępnych stacji tankowania wodoru posiadają zarówno Grupa ORLEN, jak i LOTOS. </w:t>
      </w:r>
      <w:bookmarkStart w:id="60" w:name="_Hlk85144706"/>
      <w:r w:rsidRPr="00821AF6">
        <w:t>Budowę stacji tankowania wodoru w Koninie zapowiada także inwestor prywatny (</w:t>
      </w:r>
      <w:r w:rsidRPr="005D6DDF">
        <w:t>pierwsza, mobilna stacja tankowania wodoru została uruchomiona przy ul. Łubinowej w War</w:t>
      </w:r>
      <w:r w:rsidRPr="005D6DDF">
        <w:lastRenderedPageBreak/>
        <w:t>szawie</w:t>
      </w:r>
      <w:r w:rsidRPr="00821AF6">
        <w:t>)</w:t>
      </w:r>
      <w:r>
        <w:t>. Także inwestor prywatny deklaruje w Rzeszowie podobny zamiar, budowy stacji tankowania wodoru na terenie zajezdni MPK. Budową stacji tankowania wodoru w Rzeszowie zainteresowana jest także Grupa LOTOS S.A.</w:t>
      </w:r>
    </w:p>
    <w:p w14:paraId="5ED09497" w14:textId="77777777" w:rsidR="008E6EE2" w:rsidRPr="005D6DDF" w:rsidRDefault="008E6EE2" w:rsidP="008E6EE2">
      <w:bookmarkStart w:id="61" w:name="_Hlk85144729"/>
      <w:bookmarkEnd w:id="60"/>
      <w:r w:rsidRPr="005D6DDF">
        <w:t>Brak jest także wciąż w Polsce pewnego dostawcy wodoru o wysokiej czystości w niskiej cenie i w wystarczającej ilości. Produkcję wodoru o wysokiej czystości zamierzają realizować metodą reformingu parowego obydwa polskie koncerny paliwowe, w tym w Gdańsku Grupa LOTOS, w Trzebini i we Włocławku – Grupa ORLEN, a także Grupa PGNiG, a metodą elektrolizy ZE PAK SA (Zespół Elektrowni Pątnów Adamów Konin), a w przyszłości – inne koncerny energetyczne.</w:t>
      </w:r>
    </w:p>
    <w:p w14:paraId="02E14D9C" w14:textId="77777777" w:rsidR="008E6EE2" w:rsidRDefault="008E6EE2" w:rsidP="008E6EE2">
      <w:bookmarkStart w:id="62" w:name="_Hlk85144751"/>
      <w:bookmarkEnd w:id="61"/>
      <w:r w:rsidRPr="00821AF6">
        <w:t>Oferowane na rynku są także lokalne stacje tankowania z wykorzystaniem elektrolizerów, do instalacji na przykład na terenie zajezdni autobusowej</w:t>
      </w:r>
      <w:r w:rsidRPr="00BA620B">
        <w:t>, wymagają jednak poniesienia znaczących dodatkowych nakładów inwestycyjnych</w:t>
      </w:r>
      <w:r>
        <w:t xml:space="preserve">. Koszt wyprodukowania wodoru w takich stacjach jest jednak wysoki. </w:t>
      </w:r>
    </w:p>
    <w:bookmarkEnd w:id="62"/>
    <w:p w14:paraId="186B0A9A" w14:textId="3BC4C10D" w:rsidR="008E6EE2" w:rsidRDefault="008E6EE2" w:rsidP="008E6EE2">
      <w:r>
        <w:t>Wadą pojazdów z wodorowymi ogniwami paliwowymi są także znaczące koszty ich eksploatacji wynikające z wciąż wysokiej ceny wodoru o wymaganej czystości (cena detaliczna na stacjach paliw w Niemczech rzędu 9-9,5 euro za kg). Brak jest także pewności co do jej wysokości w najbliższej przyszłości. Dla zapewnienia kosztów eksploatacyjnych takich pojazdów na</w:t>
      </w:r>
      <w:r w:rsidR="002E7D82">
        <w:t> </w:t>
      </w:r>
      <w:r>
        <w:t>poziomie zbliżonym do kosztów eksploatacji autobusów elektrycznych z bateriami doładowywanymi na pętlach, cena wodoru powinna być dla przedsiębiorstwa przewozowego nawet o połowę niższa od obecnie spotykanej na stacjach paliw.</w:t>
      </w:r>
    </w:p>
    <w:p w14:paraId="73942FEA" w14:textId="0F61F508" w:rsidR="00C82E14" w:rsidRDefault="00C82E14" w:rsidP="00FF047C">
      <w:r>
        <w:t>Listy intencyjne podpisane przez Miasto z potencjalnymi dostawcami instalacji do tankowania wodoru oraz samego wodoru stwarzają podstawy do uwzględnienia w analizie wariantu wyposażenia floty pojazdów także w autobusy z wodorowymi ogniwami paliwowymi.</w:t>
      </w:r>
      <w:r w:rsidR="00DB5A36">
        <w:t xml:space="preserve"> Potencjalną lokalizacją stacji tankowania wodoru jest zajezdnia autobusowa MPK-Rzeszów sp. z o.o. przy ul. Lubelskiej. </w:t>
      </w:r>
    </w:p>
    <w:p w14:paraId="0D42CC52" w14:textId="51BA3FDD" w:rsidR="008E6EE2" w:rsidRPr="00FB2858" w:rsidRDefault="00C82E14" w:rsidP="00FF047C">
      <w:r>
        <w:t>Budowa stacji tankowania wodoru jest przedsięwzięciem kapitałochłonnym, dla utrzymania ceny dostarczanego wodoru na akceptowalnym poziomie wymagane jest pozyskanie wsparcia finansowego budowy stacji tankowania ze środków pomocowych</w:t>
      </w:r>
      <w:r w:rsidR="00DB5A36">
        <w:t xml:space="preserve"> krajowych lub europejskich</w:t>
      </w:r>
      <w:r>
        <w:t xml:space="preserve">. Z uwagi na długotrwałość procesu pozyskiwania takiego wsparcia oraz realizacji inwestycji przez </w:t>
      </w:r>
      <w:r w:rsidR="00DB5A36">
        <w:t>dostawcę instalacji, dostawy wodoru mogłyby się rozpocząć najwcześniej za</w:t>
      </w:r>
      <w:r w:rsidR="002E7D82">
        <w:t> </w:t>
      </w:r>
      <w:r w:rsidR="00DB5A36">
        <w:t>okres 2-3 lat.</w:t>
      </w:r>
    </w:p>
    <w:p w14:paraId="1DCDC2D9" w14:textId="5B7726E7" w:rsidR="001A771A" w:rsidRDefault="004076E3" w:rsidP="00DB5A36">
      <w:r w:rsidRPr="004076E3">
        <w:t>Ze względu na opisane wyżej uwarunkowania</w:t>
      </w:r>
      <w:r w:rsidR="00414DC6">
        <w:t>,</w:t>
      </w:r>
      <w:r w:rsidRPr="004076E3">
        <w:t xml:space="preserve"> w niniejszej analizie ujęto </w:t>
      </w:r>
      <w:r w:rsidR="00DB5A36">
        <w:t>dwa</w:t>
      </w:r>
      <w:r w:rsidR="00D77512">
        <w:t xml:space="preserve"> wariant</w:t>
      </w:r>
      <w:r w:rsidR="00041987">
        <w:t>y</w:t>
      </w:r>
      <w:r w:rsidRPr="004076E3">
        <w:t xml:space="preserve"> zastos</w:t>
      </w:r>
      <w:r w:rsidR="00D77512">
        <w:t>owania autobusów zeroemisyjnych</w:t>
      </w:r>
      <w:r w:rsidR="00041987">
        <w:t>:</w:t>
      </w:r>
      <w:r w:rsidR="00D77512">
        <w:t xml:space="preserve"> </w:t>
      </w:r>
      <w:r w:rsidR="00DB5A36">
        <w:t xml:space="preserve">wyłącznie </w:t>
      </w:r>
      <w:r w:rsidRPr="004076E3">
        <w:t>z doładowaniem na</w:t>
      </w:r>
      <w:r>
        <w:t xml:space="preserve"> pętlach – uznając to za rozwią</w:t>
      </w:r>
      <w:r w:rsidRPr="004076E3">
        <w:t>zanie o większej pewności poprawnego funkcjonowania p</w:t>
      </w:r>
      <w:r>
        <w:t xml:space="preserve">rzewozów także w trudnych </w:t>
      </w:r>
      <w:r>
        <w:lastRenderedPageBreak/>
        <w:t>warun</w:t>
      </w:r>
      <w:r w:rsidRPr="004076E3">
        <w:t>kach eksploatacyjnych</w:t>
      </w:r>
      <w:bookmarkStart w:id="63" w:name="_Hlk85144799"/>
      <w:r w:rsidR="00FF047C">
        <w:t xml:space="preserve"> oraz</w:t>
      </w:r>
      <w:r w:rsidR="00DB5A36">
        <w:t xml:space="preserve"> częściowo</w:t>
      </w:r>
      <w:r w:rsidR="00FF047C">
        <w:t xml:space="preserve"> takie autobusy</w:t>
      </w:r>
      <w:r w:rsidR="00DB5A36">
        <w:t>, a częściowo</w:t>
      </w:r>
      <w:r w:rsidR="00FF047C">
        <w:t xml:space="preserve"> autobus</w:t>
      </w:r>
      <w:r w:rsidR="00DB5A36">
        <w:t>y</w:t>
      </w:r>
      <w:r w:rsidR="00FF047C">
        <w:t xml:space="preserve"> wyposażon</w:t>
      </w:r>
      <w:r w:rsidR="00DB5A36">
        <w:t xml:space="preserve">e </w:t>
      </w:r>
      <w:r w:rsidR="00FF047C">
        <w:t>w ogniwa paliwowe.</w:t>
      </w:r>
    </w:p>
    <w:p w14:paraId="54C6529E" w14:textId="77777777" w:rsidR="00FA42AA" w:rsidRPr="00821AF6" w:rsidRDefault="00FA42AA" w:rsidP="007A4FEC">
      <w:pPr>
        <w:pStyle w:val="Nagwek2"/>
        <w:keepLines/>
        <w:spacing w:before="120"/>
        <w:ind w:left="567"/>
        <w:jc w:val="center"/>
      </w:pPr>
      <w:bookmarkStart w:id="64" w:name="_Toc524602372"/>
      <w:bookmarkStart w:id="65" w:name="_Toc527033749"/>
      <w:bookmarkStart w:id="66" w:name="_Toc528236523"/>
      <w:bookmarkStart w:id="67" w:name="_Toc89417674"/>
      <w:bookmarkEnd w:id="63"/>
      <w:r w:rsidRPr="00821AF6">
        <w:t>Proponowane warianty</w:t>
      </w:r>
      <w:bookmarkEnd w:id="64"/>
      <w:bookmarkEnd w:id="65"/>
      <w:bookmarkEnd w:id="66"/>
      <w:bookmarkEnd w:id="67"/>
    </w:p>
    <w:p w14:paraId="17B1738E" w14:textId="5282C581" w:rsidR="00D33744" w:rsidRDefault="005B7AF3" w:rsidP="007A4FEC">
      <w:pPr>
        <w:keepNext/>
      </w:pPr>
      <w:r w:rsidRPr="00821AF6">
        <w:t xml:space="preserve">W opracowanej w 2018 r. </w:t>
      </w:r>
      <w:r w:rsidR="00022E0E" w:rsidRPr="00022E0E">
        <w:t xml:space="preserve">„Analizie kosztów i korzyści związanych z wykorzystaniem </w:t>
      </w:r>
      <w:r w:rsidR="007A4FEC">
        <w:t xml:space="preserve">przy świadczeniu usług komunikacji miejskiej </w:t>
      </w:r>
      <w:r w:rsidR="00022E0E" w:rsidRPr="00022E0E">
        <w:t xml:space="preserve">autobusów zeroemisyjnych </w:t>
      </w:r>
      <w:r w:rsidR="007A4FEC">
        <w:t xml:space="preserve">i napędzanych gazem ziemnym </w:t>
      </w:r>
      <w:r w:rsidR="00022E0E" w:rsidRPr="00022E0E">
        <w:t xml:space="preserve">dla miasta </w:t>
      </w:r>
      <w:r w:rsidR="00221687">
        <w:t>Rzeszowa</w:t>
      </w:r>
      <w:r w:rsidR="00022E0E" w:rsidRPr="00022E0E">
        <w:t>”</w:t>
      </w:r>
      <w:r w:rsidRPr="00821AF6">
        <w:t xml:space="preserve"> przeanalizowano </w:t>
      </w:r>
      <w:r w:rsidR="00022E0E">
        <w:t>dwa</w:t>
      </w:r>
      <w:r w:rsidRPr="00821AF6">
        <w:t xml:space="preserve"> wariant</w:t>
      </w:r>
      <w:r w:rsidR="00D33744">
        <w:t>y</w:t>
      </w:r>
      <w:r w:rsidRPr="00821AF6">
        <w:t xml:space="preserve"> in</w:t>
      </w:r>
      <w:r w:rsidR="00D33744">
        <w:t>westycyjne:</w:t>
      </w:r>
    </w:p>
    <w:p w14:paraId="11F42793" w14:textId="1669E214" w:rsidR="00D33744" w:rsidRPr="00773D26" w:rsidRDefault="00D33744" w:rsidP="007A4FEC">
      <w:pPr>
        <w:pStyle w:val="Akapitzlist"/>
        <w:numPr>
          <w:ilvl w:val="0"/>
          <w:numId w:val="11"/>
        </w:numPr>
        <w:spacing w:after="0" w:line="360" w:lineRule="auto"/>
        <w:ind w:left="357" w:hanging="357"/>
        <w:jc w:val="both"/>
        <w:rPr>
          <w:rFonts w:ascii="Tahoma" w:hAnsi="Tahoma" w:cs="Tahoma"/>
        </w:rPr>
      </w:pPr>
      <w:r w:rsidRPr="00773D26">
        <w:rPr>
          <w:rFonts w:ascii="Tahoma" w:hAnsi="Tahoma" w:cs="Tahoma"/>
        </w:rPr>
        <w:t xml:space="preserve">konwencjonalny – </w:t>
      </w:r>
      <w:r w:rsidR="00D803D7" w:rsidRPr="00D803D7">
        <w:rPr>
          <w:rFonts w:ascii="Tahoma" w:hAnsi="Tahoma" w:cs="Tahoma"/>
        </w:rPr>
        <w:t xml:space="preserve">w którym założono kontynuację dotychczasowej polityki </w:t>
      </w:r>
      <w:r w:rsidR="00022E0E" w:rsidRPr="00022E0E">
        <w:rPr>
          <w:rFonts w:ascii="Tahoma" w:hAnsi="Tahoma" w:cs="Tahoma"/>
        </w:rPr>
        <w:t>sukcesywnej wymiany taboru na pojazdy zasilane olejem napędowym</w:t>
      </w:r>
      <w:r w:rsidR="007A4FEC">
        <w:rPr>
          <w:rFonts w:ascii="Tahoma" w:hAnsi="Tahoma" w:cs="Tahoma"/>
        </w:rPr>
        <w:t>, w tym hybrydowe oraz autobusy napędzane CNG i elektryczne, zgodnie z założeniami analizy wielokryterialnej</w:t>
      </w:r>
      <w:r w:rsidRPr="00773D26">
        <w:rPr>
          <w:rFonts w:ascii="Tahoma" w:hAnsi="Tahoma" w:cs="Tahoma"/>
        </w:rPr>
        <w:t>;</w:t>
      </w:r>
    </w:p>
    <w:p w14:paraId="5E9EDC70" w14:textId="78E33CD9" w:rsidR="00D33744" w:rsidRDefault="00D33744" w:rsidP="007A4FEC">
      <w:pPr>
        <w:pStyle w:val="Akapitzlist"/>
        <w:numPr>
          <w:ilvl w:val="0"/>
          <w:numId w:val="11"/>
        </w:numPr>
        <w:spacing w:after="0" w:line="360" w:lineRule="auto"/>
        <w:ind w:left="357" w:hanging="357"/>
        <w:jc w:val="both"/>
        <w:rPr>
          <w:rFonts w:ascii="Tahoma" w:hAnsi="Tahoma" w:cs="Tahoma"/>
        </w:rPr>
      </w:pPr>
      <w:r w:rsidRPr="00773D26">
        <w:rPr>
          <w:rFonts w:ascii="Tahoma" w:hAnsi="Tahoma" w:cs="Tahoma"/>
        </w:rPr>
        <w:t xml:space="preserve">elektryczny – </w:t>
      </w:r>
      <w:r w:rsidR="00D803D7" w:rsidRPr="00D803D7">
        <w:rPr>
          <w:rFonts w:ascii="Tahoma" w:hAnsi="Tahoma" w:cs="Tahoma"/>
        </w:rPr>
        <w:t xml:space="preserve">w którym założono </w:t>
      </w:r>
      <w:r w:rsidR="007A4FEC" w:rsidRPr="007A4FEC">
        <w:rPr>
          <w:rFonts w:ascii="Tahoma" w:hAnsi="Tahoma" w:cs="Tahoma"/>
        </w:rPr>
        <w:t>sukcesy</w:t>
      </w:r>
      <w:r w:rsidR="00090AEF">
        <w:rPr>
          <w:rFonts w:ascii="Tahoma" w:hAnsi="Tahoma" w:cs="Tahoma"/>
        </w:rPr>
        <w:t>wną wymianę taboru MPK-Rzeszów s</w:t>
      </w:r>
      <w:r w:rsidR="007A4FEC" w:rsidRPr="007A4FEC">
        <w:rPr>
          <w:rFonts w:ascii="Tahoma" w:hAnsi="Tahoma" w:cs="Tahoma"/>
        </w:rPr>
        <w:t>p. z o.o. na</w:t>
      </w:r>
      <w:r w:rsidR="002E7D82">
        <w:rPr>
          <w:rFonts w:ascii="Tahoma" w:hAnsi="Tahoma" w:cs="Tahoma"/>
        </w:rPr>
        <w:t> </w:t>
      </w:r>
      <w:r w:rsidR="007A4FEC" w:rsidRPr="007A4FEC">
        <w:rPr>
          <w:rFonts w:ascii="Tahoma" w:hAnsi="Tahoma" w:cs="Tahoma"/>
        </w:rPr>
        <w:t>pojazdy elektryczne, w tym zastąpienie autobusami elektrycznymi planowanego zakupu 20 fabrycznie nowych pojazdów zasilanych olejem napędowym oraz 20 autobusów hybrydowych</w:t>
      </w:r>
      <w:r w:rsidR="00022E0E">
        <w:rPr>
          <w:rFonts w:ascii="Tahoma" w:hAnsi="Tahoma" w:cs="Tahoma"/>
        </w:rPr>
        <w:t>.</w:t>
      </w:r>
    </w:p>
    <w:p w14:paraId="4CBAF8DB" w14:textId="5A2EB430" w:rsidR="005B7AF3" w:rsidRPr="00821AF6" w:rsidRDefault="005B7AF3" w:rsidP="007A4FEC">
      <w:r w:rsidRPr="00177266">
        <w:t>Wariant</w:t>
      </w:r>
      <w:r w:rsidR="00932CB6" w:rsidRPr="00177266">
        <w:t>y</w:t>
      </w:r>
      <w:r w:rsidRPr="00177266">
        <w:t xml:space="preserve"> te porównano z</w:t>
      </w:r>
      <w:r w:rsidR="00932CB6" w:rsidRPr="00177266">
        <w:t>e</w:t>
      </w:r>
      <w:r w:rsidRPr="00177266">
        <w:t xml:space="preserve"> </w:t>
      </w:r>
      <w:r w:rsidR="00932CB6" w:rsidRPr="00177266">
        <w:t>scenariuszem</w:t>
      </w:r>
      <w:r w:rsidRPr="00177266">
        <w:t xml:space="preserve"> bazowy</w:t>
      </w:r>
      <w:r w:rsidR="00626B66" w:rsidRPr="00177266">
        <w:t>m</w:t>
      </w:r>
      <w:r w:rsidRPr="00177266">
        <w:t xml:space="preserve">, </w:t>
      </w:r>
      <w:r w:rsidR="00932CB6" w:rsidRPr="00177266">
        <w:t xml:space="preserve">w którym założono wykonywanie przewozów w </w:t>
      </w:r>
      <w:r w:rsidR="00C73F5E">
        <w:t>rzeszowskie</w:t>
      </w:r>
      <w:r w:rsidR="00AE0C28">
        <w:t>j</w:t>
      </w:r>
      <w:r w:rsidR="00783C7C">
        <w:t xml:space="preserve"> </w:t>
      </w:r>
      <w:r w:rsidR="00932CB6" w:rsidRPr="00177266">
        <w:t xml:space="preserve">komunikacji miejskiej przy ponoszeniu </w:t>
      </w:r>
      <w:r w:rsidR="00D803D7">
        <w:t>niższych</w:t>
      </w:r>
      <w:r w:rsidR="00932CB6" w:rsidRPr="00177266">
        <w:t xml:space="preserve"> nakładów na odtworzenie taboru</w:t>
      </w:r>
      <w:r w:rsidR="00D803D7" w:rsidRPr="00D803D7">
        <w:t xml:space="preserve"> </w:t>
      </w:r>
      <w:r w:rsidR="00D803D7">
        <w:t>p</w:t>
      </w:r>
      <w:r w:rsidR="00D803D7" w:rsidRPr="00D803D7">
        <w:t>rzez operator</w:t>
      </w:r>
      <w:r w:rsidR="00414DC6">
        <w:t>a</w:t>
      </w:r>
      <w:r w:rsidR="00D803D7" w:rsidRPr="00D803D7">
        <w:t xml:space="preserve"> – </w:t>
      </w:r>
      <w:r w:rsidR="007A4FEC">
        <w:t xml:space="preserve">po zakończeniu realizacji obecnych programów inwestycyjnych wymianę </w:t>
      </w:r>
      <w:r w:rsidR="00D803D7" w:rsidRPr="00D803D7">
        <w:t xml:space="preserve">wyłącznie na </w:t>
      </w:r>
      <w:r w:rsidR="00D803D7">
        <w:t xml:space="preserve">używane </w:t>
      </w:r>
      <w:r w:rsidR="00D803D7" w:rsidRPr="00D803D7">
        <w:t>autobusy zasilane olejem napędowym</w:t>
      </w:r>
      <w:r w:rsidR="00932CB6" w:rsidRPr="00177266">
        <w:t>.</w:t>
      </w:r>
    </w:p>
    <w:p w14:paraId="7E8C546A" w14:textId="7CB77D41" w:rsidR="00C53C74" w:rsidRPr="00821AF6" w:rsidRDefault="00C53C74" w:rsidP="0048088F">
      <w:r w:rsidRPr="00821AF6">
        <w:t xml:space="preserve">W rezultacie przeprowadzonej </w:t>
      </w:r>
      <w:r w:rsidR="00EF0EE1" w:rsidRPr="00821AF6">
        <w:t xml:space="preserve">w poprzednich podrozdziałach </w:t>
      </w:r>
      <w:r w:rsidRPr="00821AF6">
        <w:t>wstępnej analiz</w:t>
      </w:r>
      <w:r w:rsidR="00174D1F" w:rsidRPr="00821AF6">
        <w:t>y</w:t>
      </w:r>
      <w:r w:rsidR="00EE54F4" w:rsidRPr="00821AF6">
        <w:t>,</w:t>
      </w:r>
      <w:r w:rsidR="00EF0EE1" w:rsidRPr="00821AF6">
        <w:t xml:space="preserve"> </w:t>
      </w:r>
      <w:r w:rsidR="00177266">
        <w:t xml:space="preserve">dla potrzeb bieżącego opracowania (tj. dla uwarunkowań 2021 r.), </w:t>
      </w:r>
      <w:r w:rsidRPr="00821AF6">
        <w:t xml:space="preserve">zidentyfikowano </w:t>
      </w:r>
      <w:r w:rsidR="003739C9">
        <w:t xml:space="preserve">trzy </w:t>
      </w:r>
      <w:r w:rsidRPr="00821AF6">
        <w:t xml:space="preserve">warianty </w:t>
      </w:r>
      <w:r w:rsidR="00EE54F4" w:rsidRPr="00821AF6">
        <w:t xml:space="preserve">możliwych </w:t>
      </w:r>
      <w:r w:rsidRPr="00821AF6">
        <w:t xml:space="preserve">zmian wyposażenia taborowego </w:t>
      </w:r>
      <w:r w:rsidR="00C73F5E">
        <w:t>rzeszowskie</w:t>
      </w:r>
      <w:r w:rsidR="00AE0C28">
        <w:t>j</w:t>
      </w:r>
      <w:r w:rsidR="0066427A">
        <w:t xml:space="preserve"> </w:t>
      </w:r>
      <w:r w:rsidRPr="00821AF6">
        <w:t>komunikacji miejskiej</w:t>
      </w:r>
      <w:r w:rsidR="007A4FEC">
        <w:t xml:space="preserve">. W każdym wariancie uwzględniono </w:t>
      </w:r>
      <w:r w:rsidRPr="00821AF6">
        <w:t>:</w:t>
      </w:r>
    </w:p>
    <w:p w14:paraId="448D81E4" w14:textId="77777777" w:rsidR="00804070" w:rsidRDefault="00FA42AA" w:rsidP="0048088F">
      <w:pPr>
        <w:pStyle w:val="Akapitzlist"/>
        <w:numPr>
          <w:ilvl w:val="0"/>
          <w:numId w:val="11"/>
        </w:numPr>
        <w:spacing w:after="0" w:line="360" w:lineRule="auto"/>
        <w:ind w:left="357" w:hanging="357"/>
        <w:jc w:val="both"/>
        <w:rPr>
          <w:rFonts w:ascii="Tahoma" w:hAnsi="Tahoma" w:cs="Tahoma"/>
        </w:rPr>
      </w:pPr>
      <w:r w:rsidRPr="00177266">
        <w:rPr>
          <w:rFonts w:ascii="Tahoma" w:hAnsi="Tahoma" w:cs="Tahoma"/>
          <w:u w:val="single"/>
        </w:rPr>
        <w:t>konwencjonalny</w:t>
      </w:r>
      <w:r w:rsidR="00EE54F4" w:rsidRPr="00177266">
        <w:rPr>
          <w:rFonts w:ascii="Tahoma" w:hAnsi="Tahoma" w:cs="Tahoma"/>
        </w:rPr>
        <w:t xml:space="preserve">, </w:t>
      </w:r>
      <w:r w:rsidR="00107E4B" w:rsidRPr="00177266">
        <w:rPr>
          <w:rFonts w:ascii="Tahoma" w:hAnsi="Tahoma" w:cs="Tahoma"/>
        </w:rPr>
        <w:t>w którym założono</w:t>
      </w:r>
      <w:r w:rsidR="00804070">
        <w:rPr>
          <w:rFonts w:ascii="Tahoma" w:hAnsi="Tahoma" w:cs="Tahoma"/>
        </w:rPr>
        <w:t>:</w:t>
      </w:r>
    </w:p>
    <w:p w14:paraId="79F0B89E" w14:textId="15908643" w:rsidR="00804070" w:rsidRDefault="00804070" w:rsidP="0048088F">
      <w:pPr>
        <w:pStyle w:val="Akapitzlist"/>
        <w:numPr>
          <w:ilvl w:val="1"/>
          <w:numId w:val="23"/>
        </w:numPr>
        <w:spacing w:after="0" w:line="360" w:lineRule="auto"/>
        <w:ind w:left="709"/>
        <w:jc w:val="both"/>
        <w:rPr>
          <w:rFonts w:ascii="Tahoma" w:hAnsi="Tahoma" w:cs="Tahoma"/>
        </w:rPr>
      </w:pPr>
      <w:r>
        <w:rPr>
          <w:rFonts w:ascii="Tahoma" w:hAnsi="Tahoma" w:cs="Tahoma"/>
        </w:rPr>
        <w:t>w okresie po 2027 r. – wprowadzanie</w:t>
      </w:r>
      <w:r w:rsidRPr="00804070">
        <w:rPr>
          <w:rFonts w:ascii="Tahoma" w:hAnsi="Tahoma" w:cs="Tahoma"/>
        </w:rPr>
        <w:t>, według harmonogramu MPK dla autobusów wodorowych, bateryjnych autobusów elektrycznych klasy maxi, z szybkim doładowaniem pantografowym na pętlach i uzupełniającym plug-in na terenie zajezdni</w:t>
      </w:r>
      <w:r>
        <w:rPr>
          <w:rFonts w:ascii="Tahoma" w:hAnsi="Tahoma" w:cs="Tahoma"/>
        </w:rPr>
        <w:t>;</w:t>
      </w:r>
    </w:p>
    <w:p w14:paraId="0B4966F9" w14:textId="10CBEA85" w:rsidR="000252BC" w:rsidRPr="00301DE8" w:rsidRDefault="00804070" w:rsidP="0048088F">
      <w:pPr>
        <w:pStyle w:val="Akapitzlist"/>
        <w:numPr>
          <w:ilvl w:val="1"/>
          <w:numId w:val="23"/>
        </w:numPr>
        <w:spacing w:after="0" w:line="360" w:lineRule="auto"/>
        <w:ind w:left="709"/>
        <w:jc w:val="both"/>
        <w:rPr>
          <w:rFonts w:ascii="Tahoma" w:hAnsi="Tahoma" w:cs="Tahoma"/>
        </w:rPr>
      </w:pPr>
      <w:r>
        <w:rPr>
          <w:rFonts w:ascii="Tahoma" w:hAnsi="Tahoma" w:cs="Tahoma"/>
        </w:rPr>
        <w:t xml:space="preserve">w pozostałym zakresie – </w:t>
      </w:r>
      <w:r w:rsidR="00783C7C" w:rsidRPr="00783C7C">
        <w:rPr>
          <w:rFonts w:ascii="Tahoma" w:hAnsi="Tahoma" w:cs="Tahoma"/>
        </w:rPr>
        <w:t xml:space="preserve">sukcesywną wymianę </w:t>
      </w:r>
      <w:r w:rsidR="00783C7C">
        <w:rPr>
          <w:rFonts w:ascii="Tahoma" w:hAnsi="Tahoma" w:cs="Tahoma"/>
        </w:rPr>
        <w:t xml:space="preserve">wyeksploatowanego </w:t>
      </w:r>
      <w:r w:rsidR="00783C7C" w:rsidRPr="00783C7C">
        <w:rPr>
          <w:rFonts w:ascii="Tahoma" w:hAnsi="Tahoma" w:cs="Tahoma"/>
        </w:rPr>
        <w:t>taboru na</w:t>
      </w:r>
      <w:r w:rsidR="003739C9">
        <w:rPr>
          <w:rFonts w:ascii="Tahoma" w:hAnsi="Tahoma" w:cs="Tahoma"/>
        </w:rPr>
        <w:t> </w:t>
      </w:r>
      <w:r w:rsidR="00783C7C" w:rsidRPr="00783C7C">
        <w:rPr>
          <w:rFonts w:ascii="Tahoma" w:hAnsi="Tahoma" w:cs="Tahoma"/>
        </w:rPr>
        <w:t xml:space="preserve">nowe </w:t>
      </w:r>
      <w:r w:rsidR="00783C7C" w:rsidRPr="00301DE8">
        <w:rPr>
          <w:rFonts w:ascii="Tahoma" w:hAnsi="Tahoma" w:cs="Tahoma"/>
        </w:rPr>
        <w:t xml:space="preserve">pojazdy </w:t>
      </w:r>
      <w:r w:rsidR="00712674" w:rsidRPr="00301DE8">
        <w:rPr>
          <w:rFonts w:ascii="Tahoma" w:hAnsi="Tahoma" w:cs="Tahoma"/>
        </w:rPr>
        <w:t>spalinowe z silnikami Diesla</w:t>
      </w:r>
      <w:r w:rsidR="00FA42AA" w:rsidRPr="00301DE8">
        <w:rPr>
          <w:rFonts w:ascii="Tahoma" w:hAnsi="Tahoma" w:cs="Tahoma"/>
        </w:rPr>
        <w:t>;</w:t>
      </w:r>
    </w:p>
    <w:p w14:paraId="3DDA1AC9" w14:textId="77777777" w:rsidR="005D0A12" w:rsidRDefault="005D0A12" w:rsidP="0048088F">
      <w:pPr>
        <w:pStyle w:val="Akapitzlist"/>
        <w:numPr>
          <w:ilvl w:val="0"/>
          <w:numId w:val="11"/>
        </w:numPr>
        <w:spacing w:after="0" w:line="360" w:lineRule="auto"/>
        <w:ind w:left="357" w:hanging="357"/>
        <w:jc w:val="both"/>
        <w:rPr>
          <w:rFonts w:ascii="Tahoma" w:hAnsi="Tahoma" w:cs="Tahoma"/>
        </w:rPr>
      </w:pPr>
      <w:r>
        <w:rPr>
          <w:rFonts w:ascii="Tahoma" w:hAnsi="Tahoma" w:cs="Tahoma"/>
          <w:u w:val="single"/>
        </w:rPr>
        <w:t>wodorowy</w:t>
      </w:r>
      <w:r w:rsidRPr="00177266">
        <w:rPr>
          <w:rFonts w:ascii="Tahoma" w:hAnsi="Tahoma" w:cs="Tahoma"/>
        </w:rPr>
        <w:t>, w którym założono</w:t>
      </w:r>
      <w:r>
        <w:rPr>
          <w:rFonts w:ascii="Tahoma" w:hAnsi="Tahoma" w:cs="Tahoma"/>
        </w:rPr>
        <w:t>:</w:t>
      </w:r>
    </w:p>
    <w:p w14:paraId="73427618" w14:textId="77777777" w:rsidR="005D0A12" w:rsidRDefault="005D0A12" w:rsidP="0048088F">
      <w:pPr>
        <w:pStyle w:val="Akapitzlist"/>
        <w:numPr>
          <w:ilvl w:val="1"/>
          <w:numId w:val="23"/>
        </w:numPr>
        <w:spacing w:after="0" w:line="360" w:lineRule="auto"/>
        <w:ind w:left="709"/>
        <w:jc w:val="both"/>
        <w:rPr>
          <w:rFonts w:ascii="Tahoma" w:hAnsi="Tahoma" w:cs="Tahoma"/>
        </w:rPr>
      </w:pPr>
      <w:r>
        <w:rPr>
          <w:rFonts w:ascii="Tahoma" w:hAnsi="Tahoma" w:cs="Tahoma"/>
        </w:rPr>
        <w:t>wprowadzanie do eksploatacji według harmonogramu określonego przez MPK autobusów elektrycznych wyposażonych w wodorowe ogniwa paliwowe;</w:t>
      </w:r>
    </w:p>
    <w:p w14:paraId="57B97832" w14:textId="77777777" w:rsidR="005D0A12" w:rsidRDefault="005D0A12" w:rsidP="0048088F">
      <w:pPr>
        <w:pStyle w:val="Akapitzlist"/>
        <w:numPr>
          <w:ilvl w:val="1"/>
          <w:numId w:val="23"/>
        </w:numPr>
        <w:spacing w:after="0" w:line="360" w:lineRule="auto"/>
        <w:ind w:left="709"/>
        <w:jc w:val="both"/>
        <w:rPr>
          <w:rFonts w:ascii="Tahoma" w:hAnsi="Tahoma" w:cs="Tahoma"/>
        </w:rPr>
      </w:pPr>
      <w:r>
        <w:rPr>
          <w:rFonts w:ascii="Tahoma" w:hAnsi="Tahoma" w:cs="Tahoma"/>
        </w:rPr>
        <w:t xml:space="preserve">w okresie do 2027 r. – uzupełniające </w:t>
      </w:r>
      <w:r w:rsidRPr="00177266">
        <w:rPr>
          <w:rFonts w:ascii="Tahoma" w:hAnsi="Tahoma" w:cs="Tahoma"/>
        </w:rPr>
        <w:t xml:space="preserve">sukcesywne wprowadzanie kolejnych bateryjnych autobusów elektrycznych klasy maxi, </w:t>
      </w:r>
      <w:r w:rsidRPr="00783C7C">
        <w:rPr>
          <w:rFonts w:ascii="Tahoma" w:hAnsi="Tahoma" w:cs="Tahoma"/>
        </w:rPr>
        <w:t xml:space="preserve">z </w:t>
      </w:r>
      <w:r>
        <w:rPr>
          <w:rFonts w:ascii="Tahoma" w:hAnsi="Tahoma" w:cs="Tahoma"/>
        </w:rPr>
        <w:t>ładowaniem</w:t>
      </w:r>
      <w:r w:rsidRPr="00783C7C">
        <w:rPr>
          <w:rFonts w:ascii="Tahoma" w:hAnsi="Tahoma" w:cs="Tahoma"/>
        </w:rPr>
        <w:t xml:space="preserve"> </w:t>
      </w:r>
      <w:r>
        <w:rPr>
          <w:rFonts w:ascii="Tahoma" w:hAnsi="Tahoma" w:cs="Tahoma"/>
        </w:rPr>
        <w:t xml:space="preserve">wyłącznie </w:t>
      </w:r>
      <w:r w:rsidRPr="00783C7C">
        <w:rPr>
          <w:rFonts w:ascii="Tahoma" w:hAnsi="Tahoma" w:cs="Tahoma"/>
        </w:rPr>
        <w:t>plug-in na terenie zajezdni – w celu spełnienia wymogów określonych ustawą o elektromobilności</w:t>
      </w:r>
      <w:r>
        <w:rPr>
          <w:rFonts w:ascii="Tahoma" w:hAnsi="Tahoma" w:cs="Tahoma"/>
        </w:rPr>
        <w:t>;</w:t>
      </w:r>
    </w:p>
    <w:p w14:paraId="4C003050" w14:textId="77777777" w:rsidR="005D0A12" w:rsidRPr="00177266" w:rsidRDefault="005D0A12" w:rsidP="0048088F">
      <w:pPr>
        <w:pStyle w:val="Akapitzlist"/>
        <w:numPr>
          <w:ilvl w:val="1"/>
          <w:numId w:val="23"/>
        </w:numPr>
        <w:spacing w:after="0" w:line="360" w:lineRule="auto"/>
        <w:ind w:left="709"/>
        <w:jc w:val="both"/>
        <w:rPr>
          <w:rFonts w:ascii="Tahoma" w:hAnsi="Tahoma" w:cs="Tahoma"/>
        </w:rPr>
      </w:pPr>
      <w:r>
        <w:rPr>
          <w:rFonts w:ascii="Tahoma" w:hAnsi="Tahoma" w:cs="Tahoma"/>
        </w:rPr>
        <w:t>w pozostałym zakresie – wprowadzanie autobusów zasilanych olejem napędowym.</w:t>
      </w:r>
    </w:p>
    <w:p w14:paraId="4F965BDE" w14:textId="14A89D0A" w:rsidR="00336C7B" w:rsidRDefault="00FA42AA" w:rsidP="002E7D82">
      <w:pPr>
        <w:pStyle w:val="Akapitzlist"/>
        <w:keepNext/>
        <w:numPr>
          <w:ilvl w:val="0"/>
          <w:numId w:val="11"/>
        </w:numPr>
        <w:spacing w:after="0" w:line="360" w:lineRule="auto"/>
        <w:ind w:left="357" w:hanging="357"/>
        <w:jc w:val="both"/>
        <w:rPr>
          <w:rFonts w:ascii="Tahoma" w:hAnsi="Tahoma" w:cs="Tahoma"/>
        </w:rPr>
      </w:pPr>
      <w:r w:rsidRPr="00177266">
        <w:rPr>
          <w:rFonts w:ascii="Tahoma" w:hAnsi="Tahoma" w:cs="Tahoma"/>
          <w:u w:val="single"/>
        </w:rPr>
        <w:lastRenderedPageBreak/>
        <w:t>elektryczn</w:t>
      </w:r>
      <w:r w:rsidR="00786BBC" w:rsidRPr="00177266">
        <w:rPr>
          <w:rFonts w:ascii="Tahoma" w:hAnsi="Tahoma" w:cs="Tahoma"/>
          <w:u w:val="single"/>
        </w:rPr>
        <w:t>y</w:t>
      </w:r>
      <w:r w:rsidR="00EE54F4" w:rsidRPr="00177266">
        <w:rPr>
          <w:rFonts w:ascii="Tahoma" w:hAnsi="Tahoma" w:cs="Tahoma"/>
        </w:rPr>
        <w:t xml:space="preserve">, </w:t>
      </w:r>
      <w:r w:rsidRPr="00177266">
        <w:rPr>
          <w:rFonts w:ascii="Tahoma" w:hAnsi="Tahoma" w:cs="Tahoma"/>
        </w:rPr>
        <w:t>w którym założono</w:t>
      </w:r>
      <w:r w:rsidR="00336C7B">
        <w:rPr>
          <w:rFonts w:ascii="Tahoma" w:hAnsi="Tahoma" w:cs="Tahoma"/>
        </w:rPr>
        <w:t>:</w:t>
      </w:r>
    </w:p>
    <w:p w14:paraId="1A002245" w14:textId="7EDBF7C1" w:rsidR="000252BC" w:rsidRDefault="00804070" w:rsidP="0048088F">
      <w:pPr>
        <w:pStyle w:val="Akapitzlist"/>
        <w:numPr>
          <w:ilvl w:val="1"/>
          <w:numId w:val="23"/>
        </w:numPr>
        <w:spacing w:after="0" w:line="360" w:lineRule="auto"/>
        <w:ind w:left="709"/>
        <w:jc w:val="both"/>
        <w:rPr>
          <w:rFonts w:ascii="Tahoma" w:hAnsi="Tahoma" w:cs="Tahoma"/>
        </w:rPr>
      </w:pPr>
      <w:r w:rsidRPr="00804070">
        <w:rPr>
          <w:rFonts w:ascii="Tahoma" w:hAnsi="Tahoma" w:cs="Tahoma"/>
        </w:rPr>
        <w:t>w okresie do 2027 r. – uzupełniające sukcesywne wprowadzanie kolejnych bateryjnych autobusów elektrycznych klasy maxi, z ładowaniem wyłącznie plug-in na terenie zajezdni – w celu spełnienia wymogów określonych ustawą o elektromobilności;</w:t>
      </w:r>
      <w:r w:rsidR="003739C9">
        <w:rPr>
          <w:rFonts w:ascii="Tahoma" w:hAnsi="Tahoma" w:cs="Tahoma"/>
        </w:rPr>
        <w:t>;</w:t>
      </w:r>
    </w:p>
    <w:p w14:paraId="0B84E20B" w14:textId="5A0EE3ED" w:rsidR="005D0A12" w:rsidRDefault="005D0A12" w:rsidP="0048088F">
      <w:pPr>
        <w:pStyle w:val="Akapitzlist"/>
        <w:numPr>
          <w:ilvl w:val="1"/>
          <w:numId w:val="23"/>
        </w:numPr>
        <w:spacing w:after="0" w:line="360" w:lineRule="auto"/>
        <w:ind w:left="709"/>
        <w:jc w:val="both"/>
        <w:rPr>
          <w:rFonts w:ascii="Tahoma" w:hAnsi="Tahoma" w:cs="Tahoma"/>
        </w:rPr>
      </w:pPr>
      <w:r>
        <w:rPr>
          <w:rFonts w:ascii="Tahoma" w:hAnsi="Tahoma" w:cs="Tahoma"/>
        </w:rPr>
        <w:t xml:space="preserve">w kolejnych latach </w:t>
      </w:r>
      <w:r w:rsidR="00804070">
        <w:rPr>
          <w:rFonts w:ascii="Tahoma" w:hAnsi="Tahoma" w:cs="Tahoma"/>
        </w:rPr>
        <w:t xml:space="preserve">– </w:t>
      </w:r>
      <w:r w:rsidRPr="005D0A12">
        <w:rPr>
          <w:rFonts w:ascii="Tahoma" w:hAnsi="Tahoma" w:cs="Tahoma"/>
        </w:rPr>
        <w:t>wprowadzanie</w:t>
      </w:r>
      <w:r w:rsidR="00804070">
        <w:rPr>
          <w:rFonts w:ascii="Tahoma" w:hAnsi="Tahoma" w:cs="Tahoma"/>
        </w:rPr>
        <w:t>,</w:t>
      </w:r>
      <w:r w:rsidRPr="005D0A12">
        <w:rPr>
          <w:rFonts w:ascii="Tahoma" w:hAnsi="Tahoma" w:cs="Tahoma"/>
        </w:rPr>
        <w:t xml:space="preserve"> </w:t>
      </w:r>
      <w:r w:rsidR="00804070">
        <w:rPr>
          <w:rFonts w:ascii="Tahoma" w:hAnsi="Tahoma" w:cs="Tahoma"/>
        </w:rPr>
        <w:t>według harmonogramu MPK dla autobusów wodorowych,</w:t>
      </w:r>
      <w:r w:rsidR="00804070" w:rsidRPr="005D0A12">
        <w:rPr>
          <w:rFonts w:ascii="Tahoma" w:hAnsi="Tahoma" w:cs="Tahoma"/>
        </w:rPr>
        <w:t xml:space="preserve"> </w:t>
      </w:r>
      <w:r w:rsidRPr="005D0A12">
        <w:rPr>
          <w:rFonts w:ascii="Tahoma" w:hAnsi="Tahoma" w:cs="Tahoma"/>
        </w:rPr>
        <w:t>bateryjnych autobusów elektrycznych klasy maxi, z szybkim doładowaniem pantografowym na pętlach i uzupełniającym plug-in na terenie zajezdni</w:t>
      </w:r>
      <w:r>
        <w:rPr>
          <w:rFonts w:ascii="Tahoma" w:hAnsi="Tahoma" w:cs="Tahoma"/>
        </w:rPr>
        <w:t>;</w:t>
      </w:r>
    </w:p>
    <w:p w14:paraId="2DCFA291" w14:textId="11722E03" w:rsidR="00336C7B" w:rsidRPr="00301DE8" w:rsidRDefault="00336C7B" w:rsidP="0048088F">
      <w:pPr>
        <w:pStyle w:val="Akapitzlist"/>
        <w:numPr>
          <w:ilvl w:val="1"/>
          <w:numId w:val="23"/>
        </w:numPr>
        <w:spacing w:after="0" w:line="360" w:lineRule="auto"/>
        <w:ind w:left="709"/>
        <w:jc w:val="both"/>
        <w:rPr>
          <w:rFonts w:ascii="Tahoma" w:hAnsi="Tahoma" w:cs="Tahoma"/>
        </w:rPr>
      </w:pPr>
      <w:r>
        <w:rPr>
          <w:rFonts w:ascii="Tahoma" w:hAnsi="Tahoma" w:cs="Tahoma"/>
        </w:rPr>
        <w:t xml:space="preserve">w pozostałym zakresie </w:t>
      </w:r>
      <w:r w:rsidR="00414DC6">
        <w:rPr>
          <w:rFonts w:ascii="Tahoma" w:hAnsi="Tahoma" w:cs="Tahoma"/>
        </w:rPr>
        <w:t xml:space="preserve">– </w:t>
      </w:r>
      <w:r w:rsidRPr="00301DE8">
        <w:rPr>
          <w:rFonts w:ascii="Tahoma" w:hAnsi="Tahoma" w:cs="Tahoma"/>
        </w:rPr>
        <w:t xml:space="preserve">wprowadzanie autobusów </w:t>
      </w:r>
      <w:r w:rsidR="00712674" w:rsidRPr="00301DE8">
        <w:rPr>
          <w:rFonts w:ascii="Tahoma" w:hAnsi="Tahoma" w:cs="Tahoma"/>
        </w:rPr>
        <w:t>spalinowych z silnikami Diesla</w:t>
      </w:r>
      <w:r w:rsidR="00783C7C" w:rsidRPr="00301DE8">
        <w:rPr>
          <w:rFonts w:ascii="Tahoma" w:hAnsi="Tahoma" w:cs="Tahoma"/>
        </w:rPr>
        <w:t>.</w:t>
      </w:r>
    </w:p>
    <w:p w14:paraId="2DC01E44" w14:textId="138F9EDA" w:rsidR="0048088F" w:rsidRDefault="0048088F" w:rsidP="0048088F">
      <w:bookmarkStart w:id="68" w:name="_Hlk529822458"/>
      <w:r>
        <w:t>Zakup autobusów elektrycznych w wariancie konwencjonalnym w okresie po 2028 r. wprowadzono dla zachowania porównywalności wariantów i właściwej oceny efektywności ekonomicznej różnych form wymiany taboru w okresie do 1 stycznia 2028 r.</w:t>
      </w:r>
    </w:p>
    <w:p w14:paraId="73A3C47A" w14:textId="23AF64A5" w:rsidR="00C4739E" w:rsidRDefault="00C4739E" w:rsidP="0048088F">
      <w:r>
        <w:t xml:space="preserve">We wszystkich wariantach przyjęto wprowadzenie do eksploatacji autobusów planowanych do zakupienia w ramach projektu </w:t>
      </w:r>
      <w:r w:rsidRPr="00C4739E">
        <w:t>„</w:t>
      </w:r>
      <w:r w:rsidRPr="00C4739E">
        <w:rPr>
          <w:bCs/>
        </w:rPr>
        <w:t>Rozbudowa systemu transportu publicznego w Rzeszowie</w:t>
      </w:r>
      <w:r w:rsidRPr="00C4739E">
        <w:t>”</w:t>
      </w:r>
      <w:r>
        <w:t>.</w:t>
      </w:r>
    </w:p>
    <w:p w14:paraId="77702C10" w14:textId="323EE7A4" w:rsidR="00783C7C" w:rsidRDefault="00783C7C" w:rsidP="0048088F">
      <w:r w:rsidRPr="00783C7C">
        <w:t>W</w:t>
      </w:r>
      <w:r w:rsidR="00804070">
        <w:t>e</w:t>
      </w:r>
      <w:r w:rsidRPr="00783C7C">
        <w:t xml:space="preserve"> </w:t>
      </w:r>
      <w:r w:rsidR="00804070">
        <w:t xml:space="preserve">wszystkich wariantach </w:t>
      </w:r>
      <w:r w:rsidRPr="00783C7C">
        <w:t xml:space="preserve">przyjęto </w:t>
      </w:r>
      <w:r w:rsidR="00804070">
        <w:t>sukcesywne</w:t>
      </w:r>
      <w:r>
        <w:t xml:space="preserve"> </w:t>
      </w:r>
      <w:r w:rsidR="00804070">
        <w:t>wycofywanie wyeksploatowanych</w:t>
      </w:r>
      <w:r w:rsidRPr="00783C7C">
        <w:t xml:space="preserve"> jednostek taborowych </w:t>
      </w:r>
      <w:r w:rsidR="00804070">
        <w:t xml:space="preserve">z napędem spalinowym </w:t>
      </w:r>
      <w:r w:rsidRPr="00783C7C">
        <w:t xml:space="preserve">na fabrycznie nowe, </w:t>
      </w:r>
      <w:r w:rsidR="00804070">
        <w:t xml:space="preserve">do 2026 r. według harmonogramu przygotowanego przez MPK, a w latach następnych </w:t>
      </w:r>
      <w:r>
        <w:t>po upływie 15</w:t>
      </w:r>
      <w:r w:rsidR="00804070">
        <w:t>-16</w:t>
      </w:r>
      <w:r w:rsidR="0042716C">
        <w:t xml:space="preserve"> lat eksploatacji.</w:t>
      </w:r>
    </w:p>
    <w:p w14:paraId="3249483C" w14:textId="74103B4E" w:rsidR="00804070" w:rsidRDefault="00804070" w:rsidP="0048088F">
      <w:r>
        <w:t xml:space="preserve">We wszystkich wariantach założono, że obecnie użytkowane </w:t>
      </w:r>
      <w:r w:rsidR="0048088F">
        <w:t>autobusy</w:t>
      </w:r>
      <w:r>
        <w:t xml:space="preserve"> elektryczne będą eksploatowane</w:t>
      </w:r>
      <w:r w:rsidR="0048088F">
        <w:t xml:space="preserve"> do końca okresu analizy.</w:t>
      </w:r>
    </w:p>
    <w:p w14:paraId="2E98C00D" w14:textId="0DF4E69F" w:rsidR="00A653CD" w:rsidRDefault="00041987" w:rsidP="008972C0">
      <w:r>
        <w:t>W wariantach elektryczny</w:t>
      </w:r>
      <w:r w:rsidR="008972C0">
        <w:t>m i wodorowym</w:t>
      </w:r>
      <w:r w:rsidR="00783C7C" w:rsidRPr="00783C7C">
        <w:t xml:space="preserve"> uwzględniono fakt braku eksploatacji w </w:t>
      </w:r>
      <w:r w:rsidR="00C73F5E">
        <w:t>rzeszowskie</w:t>
      </w:r>
      <w:r w:rsidR="0042716C">
        <w:t>j</w:t>
      </w:r>
      <w:r w:rsidR="00783C7C" w:rsidRPr="00783C7C">
        <w:t xml:space="preserve"> komunikacji miejskiej autobusów zeroemisyjnych</w:t>
      </w:r>
      <w:r w:rsidR="0048088F">
        <w:t xml:space="preserve"> w procencie wymaganym ustaw</w:t>
      </w:r>
      <w:r w:rsidR="008972C0">
        <w:t>ą</w:t>
      </w:r>
      <w:r w:rsidR="0048088F">
        <w:t xml:space="preserve"> o elektromobilności</w:t>
      </w:r>
      <w:r w:rsidR="00783C7C" w:rsidRPr="00783C7C">
        <w:t>, spowodowany wynikiem analizy kosztów i korzyści przeprowadzonej w 2018 r., niewprowadzają</w:t>
      </w:r>
      <w:r w:rsidR="00AD709C">
        <w:t>cej takiego obowiązku. Uzn</w:t>
      </w:r>
      <w:r w:rsidR="00783C7C" w:rsidRPr="00783C7C">
        <w:t>ając realną możliwość wprowadzenia do eks</w:t>
      </w:r>
      <w:r w:rsidR="00AD709C">
        <w:t xml:space="preserve">ploatacji </w:t>
      </w:r>
      <w:r w:rsidR="0048088F">
        <w:t xml:space="preserve">dodatkowego </w:t>
      </w:r>
      <w:r w:rsidR="00AD709C">
        <w:t>taboru zeroemisyjnego</w:t>
      </w:r>
      <w:r w:rsidR="00783C7C" w:rsidRPr="00783C7C">
        <w:t xml:space="preserve"> i budowy instalacji jego zasilania najwcześniej po upływie </w:t>
      </w:r>
      <w:r w:rsidR="008972C0">
        <w:t>dwóch lat</w:t>
      </w:r>
      <w:r w:rsidR="00783C7C" w:rsidRPr="00783C7C">
        <w:t xml:space="preserve"> (okres </w:t>
      </w:r>
      <w:r w:rsidR="008972C0">
        <w:t xml:space="preserve">pozyskania finansowania, procedur przetargowych, </w:t>
      </w:r>
      <w:r w:rsidR="00783C7C" w:rsidRPr="00783C7C">
        <w:t>uzyskania pozwoleń na</w:t>
      </w:r>
      <w:r w:rsidR="008972C0">
        <w:t xml:space="preserve"> budowę, realizacji inwestycji </w:t>
      </w:r>
      <w:r w:rsidR="00414DC6">
        <w:t>i</w:t>
      </w:r>
      <w:r w:rsidR="00783C7C" w:rsidRPr="00783C7C">
        <w:t xml:space="preserve"> zakupu taboru), przyjęto wprowadzenie </w:t>
      </w:r>
      <w:r w:rsidR="008972C0">
        <w:t>dodatkowych</w:t>
      </w:r>
      <w:r w:rsidR="00783C7C" w:rsidRPr="00783C7C">
        <w:t xml:space="preserve"> autobusów zeroemisyjnych do codziennej eksploatacji w komunikacji mie</w:t>
      </w:r>
      <w:r w:rsidR="00AD709C">
        <w:t xml:space="preserve">jskiej dopiero </w:t>
      </w:r>
      <w:r w:rsidR="008972C0">
        <w:t>w 2024</w:t>
      </w:r>
      <w:r w:rsidR="00AD709C">
        <w:t> </w:t>
      </w:r>
      <w:r w:rsidR="00783C7C" w:rsidRPr="00783C7C">
        <w:t xml:space="preserve">r. </w:t>
      </w:r>
      <w:r w:rsidR="00414DC6">
        <w:t>Założono także</w:t>
      </w:r>
      <w:r w:rsidR="008972C0">
        <w:t xml:space="preserve"> nabywanie</w:t>
      </w:r>
      <w:r w:rsidR="00783C7C" w:rsidRPr="00783C7C">
        <w:t xml:space="preserve"> au</w:t>
      </w:r>
      <w:r w:rsidR="008972C0">
        <w:t>tobusów elektrycznych w klasach proponowanych przez MPK.</w:t>
      </w:r>
    </w:p>
    <w:p w14:paraId="68FDFA8B" w14:textId="4BE107E9" w:rsidR="00A653CD" w:rsidRDefault="00A653CD" w:rsidP="008972C0">
      <w:r>
        <w:t>W wariantach elektryczny</w:t>
      </w:r>
      <w:r w:rsidR="008972C0">
        <w:t>m i wodorowym</w:t>
      </w:r>
      <w:r w:rsidRPr="00821AF6">
        <w:t xml:space="preserve"> przyjęto zasadę zastępowania pojazdów spalinowych w ruchu </w:t>
      </w:r>
      <w:r>
        <w:t xml:space="preserve">zależną od rodzaju zasilania taboru. </w:t>
      </w:r>
      <w:r w:rsidR="008972C0">
        <w:t>D</w:t>
      </w:r>
      <w:r>
        <w:t xml:space="preserve">la autobusów elektrycznych doładowywanych na pętlach, przyjęto zasadę zastępowania </w:t>
      </w:r>
      <w:r w:rsidR="008972C0">
        <w:t>siedmiu</w:t>
      </w:r>
      <w:r>
        <w:t xml:space="preserve"> autobusów spalinowych </w:t>
      </w:r>
      <w:r w:rsidR="008972C0">
        <w:t>ośmioma</w:t>
      </w:r>
      <w:r>
        <w:t xml:space="preserve"> autobusami elektrycznymi</w:t>
      </w:r>
      <w:r w:rsidR="00414DC6">
        <w:t xml:space="preserve"> –</w:t>
      </w:r>
      <w:r>
        <w:t xml:space="preserve"> z uwagi na konieczny dodatkowy czas postoju na pętli, niezbędny na doładowanie baterii. </w:t>
      </w:r>
      <w:r w:rsidR="008972C0">
        <w:t>Dla</w:t>
      </w:r>
      <w:r>
        <w:t xml:space="preserve"> autobusów </w:t>
      </w:r>
      <w:r w:rsidR="008972C0">
        <w:t>wodorowych</w:t>
      </w:r>
      <w:r>
        <w:t xml:space="preserve"> przyjęto zastępowanie autobusów spalinowych analogiczną liczbą </w:t>
      </w:r>
      <w:r w:rsidRPr="00821AF6">
        <w:t>autobus</w:t>
      </w:r>
      <w:r>
        <w:t>ów zeroemisyjnych.</w:t>
      </w:r>
    </w:p>
    <w:p w14:paraId="51C25EAC" w14:textId="72CB9AA5" w:rsidR="0065465C" w:rsidRDefault="0065465C" w:rsidP="008972C0">
      <w:r w:rsidRPr="00821AF6">
        <w:lastRenderedPageBreak/>
        <w:t xml:space="preserve">We wszystkich wariantach założono nabywanie w procesie wymiany taboru </w:t>
      </w:r>
      <w:r>
        <w:t xml:space="preserve">spalinowego </w:t>
      </w:r>
      <w:r w:rsidRPr="00821AF6">
        <w:t xml:space="preserve">nowych pojazdów klasy </w:t>
      </w:r>
      <w:r>
        <w:t>takiej</w:t>
      </w:r>
      <w:r w:rsidR="00414DC6">
        <w:t>,</w:t>
      </w:r>
      <w:r>
        <w:t xml:space="preserve"> jak </w:t>
      </w:r>
      <w:r w:rsidR="00414DC6">
        <w:t xml:space="preserve">dany </w:t>
      </w:r>
      <w:r>
        <w:t>pojazd wycofywany z ruchu</w:t>
      </w:r>
      <w:r w:rsidRPr="00821AF6">
        <w:t>.</w:t>
      </w:r>
    </w:p>
    <w:p w14:paraId="3BDD6574" w14:textId="7FD5CBF3" w:rsidR="0042716C" w:rsidRPr="0042716C" w:rsidRDefault="0042716C" w:rsidP="000B0A13">
      <w:r w:rsidRPr="0042716C">
        <w:t xml:space="preserve">Poza opisanymi wyżej wariantami inwestycyjnymi utworzono scenariusz bazowy, o charakterze wyłącznie porównawczym, w którym założono </w:t>
      </w:r>
      <w:r w:rsidR="00D80909">
        <w:t xml:space="preserve">sukcesywną </w:t>
      </w:r>
      <w:r w:rsidRPr="0042716C">
        <w:t>wymianę jedno</w:t>
      </w:r>
      <w:r w:rsidR="008972C0">
        <w:t>stek taborowych po 18</w:t>
      </w:r>
      <w:r w:rsidRPr="0042716C">
        <w:t xml:space="preserve"> latach eksploatacji na analogiczne używane</w:t>
      </w:r>
      <w:r w:rsidR="00D80909">
        <w:t>,</w:t>
      </w:r>
      <w:r w:rsidR="00D80909" w:rsidRPr="00D80909">
        <w:t xml:space="preserve"> </w:t>
      </w:r>
      <w:r w:rsidR="00D80909" w:rsidRPr="0042716C">
        <w:t>zasilane olejem napędowym</w:t>
      </w:r>
      <w:r w:rsidRPr="0042716C">
        <w:t xml:space="preserve"> w</w:t>
      </w:r>
      <w:r w:rsidR="00FA70E6">
        <w:t> </w:t>
      </w:r>
      <w:r w:rsidRPr="0042716C">
        <w:t xml:space="preserve">średnim wieku 8 lat </w:t>
      </w:r>
      <w:r w:rsidR="00D80909">
        <w:t>albo fabrycznie nowe zasilane</w:t>
      </w:r>
      <w:r w:rsidR="0065465C">
        <w:t xml:space="preserve"> CNG</w:t>
      </w:r>
      <w:r w:rsidR="00D80909">
        <w:t xml:space="preserve">, z uwagi na brak na rynku </w:t>
      </w:r>
      <w:r w:rsidR="00100F69">
        <w:t>dostatecznej dostępności używanych autobusów zasilanych sprężonym gazem ziemnym</w:t>
      </w:r>
      <w:r w:rsidRPr="0042716C">
        <w:t>.</w:t>
      </w:r>
    </w:p>
    <w:p w14:paraId="1F3F9D70" w14:textId="674F27DE" w:rsidR="00A97EB9" w:rsidRPr="00821AF6" w:rsidRDefault="00A97EB9" w:rsidP="000B0A13">
      <w:r w:rsidRPr="00177266">
        <w:t xml:space="preserve">We wszystkich wariantach analizy </w:t>
      </w:r>
      <w:r w:rsidR="006F3550" w:rsidRPr="00177266">
        <w:t>przyjęto</w:t>
      </w:r>
      <w:r w:rsidR="006F3550">
        <w:t>,</w:t>
      </w:r>
      <w:r w:rsidR="006F3550" w:rsidRPr="00177266">
        <w:t xml:space="preserve"> </w:t>
      </w:r>
      <w:r w:rsidR="000B0A13">
        <w:t xml:space="preserve">przez cały okres </w:t>
      </w:r>
      <w:r w:rsidR="006F3550">
        <w:t>objęty analizą,</w:t>
      </w:r>
      <w:r w:rsidR="000B0A13">
        <w:t xml:space="preserve"> stały</w:t>
      </w:r>
      <w:r w:rsidR="00CC68F6">
        <w:t xml:space="preserve"> </w:t>
      </w:r>
      <w:r w:rsidRPr="00177266">
        <w:t xml:space="preserve">zakres </w:t>
      </w:r>
      <w:r w:rsidR="00CC68F6">
        <w:t xml:space="preserve">wykonywanej </w:t>
      </w:r>
      <w:r w:rsidRPr="00177266">
        <w:t xml:space="preserve">pracy eksploatacyjnej, wyrażonej liczbą wozokilometrów, </w:t>
      </w:r>
      <w:r w:rsidR="000B0A13">
        <w:t>na</w:t>
      </w:r>
      <w:r w:rsidR="00CC68F6">
        <w:t xml:space="preserve"> </w:t>
      </w:r>
      <w:r w:rsidRPr="00177266">
        <w:t>pozio</w:t>
      </w:r>
      <w:r w:rsidR="000B0A13">
        <w:t>mie</w:t>
      </w:r>
      <w:r w:rsidRPr="00177266">
        <w:t xml:space="preserve"> </w:t>
      </w:r>
      <w:r w:rsidR="000B0A13">
        <w:t>10 60</w:t>
      </w:r>
      <w:r w:rsidR="00CC68F6">
        <w:t>0</w:t>
      </w:r>
      <w:r>
        <w:t xml:space="preserve"> tys. wozokilometrów</w:t>
      </w:r>
      <w:r w:rsidR="00CC68F6">
        <w:t xml:space="preserve">. </w:t>
      </w:r>
      <w:r>
        <w:t>Powyższe założenie służy jedynie porównaniu kosztów i korzyści w poszczególnych wariantach, w związku z</w:t>
      </w:r>
      <w:r w:rsidR="00FA70E6">
        <w:t> </w:t>
      </w:r>
      <w:r>
        <w:t xml:space="preserve">czym ma znaczenie wyłącznie teoretyczne, </w:t>
      </w:r>
      <w:r w:rsidR="00FA70E6">
        <w:t xml:space="preserve">ponieważ </w:t>
      </w:r>
      <w:r>
        <w:t>rzeczywisty zakres pracy eksploatacyjnej będzie wynikał z potrzeb mieszkańców miasta i okolicznych gmin oraz możliwości finansowych budżetów gmin.</w:t>
      </w:r>
    </w:p>
    <w:bookmarkEnd w:id="68"/>
    <w:p w14:paraId="06C577BF" w14:textId="3D8B2F30" w:rsidR="00490B8A" w:rsidRPr="00821AF6" w:rsidRDefault="00490B8A" w:rsidP="000B0A13">
      <w:r w:rsidRPr="00E916ED">
        <w:t xml:space="preserve">Pracę eksploatacyjną pojazdów elektrycznych przyjęto </w:t>
      </w:r>
      <w:r w:rsidR="000B0A13">
        <w:t>od 2022 r.</w:t>
      </w:r>
      <w:r w:rsidRPr="00E916ED">
        <w:t xml:space="preserve"> na poziomie</w:t>
      </w:r>
      <w:r w:rsidR="000B0A13">
        <w:t xml:space="preserve"> </w:t>
      </w:r>
      <w:r w:rsidR="00E916ED" w:rsidRPr="00E916ED">
        <w:t>4</w:t>
      </w:r>
      <w:r w:rsidR="000B0A13">
        <w:t>3</w:t>
      </w:r>
      <w:r w:rsidR="00FA70E6">
        <w:t> </w:t>
      </w:r>
      <w:r w:rsidRPr="00E916ED">
        <w:t xml:space="preserve">tys. km rocznie na jeden pojazd na stanie floty. </w:t>
      </w:r>
      <w:r w:rsidRPr="00301DE8">
        <w:t>Pracę eksplo</w:t>
      </w:r>
      <w:r w:rsidR="00E916ED" w:rsidRPr="00301DE8">
        <w:t>atacyjną dla autobusów zasilanych</w:t>
      </w:r>
      <w:r w:rsidRPr="00301DE8">
        <w:t xml:space="preserve"> CNG przyjęto </w:t>
      </w:r>
      <w:r w:rsidR="000B0A13">
        <w:t xml:space="preserve">od 2022 r. </w:t>
      </w:r>
      <w:r w:rsidR="00D8432E" w:rsidRPr="00301DE8">
        <w:t xml:space="preserve">w wysokości </w:t>
      </w:r>
      <w:r w:rsidR="000B0A13">
        <w:t>50 tys. km rocznie.</w:t>
      </w:r>
      <w:r w:rsidR="00D8432E" w:rsidRPr="00301DE8">
        <w:t xml:space="preserve"> </w:t>
      </w:r>
      <w:r w:rsidR="000B0A13">
        <w:t>D</w:t>
      </w:r>
      <w:r w:rsidR="00D8432E" w:rsidRPr="00301DE8">
        <w:t xml:space="preserve">la </w:t>
      </w:r>
      <w:r w:rsidR="00E916ED" w:rsidRPr="00301DE8">
        <w:t xml:space="preserve">autobusów </w:t>
      </w:r>
      <w:r w:rsidR="000B0A13">
        <w:t>klasy mega</w:t>
      </w:r>
      <w:r w:rsidR="000B0A13" w:rsidRPr="00301DE8">
        <w:t xml:space="preserve"> </w:t>
      </w:r>
      <w:r w:rsidR="00E916ED" w:rsidRPr="00301DE8">
        <w:t xml:space="preserve">zasilanych olejem napędowym </w:t>
      </w:r>
      <w:r w:rsidR="000B0A13">
        <w:t>pracę eksploatacyjną przyjęto w wysokości 40 tys. km rocznie, z uwagi na ich wykorzystywanie w okresach zwiększonej liczby pasażerów, natomiast dla pozostałych pojazdów</w:t>
      </w:r>
      <w:r w:rsidR="000B0A13" w:rsidRPr="00301DE8">
        <w:t xml:space="preserve"> </w:t>
      </w:r>
      <w:r w:rsidR="00D8432E" w:rsidRPr="00301DE8">
        <w:t xml:space="preserve">ustalono </w:t>
      </w:r>
      <w:r w:rsidR="00E916ED" w:rsidRPr="00301DE8">
        <w:t>wynikowo</w:t>
      </w:r>
      <w:r w:rsidRPr="00301DE8">
        <w:t>.</w:t>
      </w:r>
    </w:p>
    <w:p w14:paraId="6A1C45DD" w14:textId="1D6031F4" w:rsidR="003A3016" w:rsidRDefault="003A3016" w:rsidP="000B0A13">
      <w:r w:rsidRPr="00821AF6">
        <w:t xml:space="preserve">Uwzględniając obecnie przyjętą zasadę </w:t>
      </w:r>
      <w:r w:rsidR="000B0A13">
        <w:t>wydzierżawiania</w:t>
      </w:r>
      <w:r w:rsidRPr="00821AF6">
        <w:t xml:space="preserve"> operatorowi zakupionych przez Miasto </w:t>
      </w:r>
      <w:r w:rsidR="00AE61D8">
        <w:t>autobusów</w:t>
      </w:r>
      <w:r w:rsidRPr="00821AF6">
        <w:t xml:space="preserve">, a także umiarkowaną zdolność finansową </w:t>
      </w:r>
      <w:r w:rsidR="00C73F5E">
        <w:t>MPK</w:t>
      </w:r>
      <w:r w:rsidR="000B0A13">
        <w:t>-Rzeszów</w:t>
      </w:r>
      <w:r w:rsidR="00C73F5E">
        <w:t xml:space="preserve"> </w:t>
      </w:r>
      <w:r w:rsidRPr="00821AF6">
        <w:t xml:space="preserve">sp. z o.o. </w:t>
      </w:r>
      <w:r w:rsidR="00EA59E6">
        <w:t xml:space="preserve">do kolejnych inwestycji, </w:t>
      </w:r>
      <w:r w:rsidRPr="00821AF6">
        <w:t>uznano</w:t>
      </w:r>
      <w:r w:rsidR="00EA59E6">
        <w:t xml:space="preserve"> </w:t>
      </w:r>
      <w:r w:rsidRPr="00821AF6">
        <w:t xml:space="preserve">że w okresie analizy zakupy </w:t>
      </w:r>
      <w:r w:rsidR="008E6735">
        <w:t xml:space="preserve">części </w:t>
      </w:r>
      <w:r w:rsidRPr="00821AF6">
        <w:t xml:space="preserve">nowego taboru realizować będzie Miasto, udostępniając </w:t>
      </w:r>
      <w:r w:rsidR="00EE56B8">
        <w:t xml:space="preserve">następnie </w:t>
      </w:r>
      <w:r w:rsidRPr="00821AF6">
        <w:t xml:space="preserve">tabor </w:t>
      </w:r>
      <w:r w:rsidR="00786BBC" w:rsidRPr="00821AF6">
        <w:t>operatorowi.</w:t>
      </w:r>
      <w:r w:rsidR="00195F13" w:rsidRPr="00821AF6">
        <w:t xml:space="preserve"> Jest to jednak wyłącznie założenie </w:t>
      </w:r>
      <w:r w:rsidR="00EA59E6">
        <w:t xml:space="preserve">przyjęte </w:t>
      </w:r>
      <w:r w:rsidR="00195F13" w:rsidRPr="00821AF6">
        <w:t xml:space="preserve">do celów analizy porównawczej wariantów, niezamykające </w:t>
      </w:r>
      <w:r w:rsidR="00EA59E6">
        <w:t xml:space="preserve">absolutnie </w:t>
      </w:r>
      <w:r w:rsidR="00195F13" w:rsidRPr="00821AF6">
        <w:t>możliwości nabywania taboru przez Spółkę.</w:t>
      </w:r>
    </w:p>
    <w:p w14:paraId="476505D9" w14:textId="5D17A63F" w:rsidR="00AE61D8" w:rsidRDefault="00AE61D8" w:rsidP="000B0A13">
      <w:r>
        <w:t>W tabeli 5</w:t>
      </w:r>
      <w:r w:rsidRPr="00821AF6">
        <w:t xml:space="preserve"> przedstawiono planowane zmian</w:t>
      </w:r>
      <w:r>
        <w:t>y struktury taboru w wariancie</w:t>
      </w:r>
      <w:r w:rsidRPr="00821AF6">
        <w:t xml:space="preserve"> </w:t>
      </w:r>
      <w:r w:rsidR="000B0A13">
        <w:t>konwencjonalnym</w:t>
      </w:r>
      <w:r w:rsidRPr="00821AF6">
        <w:t>, natomiast w tabel</w:t>
      </w:r>
      <w:r w:rsidR="00490B8A">
        <w:t>ach</w:t>
      </w:r>
      <w:r>
        <w:t xml:space="preserve"> 6</w:t>
      </w:r>
      <w:r w:rsidRPr="00821AF6">
        <w:t xml:space="preserve"> </w:t>
      </w:r>
      <w:r w:rsidR="00490B8A">
        <w:t xml:space="preserve">i 7 </w:t>
      </w:r>
      <w:r>
        <w:t>w warian</w:t>
      </w:r>
      <w:r w:rsidR="00490B8A">
        <w:t>tach</w:t>
      </w:r>
      <w:r w:rsidRPr="00821AF6">
        <w:t xml:space="preserve"> elektrycznym</w:t>
      </w:r>
      <w:r w:rsidR="00490B8A">
        <w:t xml:space="preserve"> i </w:t>
      </w:r>
      <w:r w:rsidR="000B0A13">
        <w:t>wodorowym</w:t>
      </w:r>
      <w:r w:rsidRPr="00821AF6">
        <w:t>. W</w:t>
      </w:r>
      <w:r>
        <w:t> </w:t>
      </w:r>
      <w:r w:rsidRPr="00821AF6">
        <w:t xml:space="preserve">tabelach przeanalizowano zmiany struktury taboru </w:t>
      </w:r>
      <w:r>
        <w:t xml:space="preserve">autobusowego </w:t>
      </w:r>
      <w:r w:rsidRPr="00821AF6">
        <w:t>komunikacji miejskiej – bez uwzględniania pojazdów przeznaczonych do realizacji innych przewozów.</w:t>
      </w:r>
      <w:r>
        <w:t xml:space="preserve"> W tabeli uwzględniono </w:t>
      </w:r>
      <w:r w:rsidR="000B0A13">
        <w:t>zaplanowany do realizacji w 2023</w:t>
      </w:r>
      <w:r>
        <w:t> r. zakup przez Miasto pojazdów zasilanych CNG</w:t>
      </w:r>
      <w:r w:rsidR="000B0A13">
        <w:t xml:space="preserve"> oraz elektrycznych</w:t>
      </w:r>
      <w:r>
        <w:t xml:space="preserve">, w ramach projektu inwestycyjnego </w:t>
      </w:r>
      <w:r w:rsidRPr="00AE61D8">
        <w:t>„</w:t>
      </w:r>
      <w:r w:rsidR="000B0A13" w:rsidRPr="00315266">
        <w:rPr>
          <w:rFonts w:cs="Tahoma"/>
          <w:bCs/>
          <w:szCs w:val="22"/>
        </w:rPr>
        <w:t>Rozbudowa systemu transportu publicznego w Rzeszowie</w:t>
      </w:r>
      <w:r w:rsidRPr="00AE61D8">
        <w:t>”</w:t>
      </w:r>
      <w:r w:rsidR="00490B8A">
        <w:t>, i ich </w:t>
      </w:r>
      <w:r>
        <w:t xml:space="preserve">udostępnienie </w:t>
      </w:r>
      <w:r w:rsidR="00C73F5E">
        <w:t xml:space="preserve">MPK </w:t>
      </w:r>
      <w:r>
        <w:t>do eksploatacji.</w:t>
      </w:r>
    </w:p>
    <w:p w14:paraId="0F726D1A" w14:textId="43E0C55A" w:rsidR="00FA70E6" w:rsidRDefault="00FA70E6" w:rsidP="00AC057C">
      <w:r>
        <w:t xml:space="preserve">Przy kolejnych zakupach autobusów elektrycznych założono jednoczesny zakup ładowarek zajezdniowych – po jednej na każdy autobus. Ponadto, </w:t>
      </w:r>
      <w:r w:rsidR="001F092C">
        <w:t>przy zakupie autobusów elektrycz</w:t>
      </w:r>
      <w:r w:rsidR="001F092C">
        <w:lastRenderedPageBreak/>
        <w:t>nych</w:t>
      </w:r>
      <w:r>
        <w:t xml:space="preserve"> założono budowę stacji ładowania szybkiego na pętlach – po jednej </w:t>
      </w:r>
      <w:r w:rsidRPr="00767792">
        <w:t xml:space="preserve">dla każdej dostarczonej kolejnej partii </w:t>
      </w:r>
      <w:r w:rsidR="00AC057C">
        <w:t>sześciu</w:t>
      </w:r>
      <w:r w:rsidRPr="00767792">
        <w:t xml:space="preserve"> </w:t>
      </w:r>
      <w:r>
        <w:t>autobusów elektrycznych</w:t>
      </w:r>
      <w:r w:rsidR="00AC057C">
        <w:t>, w tym jednej</w:t>
      </w:r>
      <w:r w:rsidRPr="00B009F3">
        <w:t xml:space="preserve"> </w:t>
      </w:r>
      <w:r>
        <w:t>stacji szybkiego ładowania na terenie zajezdni.</w:t>
      </w:r>
    </w:p>
    <w:p w14:paraId="33D036A5" w14:textId="6B146924" w:rsidR="00FA70E6" w:rsidRPr="00821AF6" w:rsidRDefault="00FA70E6" w:rsidP="00AC057C">
      <w:pPr>
        <w:pStyle w:val="Akapitzlist"/>
        <w:spacing w:after="0" w:line="360" w:lineRule="auto"/>
        <w:ind w:left="0" w:firstLine="567"/>
        <w:jc w:val="both"/>
        <w:rPr>
          <w:rFonts w:ascii="Tahoma" w:hAnsi="Tahoma" w:cs="Tahoma"/>
        </w:rPr>
      </w:pPr>
      <w:r w:rsidRPr="00821AF6">
        <w:rPr>
          <w:rFonts w:ascii="Tahoma" w:hAnsi="Tahoma" w:cs="Tahoma"/>
        </w:rPr>
        <w:t xml:space="preserve">W każdym wariancie założono, że nabywane pojazdy </w:t>
      </w:r>
      <w:r>
        <w:rPr>
          <w:rFonts w:ascii="Tahoma" w:hAnsi="Tahoma" w:cs="Tahoma"/>
        </w:rPr>
        <w:t>fabrycznie nowe</w:t>
      </w:r>
      <w:r w:rsidRPr="00821AF6">
        <w:rPr>
          <w:rFonts w:ascii="Tahoma" w:hAnsi="Tahoma" w:cs="Tahoma"/>
        </w:rPr>
        <w:t xml:space="preserve"> będą niskopodłogowe w kolorystyce miejskiej, a ich wyposażenie będzie obejmować co najmniej</w:t>
      </w:r>
      <w:r>
        <w:rPr>
          <w:rFonts w:ascii="Tahoma" w:hAnsi="Tahoma" w:cs="Tahoma"/>
        </w:rPr>
        <w:t>:</w:t>
      </w:r>
      <w:r w:rsidRPr="00821AF6">
        <w:rPr>
          <w:rFonts w:ascii="Tahoma" w:hAnsi="Tahoma" w:cs="Tahoma"/>
        </w:rPr>
        <w:t xml:space="preserve"> klimatyzację całopojazdową, </w:t>
      </w:r>
      <w:r>
        <w:rPr>
          <w:rFonts w:ascii="Tahoma" w:hAnsi="Tahoma" w:cs="Tahoma"/>
        </w:rPr>
        <w:t xml:space="preserve">rampę, </w:t>
      </w:r>
      <w:r w:rsidRPr="00821AF6">
        <w:rPr>
          <w:rFonts w:ascii="Tahoma" w:hAnsi="Tahoma" w:cs="Tahoma"/>
        </w:rPr>
        <w:t>przyklęk i miejsce na wózek,</w:t>
      </w:r>
      <w:r>
        <w:rPr>
          <w:rFonts w:ascii="Tahoma" w:hAnsi="Tahoma" w:cs="Tahoma"/>
        </w:rPr>
        <w:t xml:space="preserve"> system elektronicznej informacji pasażerskiej z </w:t>
      </w:r>
      <w:r w:rsidRPr="00821AF6">
        <w:rPr>
          <w:rFonts w:ascii="Tahoma" w:hAnsi="Tahoma" w:cs="Tahoma"/>
        </w:rPr>
        <w:t>zapowiedzi</w:t>
      </w:r>
      <w:r>
        <w:rPr>
          <w:rFonts w:ascii="Tahoma" w:hAnsi="Tahoma" w:cs="Tahoma"/>
        </w:rPr>
        <w:t>ami głosowymi</w:t>
      </w:r>
      <w:r w:rsidRPr="00821AF6">
        <w:rPr>
          <w:rFonts w:ascii="Tahoma" w:hAnsi="Tahoma" w:cs="Tahoma"/>
        </w:rPr>
        <w:t xml:space="preserve"> przystanków</w:t>
      </w:r>
      <w:r>
        <w:rPr>
          <w:rFonts w:ascii="Tahoma" w:hAnsi="Tahoma" w:cs="Tahoma"/>
        </w:rPr>
        <w:t xml:space="preserve"> i wyświetlaczami dla niedowidzących</w:t>
      </w:r>
      <w:r w:rsidRPr="00821AF6">
        <w:rPr>
          <w:rFonts w:ascii="Tahoma" w:hAnsi="Tahoma" w:cs="Tahoma"/>
        </w:rPr>
        <w:t xml:space="preserve">, </w:t>
      </w:r>
      <w:r>
        <w:rPr>
          <w:rFonts w:ascii="Tahoma" w:hAnsi="Tahoma" w:cs="Tahoma"/>
        </w:rPr>
        <w:t xml:space="preserve">system GPS, kasowniki, </w:t>
      </w:r>
      <w:r w:rsidR="00AC057C">
        <w:rPr>
          <w:rFonts w:ascii="Tahoma" w:hAnsi="Tahoma" w:cs="Tahoma"/>
        </w:rPr>
        <w:t xml:space="preserve">bramki liczące pasażerów, </w:t>
      </w:r>
      <w:r w:rsidRPr="00821AF6">
        <w:rPr>
          <w:rFonts w:ascii="Tahoma" w:hAnsi="Tahoma" w:cs="Tahoma"/>
        </w:rPr>
        <w:t>Wi-Fi, ładowark</w:t>
      </w:r>
      <w:r>
        <w:rPr>
          <w:rFonts w:ascii="Tahoma" w:hAnsi="Tahoma" w:cs="Tahoma"/>
        </w:rPr>
        <w:t xml:space="preserve">i </w:t>
      </w:r>
      <w:proofErr w:type="spellStart"/>
      <w:r>
        <w:rPr>
          <w:rFonts w:ascii="Tahoma" w:hAnsi="Tahoma" w:cs="Tahoma"/>
        </w:rPr>
        <w:t>usb</w:t>
      </w:r>
      <w:proofErr w:type="spellEnd"/>
      <w:r>
        <w:rPr>
          <w:rFonts w:ascii="Tahoma" w:hAnsi="Tahoma" w:cs="Tahoma"/>
        </w:rPr>
        <w:t xml:space="preserve"> oraz monitoring wewnętrzny i zewnętrzny</w:t>
      </w:r>
      <w:r w:rsidRPr="00821AF6">
        <w:rPr>
          <w:rFonts w:ascii="Tahoma" w:hAnsi="Tahoma" w:cs="Tahoma"/>
        </w:rPr>
        <w:t>.</w:t>
      </w:r>
    </w:p>
    <w:p w14:paraId="398D624A" w14:textId="2458E00C" w:rsidR="00AE61D8" w:rsidRDefault="00FA70E6" w:rsidP="00AC057C">
      <w:r w:rsidRPr="003F3BA7">
        <w:t xml:space="preserve">Liczbę pasażerów we wszystkich wariantach oszacowano na podstawie danych </w:t>
      </w:r>
      <w:r w:rsidR="00C73F5E">
        <w:t xml:space="preserve">MPK </w:t>
      </w:r>
      <w:r>
        <w:t>z lat 2018</w:t>
      </w:r>
      <w:r w:rsidRPr="003F3BA7">
        <w:t>-2020 oraz prognozy</w:t>
      </w:r>
      <w:r>
        <w:t xml:space="preserve"> na 2021 r.</w:t>
      </w:r>
    </w:p>
    <w:p w14:paraId="66875FA0" w14:textId="77777777" w:rsidR="00545E43" w:rsidRPr="00821AF6" w:rsidRDefault="00545E43" w:rsidP="00545E43">
      <w:r w:rsidRPr="00821AF6">
        <w:t xml:space="preserve">Należy </w:t>
      </w:r>
      <w:r>
        <w:t>pr</w:t>
      </w:r>
      <w:r w:rsidRPr="00821AF6">
        <w:t>zypuszczać, że zamiana autobusów z silnikam</w:t>
      </w:r>
      <w:r>
        <w:t>i Diesla na pojazdy elektryczne</w:t>
      </w:r>
      <w:r w:rsidRPr="00821AF6">
        <w:t xml:space="preserve"> nie będz</w:t>
      </w:r>
      <w:r>
        <w:t>ie w </w:t>
      </w:r>
      <w:r w:rsidRPr="00821AF6">
        <w:t xml:space="preserve">najbliższych latach skutkowała efektem w postaci </w:t>
      </w:r>
      <w:r>
        <w:t>jeszcze większego</w:t>
      </w:r>
      <w:r w:rsidRPr="00821AF6">
        <w:t xml:space="preserve"> zainteresowania mieszkańców podróżami komunikacją miejską. </w:t>
      </w:r>
      <w:r>
        <w:t xml:space="preserve">Bardziej uzasadnione jest przyjęcie założenia, że czasem stopniowego, ewolucyjnego </w:t>
      </w:r>
      <w:r w:rsidRPr="00821AF6">
        <w:t>powrotu mieszkańców do korzystania z pojazdów transportu publicznego</w:t>
      </w:r>
      <w:r>
        <w:t xml:space="preserve"> będzie o</w:t>
      </w:r>
      <w:r w:rsidRPr="00821AF6">
        <w:t>kres kilku lat po uchyleniu stanu pandemii</w:t>
      </w:r>
      <w:r>
        <w:t>.</w:t>
      </w:r>
    </w:p>
    <w:p w14:paraId="726C62F3" w14:textId="22A8DD99" w:rsidR="00545E43" w:rsidRPr="003F3BA7" w:rsidRDefault="00545E43" w:rsidP="00545E43">
      <w:r w:rsidRPr="003F3BA7">
        <w:t xml:space="preserve">Przychody z biletów przyjęto na podstawie prognozowanej liczby pasażerów, z uwzględnieniem </w:t>
      </w:r>
      <w:r>
        <w:t>zmiany struktury pasażerów w miarę powrotu do stanu sprzed pandemii</w:t>
      </w:r>
      <w:r w:rsidRPr="003F3BA7">
        <w:t>.</w:t>
      </w:r>
    </w:p>
    <w:p w14:paraId="1D21E2CD" w14:textId="77777777" w:rsidR="00545E43" w:rsidRDefault="00545E43" w:rsidP="00AC057C">
      <w:pPr>
        <w:rPr>
          <w:rFonts w:cs="Tahoma"/>
          <w:szCs w:val="22"/>
        </w:rPr>
      </w:pPr>
    </w:p>
    <w:p w14:paraId="2CF9ADDC" w14:textId="77777777" w:rsidR="00AE61D8" w:rsidRPr="00821AF6" w:rsidRDefault="00AE61D8" w:rsidP="00C73F5E">
      <w:pPr>
        <w:shd w:val="clear" w:color="auto" w:fill="F7CAAC" w:themeFill="accent2" w:themeFillTint="66"/>
        <w:rPr>
          <w:rFonts w:cs="Tahoma"/>
          <w:szCs w:val="22"/>
        </w:rPr>
        <w:sectPr w:rsidR="00AE61D8" w:rsidRPr="00821AF6" w:rsidSect="00FB1668">
          <w:footerReference w:type="default" r:id="rId16"/>
          <w:pgSz w:w="11906" w:h="16838"/>
          <w:pgMar w:top="1417" w:right="1417" w:bottom="1417" w:left="1417" w:header="708" w:footer="708" w:gutter="0"/>
          <w:cols w:space="708"/>
          <w:docGrid w:linePitch="360"/>
        </w:sectPr>
      </w:pPr>
    </w:p>
    <w:p w14:paraId="0CE07056" w14:textId="20E5000B" w:rsidR="00A75564" w:rsidRPr="00A00B9B" w:rsidRDefault="00A75564" w:rsidP="009660DA">
      <w:pPr>
        <w:pStyle w:val="Legenda"/>
        <w:keepNext/>
        <w:spacing w:before="240" w:after="0"/>
        <w:ind w:firstLine="0"/>
        <w:jc w:val="left"/>
        <w:rPr>
          <w:color w:val="000000"/>
          <w:sz w:val="22"/>
          <w:szCs w:val="22"/>
        </w:rPr>
      </w:pPr>
      <w:r w:rsidRPr="00A00B9B">
        <w:rPr>
          <w:color w:val="000000"/>
          <w:sz w:val="22"/>
          <w:szCs w:val="22"/>
        </w:rPr>
        <w:lastRenderedPageBreak/>
        <w:t xml:space="preserve">Tab. </w:t>
      </w:r>
      <w:r w:rsidR="00B60ABE" w:rsidRPr="00A00B9B">
        <w:rPr>
          <w:color w:val="000000"/>
          <w:sz w:val="22"/>
          <w:szCs w:val="22"/>
        </w:rPr>
        <w:fldChar w:fldCharType="begin"/>
      </w:r>
      <w:r w:rsidRPr="00A00B9B">
        <w:rPr>
          <w:color w:val="000000"/>
          <w:sz w:val="22"/>
          <w:szCs w:val="22"/>
        </w:rPr>
        <w:instrText xml:space="preserve"> SEQ Tab. \* ARABIC </w:instrText>
      </w:r>
      <w:r w:rsidR="00B60ABE" w:rsidRPr="00A00B9B">
        <w:rPr>
          <w:color w:val="000000"/>
          <w:sz w:val="22"/>
          <w:szCs w:val="22"/>
        </w:rPr>
        <w:fldChar w:fldCharType="separate"/>
      </w:r>
      <w:r w:rsidR="004605BC">
        <w:rPr>
          <w:noProof/>
          <w:color w:val="000000"/>
          <w:sz w:val="22"/>
          <w:szCs w:val="22"/>
        </w:rPr>
        <w:t>5</w:t>
      </w:r>
      <w:r w:rsidR="00B60ABE" w:rsidRPr="00A00B9B">
        <w:rPr>
          <w:color w:val="000000"/>
          <w:sz w:val="22"/>
          <w:szCs w:val="22"/>
        </w:rPr>
        <w:fldChar w:fldCharType="end"/>
      </w:r>
      <w:r w:rsidRPr="00A00B9B">
        <w:rPr>
          <w:color w:val="000000"/>
          <w:sz w:val="22"/>
          <w:szCs w:val="22"/>
        </w:rPr>
        <w:t xml:space="preserve">. </w:t>
      </w:r>
      <w:r w:rsidR="00427C49" w:rsidRPr="00A00B9B">
        <w:rPr>
          <w:color w:val="000000"/>
          <w:sz w:val="22"/>
          <w:szCs w:val="22"/>
        </w:rPr>
        <w:t xml:space="preserve">Harmonogram wymiany taboru </w:t>
      </w:r>
      <w:r w:rsidR="00C73F5E">
        <w:rPr>
          <w:color w:val="000000"/>
          <w:sz w:val="22"/>
          <w:szCs w:val="22"/>
        </w:rPr>
        <w:t>rzeszowskie</w:t>
      </w:r>
      <w:r w:rsidR="00AE0C28">
        <w:rPr>
          <w:color w:val="000000"/>
          <w:sz w:val="22"/>
          <w:szCs w:val="22"/>
        </w:rPr>
        <w:t>j</w:t>
      </w:r>
      <w:r w:rsidR="00AE61D8">
        <w:rPr>
          <w:color w:val="000000"/>
          <w:sz w:val="22"/>
          <w:szCs w:val="22"/>
        </w:rPr>
        <w:t xml:space="preserve"> </w:t>
      </w:r>
      <w:r w:rsidRPr="00A00B9B">
        <w:rPr>
          <w:color w:val="000000"/>
          <w:sz w:val="22"/>
          <w:szCs w:val="22"/>
        </w:rPr>
        <w:t>komunika</w:t>
      </w:r>
      <w:r w:rsidR="00427C49" w:rsidRPr="00A00B9B">
        <w:rPr>
          <w:color w:val="000000"/>
          <w:sz w:val="22"/>
          <w:szCs w:val="22"/>
        </w:rPr>
        <w:t>cji miejs</w:t>
      </w:r>
      <w:r w:rsidR="00805945" w:rsidRPr="00A00B9B">
        <w:rPr>
          <w:color w:val="000000"/>
          <w:sz w:val="22"/>
          <w:szCs w:val="22"/>
        </w:rPr>
        <w:t>kiej w latach 2021-2036</w:t>
      </w:r>
      <w:r w:rsidR="002E7D82">
        <w:rPr>
          <w:color w:val="000000"/>
          <w:sz w:val="22"/>
          <w:szCs w:val="22"/>
        </w:rPr>
        <w:br/>
      </w:r>
      <w:r w:rsidRPr="00A00B9B">
        <w:rPr>
          <w:color w:val="000000"/>
          <w:sz w:val="22"/>
          <w:szCs w:val="22"/>
        </w:rPr>
        <w:t>w waria</w:t>
      </w:r>
      <w:r w:rsidR="00D77634" w:rsidRPr="00A00B9B">
        <w:rPr>
          <w:color w:val="000000"/>
          <w:sz w:val="22"/>
          <w:szCs w:val="22"/>
        </w:rPr>
        <w:t>n</w:t>
      </w:r>
      <w:r w:rsidR="000F6DBA" w:rsidRPr="00A00B9B">
        <w:rPr>
          <w:color w:val="000000"/>
          <w:sz w:val="22"/>
          <w:szCs w:val="22"/>
        </w:rPr>
        <w:t>cie</w:t>
      </w:r>
      <w:r w:rsidRPr="00A00B9B">
        <w:rPr>
          <w:color w:val="000000"/>
          <w:sz w:val="22"/>
          <w:szCs w:val="22"/>
        </w:rPr>
        <w:t xml:space="preserve"> konwencjonalnym</w:t>
      </w:r>
    </w:p>
    <w:tbl>
      <w:tblPr>
        <w:tblW w:w="140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59"/>
        <w:gridCol w:w="1985"/>
        <w:gridCol w:w="716"/>
        <w:gridCol w:w="716"/>
        <w:gridCol w:w="716"/>
        <w:gridCol w:w="717"/>
        <w:gridCol w:w="716"/>
        <w:gridCol w:w="716"/>
        <w:gridCol w:w="717"/>
        <w:gridCol w:w="716"/>
        <w:gridCol w:w="716"/>
        <w:gridCol w:w="717"/>
        <w:gridCol w:w="716"/>
        <w:gridCol w:w="716"/>
        <w:gridCol w:w="717"/>
        <w:gridCol w:w="716"/>
        <w:gridCol w:w="716"/>
        <w:gridCol w:w="717"/>
      </w:tblGrid>
      <w:tr w:rsidR="00146F97" w:rsidRPr="00A00B9B" w14:paraId="6645E2E3" w14:textId="77777777" w:rsidTr="00786BBC">
        <w:trPr>
          <w:cantSplit/>
          <w:tblHeader/>
          <w:jc w:val="center"/>
        </w:trPr>
        <w:tc>
          <w:tcPr>
            <w:tcW w:w="559" w:type="dxa"/>
            <w:vMerge w:val="restart"/>
            <w:shd w:val="clear" w:color="auto" w:fill="FFFF99"/>
            <w:vAlign w:val="center"/>
          </w:tcPr>
          <w:p w14:paraId="19424EBD" w14:textId="77777777" w:rsidR="00146F97" w:rsidRPr="00A00B9B" w:rsidRDefault="00146F97" w:rsidP="009660DA">
            <w:pPr>
              <w:keepNext/>
              <w:spacing w:before="60" w:after="40" w:line="288" w:lineRule="auto"/>
              <w:ind w:firstLine="0"/>
              <w:jc w:val="center"/>
              <w:rPr>
                <w:rFonts w:cs="Tahoma"/>
                <w:b/>
                <w:sz w:val="18"/>
                <w:szCs w:val="18"/>
              </w:rPr>
            </w:pPr>
            <w:r w:rsidRPr="00A00B9B">
              <w:rPr>
                <w:rFonts w:cs="Tahoma"/>
                <w:b/>
                <w:sz w:val="18"/>
                <w:szCs w:val="18"/>
              </w:rPr>
              <w:t>Lp.</w:t>
            </w:r>
          </w:p>
        </w:tc>
        <w:tc>
          <w:tcPr>
            <w:tcW w:w="1985" w:type="dxa"/>
            <w:vMerge w:val="restart"/>
            <w:shd w:val="clear" w:color="auto" w:fill="FFFF99"/>
            <w:vAlign w:val="center"/>
          </w:tcPr>
          <w:p w14:paraId="1FD364AE" w14:textId="77777777" w:rsidR="00146F97" w:rsidRPr="00A00B9B" w:rsidRDefault="00146F97" w:rsidP="009660DA">
            <w:pPr>
              <w:keepNext/>
              <w:spacing w:before="60" w:after="40" w:line="288" w:lineRule="auto"/>
              <w:ind w:firstLine="0"/>
              <w:jc w:val="center"/>
              <w:rPr>
                <w:rFonts w:cs="Tahoma"/>
                <w:b/>
                <w:sz w:val="18"/>
                <w:szCs w:val="18"/>
              </w:rPr>
            </w:pPr>
            <w:r w:rsidRPr="00A00B9B">
              <w:rPr>
                <w:rFonts w:cs="Tahoma"/>
                <w:b/>
                <w:sz w:val="18"/>
                <w:szCs w:val="18"/>
              </w:rPr>
              <w:t>Typ taboru</w:t>
            </w:r>
            <w:r w:rsidRPr="00A00B9B">
              <w:rPr>
                <w:rFonts w:cs="Tahoma"/>
                <w:b/>
                <w:sz w:val="18"/>
                <w:szCs w:val="18"/>
              </w:rPr>
              <w:br/>
              <w:t>– napęd</w:t>
            </w:r>
          </w:p>
        </w:tc>
        <w:tc>
          <w:tcPr>
            <w:tcW w:w="11461" w:type="dxa"/>
            <w:gridSpan w:val="16"/>
            <w:shd w:val="clear" w:color="auto" w:fill="FFFF99"/>
            <w:vAlign w:val="center"/>
          </w:tcPr>
          <w:p w14:paraId="0BCA2DA6" w14:textId="77777777" w:rsidR="00146F97" w:rsidRPr="00A00B9B" w:rsidRDefault="00146F97" w:rsidP="009660DA">
            <w:pPr>
              <w:keepNext/>
              <w:spacing w:before="60" w:after="40" w:line="288" w:lineRule="auto"/>
              <w:ind w:firstLine="0"/>
              <w:jc w:val="center"/>
              <w:rPr>
                <w:rFonts w:cs="Tahoma"/>
                <w:b/>
                <w:sz w:val="18"/>
                <w:szCs w:val="18"/>
              </w:rPr>
            </w:pPr>
            <w:r w:rsidRPr="00A00B9B">
              <w:rPr>
                <w:rFonts w:cs="Tahoma"/>
                <w:b/>
                <w:sz w:val="18"/>
                <w:szCs w:val="18"/>
              </w:rPr>
              <w:t>Rozpatrywany rok</w:t>
            </w:r>
          </w:p>
        </w:tc>
      </w:tr>
      <w:tr w:rsidR="00984E01" w:rsidRPr="00A00B9B" w14:paraId="2CAE33B4" w14:textId="77777777" w:rsidTr="00984E01">
        <w:trPr>
          <w:cantSplit/>
          <w:tblHeader/>
          <w:jc w:val="center"/>
        </w:trPr>
        <w:tc>
          <w:tcPr>
            <w:tcW w:w="559" w:type="dxa"/>
            <w:vMerge/>
            <w:shd w:val="clear" w:color="auto" w:fill="FFFF99"/>
            <w:vAlign w:val="center"/>
          </w:tcPr>
          <w:p w14:paraId="221E1767" w14:textId="77777777" w:rsidR="00984E01" w:rsidRPr="00A00B9B" w:rsidRDefault="00984E01" w:rsidP="009660DA">
            <w:pPr>
              <w:keepNext/>
              <w:spacing w:before="60" w:after="40" w:line="288" w:lineRule="auto"/>
              <w:ind w:firstLine="0"/>
              <w:jc w:val="center"/>
              <w:rPr>
                <w:rFonts w:cs="Tahoma"/>
                <w:b/>
                <w:sz w:val="18"/>
                <w:szCs w:val="18"/>
              </w:rPr>
            </w:pPr>
          </w:p>
        </w:tc>
        <w:tc>
          <w:tcPr>
            <w:tcW w:w="1985" w:type="dxa"/>
            <w:vMerge/>
            <w:shd w:val="clear" w:color="auto" w:fill="FFFF99"/>
            <w:vAlign w:val="center"/>
          </w:tcPr>
          <w:p w14:paraId="77748456" w14:textId="77777777" w:rsidR="00984E01" w:rsidRPr="00A00B9B" w:rsidRDefault="00984E01" w:rsidP="009660DA">
            <w:pPr>
              <w:keepNext/>
              <w:spacing w:before="60" w:after="40" w:line="288" w:lineRule="auto"/>
              <w:ind w:firstLine="0"/>
              <w:jc w:val="center"/>
              <w:rPr>
                <w:rFonts w:cs="Tahoma"/>
                <w:b/>
                <w:sz w:val="18"/>
                <w:szCs w:val="18"/>
              </w:rPr>
            </w:pPr>
          </w:p>
        </w:tc>
        <w:tc>
          <w:tcPr>
            <w:tcW w:w="716" w:type="dxa"/>
            <w:shd w:val="clear" w:color="auto" w:fill="FFFF99"/>
            <w:vAlign w:val="center"/>
          </w:tcPr>
          <w:p w14:paraId="4C05C0BE" w14:textId="03EE2848"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2021</w:t>
            </w:r>
          </w:p>
        </w:tc>
        <w:tc>
          <w:tcPr>
            <w:tcW w:w="716" w:type="dxa"/>
            <w:shd w:val="clear" w:color="auto" w:fill="FFFF99"/>
            <w:vAlign w:val="center"/>
          </w:tcPr>
          <w:p w14:paraId="13C00946" w14:textId="32CC11FD"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2022</w:t>
            </w:r>
          </w:p>
        </w:tc>
        <w:tc>
          <w:tcPr>
            <w:tcW w:w="716" w:type="dxa"/>
            <w:shd w:val="clear" w:color="auto" w:fill="FFFF99"/>
            <w:vAlign w:val="center"/>
          </w:tcPr>
          <w:p w14:paraId="49308A83" w14:textId="3C16ECAB"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2023</w:t>
            </w:r>
          </w:p>
        </w:tc>
        <w:tc>
          <w:tcPr>
            <w:tcW w:w="717" w:type="dxa"/>
            <w:shd w:val="clear" w:color="auto" w:fill="FFFF99"/>
            <w:vAlign w:val="center"/>
          </w:tcPr>
          <w:p w14:paraId="663E9363" w14:textId="778EA34D"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2024</w:t>
            </w:r>
          </w:p>
        </w:tc>
        <w:tc>
          <w:tcPr>
            <w:tcW w:w="716" w:type="dxa"/>
            <w:shd w:val="clear" w:color="auto" w:fill="FFFF99"/>
            <w:vAlign w:val="center"/>
          </w:tcPr>
          <w:p w14:paraId="09A927F7" w14:textId="5DF1D995"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2025</w:t>
            </w:r>
          </w:p>
        </w:tc>
        <w:tc>
          <w:tcPr>
            <w:tcW w:w="716" w:type="dxa"/>
            <w:shd w:val="clear" w:color="auto" w:fill="FFFF99"/>
            <w:vAlign w:val="center"/>
          </w:tcPr>
          <w:p w14:paraId="396EF0E5" w14:textId="6774CD9E"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2026</w:t>
            </w:r>
          </w:p>
        </w:tc>
        <w:tc>
          <w:tcPr>
            <w:tcW w:w="717" w:type="dxa"/>
            <w:shd w:val="clear" w:color="auto" w:fill="FFFF99"/>
            <w:vAlign w:val="center"/>
          </w:tcPr>
          <w:p w14:paraId="701C4393" w14:textId="4DB7C738"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2027</w:t>
            </w:r>
          </w:p>
        </w:tc>
        <w:tc>
          <w:tcPr>
            <w:tcW w:w="716" w:type="dxa"/>
            <w:shd w:val="clear" w:color="auto" w:fill="FFFF99"/>
            <w:vAlign w:val="center"/>
          </w:tcPr>
          <w:p w14:paraId="07595C10" w14:textId="44584BB4"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2028</w:t>
            </w:r>
          </w:p>
        </w:tc>
        <w:tc>
          <w:tcPr>
            <w:tcW w:w="716" w:type="dxa"/>
            <w:shd w:val="clear" w:color="auto" w:fill="FFFF99"/>
            <w:vAlign w:val="center"/>
          </w:tcPr>
          <w:p w14:paraId="0A2D7675" w14:textId="310F81E8"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2029</w:t>
            </w:r>
          </w:p>
        </w:tc>
        <w:tc>
          <w:tcPr>
            <w:tcW w:w="717" w:type="dxa"/>
            <w:shd w:val="clear" w:color="auto" w:fill="FFFF99"/>
            <w:vAlign w:val="center"/>
          </w:tcPr>
          <w:p w14:paraId="0D26132A" w14:textId="6715D1F1"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2030</w:t>
            </w:r>
          </w:p>
        </w:tc>
        <w:tc>
          <w:tcPr>
            <w:tcW w:w="716" w:type="dxa"/>
            <w:shd w:val="clear" w:color="auto" w:fill="FFFF99"/>
            <w:vAlign w:val="center"/>
          </w:tcPr>
          <w:p w14:paraId="08B9EFA1" w14:textId="3C28948D"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2031</w:t>
            </w:r>
          </w:p>
        </w:tc>
        <w:tc>
          <w:tcPr>
            <w:tcW w:w="716" w:type="dxa"/>
            <w:shd w:val="clear" w:color="auto" w:fill="FFFF99"/>
            <w:vAlign w:val="center"/>
          </w:tcPr>
          <w:p w14:paraId="602A9DE5" w14:textId="1DBB66A5"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2032</w:t>
            </w:r>
          </w:p>
        </w:tc>
        <w:tc>
          <w:tcPr>
            <w:tcW w:w="717" w:type="dxa"/>
            <w:shd w:val="clear" w:color="auto" w:fill="FFFF99"/>
            <w:vAlign w:val="center"/>
          </w:tcPr>
          <w:p w14:paraId="5DF8530D" w14:textId="52D303DA"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2033</w:t>
            </w:r>
          </w:p>
        </w:tc>
        <w:tc>
          <w:tcPr>
            <w:tcW w:w="716" w:type="dxa"/>
            <w:shd w:val="clear" w:color="auto" w:fill="FFFF99"/>
            <w:vAlign w:val="center"/>
          </w:tcPr>
          <w:p w14:paraId="1A96F30A" w14:textId="4BBB059C"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2034</w:t>
            </w:r>
          </w:p>
        </w:tc>
        <w:tc>
          <w:tcPr>
            <w:tcW w:w="716" w:type="dxa"/>
            <w:shd w:val="clear" w:color="auto" w:fill="FFFF99"/>
            <w:vAlign w:val="center"/>
          </w:tcPr>
          <w:p w14:paraId="7473EB02" w14:textId="77777777"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2035</w:t>
            </w:r>
          </w:p>
        </w:tc>
        <w:tc>
          <w:tcPr>
            <w:tcW w:w="717" w:type="dxa"/>
            <w:shd w:val="clear" w:color="auto" w:fill="FFFF99"/>
            <w:vAlign w:val="center"/>
          </w:tcPr>
          <w:p w14:paraId="2BF68DE4" w14:textId="4DEAEA5E" w:rsidR="00984E01" w:rsidRPr="00A00B9B" w:rsidRDefault="00984E01" w:rsidP="009660DA">
            <w:pPr>
              <w:keepNext/>
              <w:spacing w:before="60" w:after="40" w:line="288" w:lineRule="auto"/>
              <w:ind w:firstLine="0"/>
              <w:jc w:val="center"/>
              <w:rPr>
                <w:rFonts w:cs="Tahoma"/>
                <w:b/>
                <w:sz w:val="18"/>
                <w:szCs w:val="18"/>
              </w:rPr>
            </w:pPr>
            <w:r w:rsidRPr="00A00B9B">
              <w:rPr>
                <w:rFonts w:cs="Tahoma"/>
                <w:b/>
                <w:sz w:val="18"/>
                <w:szCs w:val="18"/>
              </w:rPr>
              <w:t>2036</w:t>
            </w:r>
          </w:p>
        </w:tc>
      </w:tr>
      <w:tr w:rsidR="00146F97" w:rsidRPr="00A00B9B" w14:paraId="770D5CF8" w14:textId="77777777" w:rsidTr="00786BBC">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2024BFF" w14:textId="77777777" w:rsidR="00146F97" w:rsidRPr="00A00B9B" w:rsidRDefault="00146F97" w:rsidP="009660DA">
            <w:pPr>
              <w:spacing w:before="60" w:after="40" w:line="288" w:lineRule="auto"/>
              <w:ind w:firstLine="0"/>
              <w:jc w:val="center"/>
              <w:rPr>
                <w:rFonts w:cs="Tahoma"/>
                <w:b/>
                <w:sz w:val="18"/>
                <w:szCs w:val="18"/>
              </w:rPr>
            </w:pPr>
            <w:r w:rsidRPr="00A00B9B">
              <w:rPr>
                <w:rFonts w:cs="Tahoma"/>
                <w:b/>
                <w:sz w:val="18"/>
                <w:szCs w:val="18"/>
              </w:rPr>
              <w:t>1</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1D2A33AE" w14:textId="2FB40A8E" w:rsidR="00146F97" w:rsidRPr="00A00B9B" w:rsidRDefault="00146F97" w:rsidP="009660DA">
            <w:pPr>
              <w:spacing w:before="60" w:after="40" w:line="288" w:lineRule="auto"/>
              <w:ind w:firstLine="0"/>
              <w:jc w:val="left"/>
              <w:rPr>
                <w:rFonts w:cs="Tahoma"/>
                <w:b/>
                <w:sz w:val="18"/>
                <w:szCs w:val="18"/>
              </w:rPr>
            </w:pPr>
            <w:r w:rsidRPr="00A00B9B">
              <w:rPr>
                <w:rFonts w:cs="Tahoma"/>
                <w:b/>
                <w:sz w:val="18"/>
                <w:szCs w:val="18"/>
              </w:rPr>
              <w:t xml:space="preserve">Autobusy ON </w:t>
            </w:r>
          </w:p>
        </w:tc>
      </w:tr>
      <w:tr w:rsidR="00FA7A70" w:rsidRPr="00A00B9B" w14:paraId="32481861"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6B4903A" w14:textId="77777777" w:rsidR="00FA7A70" w:rsidRPr="00A00B9B" w:rsidRDefault="00FA7A70" w:rsidP="009660DA">
            <w:pPr>
              <w:spacing w:before="60" w:after="40" w:line="288" w:lineRule="auto"/>
              <w:ind w:firstLine="0"/>
              <w:jc w:val="center"/>
              <w:rPr>
                <w:rFonts w:cs="Tahoma"/>
                <w:sz w:val="18"/>
                <w:szCs w:val="18"/>
              </w:rPr>
            </w:pPr>
            <w:r w:rsidRPr="00A00B9B">
              <w:rPr>
                <w:rFonts w:cs="Tahoma"/>
                <w:sz w:val="18"/>
                <w:szCs w:val="18"/>
              </w:rPr>
              <w:t>1a</w:t>
            </w:r>
          </w:p>
        </w:tc>
        <w:tc>
          <w:tcPr>
            <w:tcW w:w="1985" w:type="dxa"/>
            <w:tcBorders>
              <w:top w:val="single" w:sz="4" w:space="0" w:color="auto"/>
              <w:left w:val="single" w:sz="4" w:space="0" w:color="auto"/>
              <w:bottom w:val="single" w:sz="4" w:space="0" w:color="auto"/>
              <w:right w:val="single" w:sz="4" w:space="0" w:color="auto"/>
            </w:tcBorders>
            <w:vAlign w:val="center"/>
          </w:tcPr>
          <w:p w14:paraId="680DDDE8" w14:textId="77777777" w:rsidR="00FA7A70" w:rsidRPr="00A00B9B" w:rsidRDefault="00FA7A70" w:rsidP="009660DA">
            <w:pPr>
              <w:spacing w:before="60" w:after="40" w:line="288" w:lineRule="auto"/>
              <w:ind w:firstLine="0"/>
              <w:jc w:val="left"/>
              <w:rPr>
                <w:rFonts w:cs="Tahoma"/>
                <w:sz w:val="18"/>
                <w:szCs w:val="18"/>
              </w:rPr>
            </w:pPr>
            <w:r w:rsidRPr="00A00B9B">
              <w:rPr>
                <w:rFonts w:cs="Tahoma"/>
                <w:sz w:val="18"/>
                <w:szCs w:val="18"/>
              </w:rPr>
              <w:t>Zakup/wycofanie</w:t>
            </w:r>
          </w:p>
        </w:tc>
        <w:tc>
          <w:tcPr>
            <w:tcW w:w="716" w:type="dxa"/>
            <w:tcBorders>
              <w:top w:val="single" w:sz="4" w:space="0" w:color="auto"/>
              <w:left w:val="single" w:sz="4" w:space="0" w:color="auto"/>
              <w:bottom w:val="single" w:sz="4" w:space="0" w:color="auto"/>
              <w:right w:val="single" w:sz="4" w:space="0" w:color="auto"/>
            </w:tcBorders>
            <w:vAlign w:val="center"/>
          </w:tcPr>
          <w:p w14:paraId="7706E924" w14:textId="765A43BC" w:rsidR="00FA7A70" w:rsidRPr="00FA7A70" w:rsidRDefault="009660DA" w:rsidP="009660DA">
            <w:pPr>
              <w:spacing w:before="60" w:after="40" w:line="288" w:lineRule="auto"/>
              <w:ind w:firstLine="0"/>
              <w:jc w:val="right"/>
              <w:rPr>
                <w:rFonts w:cs="Tahoma"/>
                <w:sz w:val="18"/>
                <w:szCs w:val="18"/>
              </w:rPr>
            </w:pPr>
            <w:r>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5F2AFE71" w14:textId="1BA8376D" w:rsidR="00FA7A70" w:rsidRPr="00FA7A70" w:rsidRDefault="009660DA" w:rsidP="009660DA">
            <w:pPr>
              <w:spacing w:before="60" w:after="40" w:line="288" w:lineRule="auto"/>
              <w:ind w:firstLine="0"/>
              <w:jc w:val="right"/>
              <w:rPr>
                <w:rFonts w:cs="Tahoma"/>
                <w:sz w:val="18"/>
                <w:szCs w:val="18"/>
              </w:rPr>
            </w:pPr>
            <w:r>
              <w:rPr>
                <w:rFonts w:cs="Tahoma"/>
                <w:sz w:val="18"/>
                <w:szCs w:val="18"/>
              </w:rPr>
              <w:t>-/5</w:t>
            </w:r>
          </w:p>
        </w:tc>
        <w:tc>
          <w:tcPr>
            <w:tcW w:w="716" w:type="dxa"/>
            <w:tcBorders>
              <w:top w:val="single" w:sz="4" w:space="0" w:color="auto"/>
              <w:left w:val="single" w:sz="4" w:space="0" w:color="auto"/>
              <w:bottom w:val="single" w:sz="4" w:space="0" w:color="auto"/>
              <w:right w:val="single" w:sz="4" w:space="0" w:color="auto"/>
            </w:tcBorders>
          </w:tcPr>
          <w:p w14:paraId="0F701257" w14:textId="2FEFA6F0" w:rsidR="00FA7A70" w:rsidRPr="00FA7A70" w:rsidRDefault="009660DA" w:rsidP="009660DA">
            <w:pPr>
              <w:spacing w:before="60" w:after="40" w:line="288" w:lineRule="auto"/>
              <w:ind w:firstLine="0"/>
              <w:jc w:val="right"/>
              <w:rPr>
                <w:rFonts w:cs="Tahoma"/>
                <w:sz w:val="18"/>
                <w:szCs w:val="18"/>
              </w:rPr>
            </w:pPr>
            <w:r>
              <w:rPr>
                <w:rFonts w:cs="Tahoma"/>
                <w:sz w:val="18"/>
                <w:szCs w:val="18"/>
              </w:rPr>
              <w:t>-</w:t>
            </w:r>
            <w:r w:rsidR="00FA7A70" w:rsidRPr="00FA7A70">
              <w:rPr>
                <w:rFonts w:cs="Tahoma"/>
                <w:sz w:val="18"/>
                <w:szCs w:val="18"/>
              </w:rPr>
              <w:t>/</w:t>
            </w:r>
            <w:r>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597C4C8D" w14:textId="0BC334AA" w:rsidR="00FA7A70" w:rsidRPr="00FA7A70" w:rsidRDefault="009660DA" w:rsidP="009660DA">
            <w:pPr>
              <w:spacing w:before="60" w:after="40" w:line="288" w:lineRule="auto"/>
              <w:ind w:firstLine="0"/>
              <w:jc w:val="right"/>
              <w:rPr>
                <w:rFonts w:cs="Tahoma"/>
                <w:sz w:val="18"/>
                <w:szCs w:val="18"/>
              </w:rPr>
            </w:pPr>
            <w:r>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tcPr>
          <w:p w14:paraId="109198DD" w14:textId="18F9952E" w:rsidR="00FA7A70" w:rsidRPr="00FA7A70" w:rsidRDefault="009660DA" w:rsidP="009660DA">
            <w:pPr>
              <w:spacing w:before="60" w:after="40" w:line="288" w:lineRule="auto"/>
              <w:ind w:firstLine="0"/>
              <w:jc w:val="right"/>
              <w:rPr>
                <w:rFonts w:cs="Tahoma"/>
                <w:sz w:val="18"/>
                <w:szCs w:val="18"/>
              </w:rPr>
            </w:pPr>
            <w:r>
              <w:rPr>
                <w:rFonts w:cs="Tahoma"/>
                <w:sz w:val="18"/>
                <w:szCs w:val="18"/>
              </w:rPr>
              <w:t>2/2</w:t>
            </w:r>
          </w:p>
        </w:tc>
        <w:tc>
          <w:tcPr>
            <w:tcW w:w="716" w:type="dxa"/>
            <w:tcBorders>
              <w:top w:val="single" w:sz="4" w:space="0" w:color="auto"/>
              <w:left w:val="single" w:sz="4" w:space="0" w:color="auto"/>
              <w:bottom w:val="single" w:sz="4" w:space="0" w:color="auto"/>
              <w:right w:val="single" w:sz="4" w:space="0" w:color="auto"/>
            </w:tcBorders>
          </w:tcPr>
          <w:p w14:paraId="3CA20F62" w14:textId="728BCD9B" w:rsidR="00FA7A70" w:rsidRPr="00FA7A70" w:rsidRDefault="009660DA" w:rsidP="009660DA">
            <w:pPr>
              <w:spacing w:before="60" w:after="40" w:line="288" w:lineRule="auto"/>
              <w:ind w:firstLine="0"/>
              <w:jc w:val="right"/>
              <w:rPr>
                <w:rFonts w:cs="Tahoma"/>
                <w:sz w:val="18"/>
                <w:szCs w:val="18"/>
              </w:rPr>
            </w:pPr>
            <w:r>
              <w:rPr>
                <w:rFonts w:cs="Tahoma"/>
                <w:sz w:val="18"/>
                <w:szCs w:val="18"/>
              </w:rPr>
              <w:t>10/10</w:t>
            </w:r>
          </w:p>
        </w:tc>
        <w:tc>
          <w:tcPr>
            <w:tcW w:w="717" w:type="dxa"/>
            <w:tcBorders>
              <w:top w:val="single" w:sz="4" w:space="0" w:color="auto"/>
              <w:left w:val="single" w:sz="4" w:space="0" w:color="auto"/>
              <w:bottom w:val="single" w:sz="4" w:space="0" w:color="auto"/>
              <w:right w:val="single" w:sz="4" w:space="0" w:color="auto"/>
            </w:tcBorders>
          </w:tcPr>
          <w:p w14:paraId="3034E5D0" w14:textId="6D08E81E" w:rsidR="00FA7A70" w:rsidRPr="00FA7A70" w:rsidRDefault="009660DA" w:rsidP="009660DA">
            <w:pPr>
              <w:spacing w:before="60" w:after="40" w:line="288" w:lineRule="auto"/>
              <w:ind w:firstLine="0"/>
              <w:jc w:val="right"/>
              <w:rPr>
                <w:rFonts w:cs="Tahoma"/>
                <w:sz w:val="18"/>
                <w:szCs w:val="18"/>
              </w:rPr>
            </w:pPr>
            <w:r>
              <w:rPr>
                <w:rFonts w:cs="Tahoma"/>
                <w:sz w:val="18"/>
                <w:szCs w:val="18"/>
              </w:rPr>
              <w:t>10/10</w:t>
            </w:r>
          </w:p>
        </w:tc>
        <w:tc>
          <w:tcPr>
            <w:tcW w:w="716" w:type="dxa"/>
            <w:tcBorders>
              <w:top w:val="single" w:sz="4" w:space="0" w:color="auto"/>
              <w:left w:val="single" w:sz="4" w:space="0" w:color="auto"/>
              <w:bottom w:val="single" w:sz="4" w:space="0" w:color="auto"/>
              <w:right w:val="single" w:sz="4" w:space="0" w:color="auto"/>
            </w:tcBorders>
          </w:tcPr>
          <w:p w14:paraId="786133C7" w14:textId="74EC0EF5" w:rsidR="00FA7A70" w:rsidRPr="00FA7A70" w:rsidRDefault="009660DA" w:rsidP="009660DA">
            <w:pPr>
              <w:spacing w:before="60" w:after="40" w:line="288" w:lineRule="auto"/>
              <w:ind w:firstLine="0"/>
              <w:jc w:val="right"/>
              <w:rPr>
                <w:rFonts w:cs="Tahoma"/>
                <w:sz w:val="18"/>
                <w:szCs w:val="18"/>
              </w:rPr>
            </w:pPr>
            <w:r>
              <w:rPr>
                <w:rFonts w:cs="Tahoma"/>
                <w:sz w:val="18"/>
                <w:szCs w:val="18"/>
              </w:rPr>
              <w:t>25/25</w:t>
            </w:r>
          </w:p>
        </w:tc>
        <w:tc>
          <w:tcPr>
            <w:tcW w:w="716" w:type="dxa"/>
            <w:tcBorders>
              <w:top w:val="single" w:sz="4" w:space="0" w:color="auto"/>
              <w:left w:val="single" w:sz="4" w:space="0" w:color="auto"/>
              <w:bottom w:val="single" w:sz="4" w:space="0" w:color="auto"/>
              <w:right w:val="single" w:sz="4" w:space="0" w:color="auto"/>
            </w:tcBorders>
          </w:tcPr>
          <w:p w14:paraId="440C439E" w14:textId="430BC329" w:rsidR="00FA7A70" w:rsidRPr="00FA7A70" w:rsidRDefault="00FA7A70" w:rsidP="009660DA">
            <w:pPr>
              <w:spacing w:before="60" w:after="40" w:line="288" w:lineRule="auto"/>
              <w:ind w:firstLine="0"/>
              <w:jc w:val="right"/>
              <w:rPr>
                <w:rFonts w:cs="Tahoma"/>
                <w:sz w:val="18"/>
                <w:szCs w:val="18"/>
              </w:rPr>
            </w:pPr>
            <w:r w:rsidRPr="00FA7A70">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258AD4A6" w14:textId="7A29A2D8" w:rsidR="00FA7A70" w:rsidRPr="00FA7A70" w:rsidRDefault="009660DA" w:rsidP="009660DA">
            <w:pPr>
              <w:spacing w:before="60" w:after="40" w:line="288" w:lineRule="auto"/>
              <w:ind w:firstLine="0"/>
              <w:jc w:val="right"/>
              <w:rPr>
                <w:rFonts w:cs="Tahoma"/>
                <w:sz w:val="18"/>
                <w:szCs w:val="18"/>
              </w:rPr>
            </w:pPr>
            <w:r>
              <w:rPr>
                <w:rFonts w:cs="Tahoma"/>
                <w:sz w:val="18"/>
                <w:szCs w:val="18"/>
              </w:rPr>
              <w:t>5/5</w:t>
            </w:r>
          </w:p>
        </w:tc>
        <w:tc>
          <w:tcPr>
            <w:tcW w:w="716" w:type="dxa"/>
            <w:tcBorders>
              <w:top w:val="single" w:sz="4" w:space="0" w:color="auto"/>
              <w:left w:val="single" w:sz="4" w:space="0" w:color="auto"/>
              <w:bottom w:val="single" w:sz="4" w:space="0" w:color="auto"/>
              <w:right w:val="single" w:sz="4" w:space="0" w:color="auto"/>
            </w:tcBorders>
          </w:tcPr>
          <w:p w14:paraId="5A0CAC62" w14:textId="46C4B521" w:rsidR="00FA7A70" w:rsidRPr="00FA7A70" w:rsidRDefault="009660DA" w:rsidP="009660DA">
            <w:pPr>
              <w:spacing w:before="60" w:after="40" w:line="288" w:lineRule="auto"/>
              <w:ind w:firstLine="0"/>
              <w:jc w:val="right"/>
              <w:rPr>
                <w:rFonts w:cs="Tahoma"/>
                <w:sz w:val="18"/>
                <w:szCs w:val="18"/>
              </w:rPr>
            </w:pPr>
            <w:r>
              <w:rPr>
                <w:rFonts w:cs="Tahoma"/>
                <w:sz w:val="18"/>
                <w:szCs w:val="18"/>
              </w:rPr>
              <w:t>2/1</w:t>
            </w:r>
          </w:p>
        </w:tc>
        <w:tc>
          <w:tcPr>
            <w:tcW w:w="716" w:type="dxa"/>
            <w:tcBorders>
              <w:top w:val="single" w:sz="4" w:space="0" w:color="auto"/>
              <w:left w:val="single" w:sz="4" w:space="0" w:color="auto"/>
              <w:bottom w:val="single" w:sz="4" w:space="0" w:color="auto"/>
              <w:right w:val="single" w:sz="4" w:space="0" w:color="auto"/>
            </w:tcBorders>
          </w:tcPr>
          <w:p w14:paraId="333E21C4" w14:textId="2F6ABC5E" w:rsidR="00FA7A70" w:rsidRPr="00FA7A70" w:rsidRDefault="009660DA" w:rsidP="009660DA">
            <w:pPr>
              <w:spacing w:before="60" w:after="40" w:line="288" w:lineRule="auto"/>
              <w:ind w:firstLine="0"/>
              <w:jc w:val="right"/>
              <w:rPr>
                <w:rFonts w:cs="Tahoma"/>
                <w:sz w:val="18"/>
                <w:szCs w:val="18"/>
              </w:rPr>
            </w:pPr>
            <w:r>
              <w:rPr>
                <w:rFonts w:cs="Tahoma"/>
                <w:sz w:val="18"/>
                <w:szCs w:val="18"/>
              </w:rPr>
              <w:t>5</w:t>
            </w:r>
            <w:r w:rsidR="00FA7A70" w:rsidRPr="00FA7A70">
              <w:rPr>
                <w:rFonts w:cs="Tahoma"/>
                <w:sz w:val="18"/>
                <w:szCs w:val="18"/>
              </w:rPr>
              <w:t>/</w:t>
            </w:r>
            <w:r>
              <w:rPr>
                <w:rFonts w:cs="Tahoma"/>
                <w:sz w:val="18"/>
                <w:szCs w:val="18"/>
              </w:rPr>
              <w:t>10</w:t>
            </w:r>
          </w:p>
        </w:tc>
        <w:tc>
          <w:tcPr>
            <w:tcW w:w="717" w:type="dxa"/>
            <w:tcBorders>
              <w:top w:val="single" w:sz="4" w:space="0" w:color="auto"/>
              <w:left w:val="single" w:sz="4" w:space="0" w:color="auto"/>
              <w:bottom w:val="single" w:sz="4" w:space="0" w:color="auto"/>
              <w:right w:val="single" w:sz="4" w:space="0" w:color="auto"/>
            </w:tcBorders>
          </w:tcPr>
          <w:p w14:paraId="71A220D6" w14:textId="494ED7BC" w:rsidR="00FA7A70" w:rsidRPr="00FA7A70" w:rsidRDefault="00FA7A70" w:rsidP="009660DA">
            <w:pPr>
              <w:spacing w:before="60" w:after="40" w:line="288" w:lineRule="auto"/>
              <w:ind w:firstLine="0"/>
              <w:jc w:val="right"/>
              <w:rPr>
                <w:rFonts w:cs="Tahoma"/>
                <w:sz w:val="18"/>
                <w:szCs w:val="18"/>
              </w:rPr>
            </w:pPr>
            <w:r w:rsidRPr="00FA7A70">
              <w:rPr>
                <w:rFonts w:cs="Tahoma"/>
                <w:sz w:val="18"/>
                <w:szCs w:val="18"/>
              </w:rPr>
              <w:t>1</w:t>
            </w:r>
            <w:r w:rsidR="009660DA">
              <w:rPr>
                <w:rFonts w:cs="Tahoma"/>
                <w:sz w:val="18"/>
                <w:szCs w:val="18"/>
              </w:rPr>
              <w:t>5</w:t>
            </w:r>
            <w:r w:rsidRPr="00FA7A70">
              <w:rPr>
                <w:rFonts w:cs="Tahoma"/>
                <w:sz w:val="18"/>
                <w:szCs w:val="18"/>
              </w:rPr>
              <w:t>/1</w:t>
            </w:r>
            <w:r w:rsidR="009660DA">
              <w:rPr>
                <w:rFonts w:cs="Tahoma"/>
                <w:sz w:val="18"/>
                <w:szCs w:val="18"/>
              </w:rPr>
              <w:t>5</w:t>
            </w:r>
          </w:p>
        </w:tc>
        <w:tc>
          <w:tcPr>
            <w:tcW w:w="716" w:type="dxa"/>
            <w:tcBorders>
              <w:top w:val="single" w:sz="4" w:space="0" w:color="auto"/>
              <w:left w:val="single" w:sz="4" w:space="0" w:color="auto"/>
              <w:bottom w:val="single" w:sz="4" w:space="0" w:color="auto"/>
              <w:right w:val="single" w:sz="4" w:space="0" w:color="auto"/>
            </w:tcBorders>
          </w:tcPr>
          <w:p w14:paraId="73D29A44" w14:textId="46E8CF58" w:rsidR="00FA7A70" w:rsidRPr="00FA7A70" w:rsidRDefault="00346181" w:rsidP="009660DA">
            <w:pPr>
              <w:spacing w:before="60" w:after="40" w:line="288" w:lineRule="auto"/>
              <w:ind w:firstLine="0"/>
              <w:jc w:val="right"/>
              <w:rPr>
                <w:rFonts w:cs="Tahoma"/>
                <w:sz w:val="18"/>
                <w:szCs w:val="18"/>
              </w:rPr>
            </w:pPr>
            <w:r>
              <w:rPr>
                <w:rFonts w:cs="Tahoma"/>
                <w:sz w:val="18"/>
                <w:szCs w:val="18"/>
              </w:rPr>
              <w:t>15/15</w:t>
            </w:r>
          </w:p>
        </w:tc>
        <w:tc>
          <w:tcPr>
            <w:tcW w:w="716" w:type="dxa"/>
            <w:tcBorders>
              <w:top w:val="single" w:sz="4" w:space="0" w:color="auto"/>
              <w:left w:val="single" w:sz="4" w:space="0" w:color="auto"/>
              <w:bottom w:val="single" w:sz="4" w:space="0" w:color="auto"/>
              <w:right w:val="single" w:sz="4" w:space="0" w:color="auto"/>
            </w:tcBorders>
          </w:tcPr>
          <w:p w14:paraId="12414B4C" w14:textId="0668D2BC" w:rsidR="00FA7A70" w:rsidRPr="00FA7A70" w:rsidRDefault="00FA7A70" w:rsidP="009660DA">
            <w:pPr>
              <w:spacing w:before="60" w:after="40" w:line="288" w:lineRule="auto"/>
              <w:ind w:firstLine="0"/>
              <w:jc w:val="right"/>
              <w:rPr>
                <w:rFonts w:cs="Tahoma"/>
                <w:sz w:val="18"/>
                <w:szCs w:val="18"/>
              </w:rPr>
            </w:pPr>
            <w:r w:rsidRPr="00FA7A70">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71750B86" w14:textId="7E691FE1" w:rsidR="00FA7A70" w:rsidRPr="00FA7A70" w:rsidRDefault="00FA7A70" w:rsidP="009660DA">
            <w:pPr>
              <w:spacing w:before="60" w:after="40" w:line="288" w:lineRule="auto"/>
              <w:ind w:firstLine="0"/>
              <w:jc w:val="right"/>
              <w:rPr>
                <w:rFonts w:cs="Tahoma"/>
                <w:sz w:val="18"/>
                <w:szCs w:val="18"/>
              </w:rPr>
            </w:pPr>
            <w:r w:rsidRPr="00FA7A70">
              <w:rPr>
                <w:rFonts w:cs="Tahoma"/>
                <w:sz w:val="18"/>
                <w:szCs w:val="18"/>
              </w:rPr>
              <w:t>-/-</w:t>
            </w:r>
          </w:p>
        </w:tc>
      </w:tr>
      <w:tr w:rsidR="0093443E" w:rsidRPr="00A00B9B" w14:paraId="62ED9C74"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12DC0F18" w14:textId="77777777" w:rsidR="0093443E" w:rsidRPr="00A00B9B" w:rsidRDefault="0093443E" w:rsidP="009660DA">
            <w:pPr>
              <w:spacing w:before="60" w:after="40" w:line="288" w:lineRule="auto"/>
              <w:ind w:firstLine="0"/>
              <w:jc w:val="center"/>
              <w:rPr>
                <w:rFonts w:cs="Tahoma"/>
                <w:sz w:val="18"/>
                <w:szCs w:val="18"/>
              </w:rPr>
            </w:pPr>
            <w:r w:rsidRPr="00A00B9B">
              <w:rPr>
                <w:rFonts w:cs="Tahoma"/>
                <w:sz w:val="18"/>
                <w:szCs w:val="18"/>
              </w:rPr>
              <w:t>1b</w:t>
            </w:r>
          </w:p>
        </w:tc>
        <w:tc>
          <w:tcPr>
            <w:tcW w:w="1985" w:type="dxa"/>
            <w:tcBorders>
              <w:top w:val="single" w:sz="4" w:space="0" w:color="auto"/>
              <w:left w:val="single" w:sz="4" w:space="0" w:color="auto"/>
              <w:bottom w:val="single" w:sz="4" w:space="0" w:color="auto"/>
              <w:right w:val="single" w:sz="4" w:space="0" w:color="auto"/>
            </w:tcBorders>
            <w:vAlign w:val="center"/>
          </w:tcPr>
          <w:p w14:paraId="1F3BB4A2" w14:textId="040F1092" w:rsidR="0093443E" w:rsidRPr="00A00B9B" w:rsidRDefault="0093443E" w:rsidP="009660DA">
            <w:pPr>
              <w:spacing w:before="60" w:after="40" w:line="288" w:lineRule="auto"/>
              <w:ind w:firstLine="0"/>
              <w:jc w:val="left"/>
              <w:rPr>
                <w:rFonts w:cs="Tahoma"/>
                <w:sz w:val="18"/>
                <w:szCs w:val="18"/>
              </w:rPr>
            </w:pPr>
            <w:r w:rsidRPr="00A00B9B">
              <w:rPr>
                <w:rFonts w:cs="Tahoma"/>
                <w:sz w:val="18"/>
                <w:szCs w:val="18"/>
              </w:rPr>
              <w:t xml:space="preserve">Stan na koniec roku </w:t>
            </w:r>
          </w:p>
        </w:tc>
        <w:tc>
          <w:tcPr>
            <w:tcW w:w="716" w:type="dxa"/>
            <w:tcBorders>
              <w:top w:val="single" w:sz="4" w:space="0" w:color="auto"/>
              <w:left w:val="single" w:sz="4" w:space="0" w:color="auto"/>
              <w:bottom w:val="single" w:sz="4" w:space="0" w:color="auto"/>
              <w:right w:val="single" w:sz="4" w:space="0" w:color="auto"/>
            </w:tcBorders>
            <w:vAlign w:val="center"/>
          </w:tcPr>
          <w:p w14:paraId="508D6512" w14:textId="0939180B" w:rsidR="0093443E" w:rsidRPr="00A00B9B" w:rsidRDefault="009660DA" w:rsidP="009660DA">
            <w:pPr>
              <w:spacing w:before="60" w:after="40" w:line="288" w:lineRule="auto"/>
              <w:ind w:firstLine="0"/>
              <w:jc w:val="right"/>
              <w:rPr>
                <w:rFonts w:cs="Tahoma"/>
                <w:sz w:val="18"/>
                <w:szCs w:val="18"/>
              </w:rPr>
            </w:pPr>
            <w:r>
              <w:rPr>
                <w:rFonts w:cs="Tahoma"/>
                <w:sz w:val="18"/>
                <w:szCs w:val="18"/>
              </w:rPr>
              <w:t>98</w:t>
            </w:r>
          </w:p>
        </w:tc>
        <w:tc>
          <w:tcPr>
            <w:tcW w:w="716" w:type="dxa"/>
            <w:tcBorders>
              <w:top w:val="single" w:sz="4" w:space="0" w:color="auto"/>
              <w:left w:val="single" w:sz="4" w:space="0" w:color="auto"/>
              <w:bottom w:val="single" w:sz="4" w:space="0" w:color="auto"/>
              <w:right w:val="single" w:sz="4" w:space="0" w:color="auto"/>
            </w:tcBorders>
          </w:tcPr>
          <w:p w14:paraId="5B6B428C" w14:textId="34B15DCD" w:rsidR="0093443E" w:rsidRPr="00A00B9B" w:rsidRDefault="009660DA" w:rsidP="009660DA">
            <w:pPr>
              <w:spacing w:before="60" w:after="40" w:line="288" w:lineRule="auto"/>
              <w:ind w:firstLine="0"/>
              <w:jc w:val="right"/>
              <w:rPr>
                <w:rFonts w:cs="Tahoma"/>
                <w:sz w:val="18"/>
                <w:szCs w:val="18"/>
              </w:rPr>
            </w:pPr>
            <w:r>
              <w:rPr>
                <w:rFonts w:cs="Tahoma"/>
                <w:sz w:val="18"/>
                <w:szCs w:val="18"/>
              </w:rPr>
              <w:t>9</w:t>
            </w:r>
            <w:r w:rsidR="0093443E" w:rsidRPr="001A6EFE">
              <w:rPr>
                <w:rFonts w:cs="Tahoma"/>
                <w:sz w:val="18"/>
                <w:szCs w:val="18"/>
              </w:rPr>
              <w:t>3</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3CE4DAFD" w14:textId="6AF566B1" w:rsidR="0093443E" w:rsidRPr="00A00B9B" w:rsidRDefault="009660DA" w:rsidP="009660DA">
            <w:pPr>
              <w:spacing w:before="60" w:after="40" w:line="288" w:lineRule="auto"/>
              <w:ind w:firstLine="0"/>
              <w:jc w:val="right"/>
              <w:rPr>
                <w:rFonts w:cs="Tahoma"/>
                <w:sz w:val="18"/>
                <w:szCs w:val="18"/>
              </w:rPr>
            </w:pPr>
            <w:r>
              <w:rPr>
                <w:rFonts w:cs="Tahoma"/>
                <w:sz w:val="18"/>
                <w:szCs w:val="18"/>
              </w:rPr>
              <w:t>93</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32B1E57E" w14:textId="710DAC27" w:rsidR="0093443E" w:rsidRPr="00A00B9B" w:rsidRDefault="009660DA" w:rsidP="009660DA">
            <w:pPr>
              <w:spacing w:before="60" w:after="40" w:line="288" w:lineRule="auto"/>
              <w:ind w:firstLine="0"/>
              <w:jc w:val="right"/>
              <w:rPr>
                <w:rFonts w:cs="Tahoma"/>
                <w:sz w:val="18"/>
                <w:szCs w:val="18"/>
              </w:rPr>
            </w:pPr>
            <w:r>
              <w:rPr>
                <w:rFonts w:cs="Tahoma"/>
                <w:sz w:val="18"/>
                <w:szCs w:val="18"/>
              </w:rPr>
              <w:t>93</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DBDD47C" w14:textId="62FB80A5" w:rsidR="0093443E" w:rsidRPr="00A00B9B" w:rsidRDefault="009660DA" w:rsidP="009660DA">
            <w:pPr>
              <w:spacing w:before="60" w:after="40" w:line="288" w:lineRule="auto"/>
              <w:ind w:firstLine="0"/>
              <w:jc w:val="right"/>
              <w:rPr>
                <w:rFonts w:cs="Tahoma"/>
                <w:sz w:val="18"/>
                <w:szCs w:val="18"/>
              </w:rPr>
            </w:pPr>
            <w:r>
              <w:rPr>
                <w:rFonts w:cs="Tahoma"/>
                <w:sz w:val="18"/>
                <w:szCs w:val="18"/>
              </w:rPr>
              <w:t>93</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268D7E5A" w14:textId="60439B4C" w:rsidR="0093443E" w:rsidRPr="00A00B9B" w:rsidRDefault="009660DA" w:rsidP="009660DA">
            <w:pPr>
              <w:spacing w:before="60" w:after="40" w:line="288" w:lineRule="auto"/>
              <w:ind w:firstLine="0"/>
              <w:jc w:val="right"/>
              <w:rPr>
                <w:rFonts w:cs="Tahoma"/>
                <w:sz w:val="18"/>
                <w:szCs w:val="18"/>
              </w:rPr>
            </w:pPr>
            <w:r>
              <w:rPr>
                <w:rFonts w:cs="Tahoma"/>
                <w:sz w:val="18"/>
                <w:szCs w:val="18"/>
              </w:rPr>
              <w:t>9</w:t>
            </w:r>
            <w:r w:rsidR="0093443E" w:rsidRPr="001A6EFE">
              <w:rPr>
                <w:rFonts w:cs="Tahoma"/>
                <w:sz w:val="18"/>
                <w:szCs w:val="18"/>
              </w:rPr>
              <w:t>3</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1D350C5A" w14:textId="30723E75" w:rsidR="0093443E" w:rsidRPr="00A00B9B" w:rsidRDefault="009660DA" w:rsidP="009660DA">
            <w:pPr>
              <w:spacing w:before="60" w:after="40" w:line="288" w:lineRule="auto"/>
              <w:ind w:firstLine="0"/>
              <w:jc w:val="right"/>
              <w:rPr>
                <w:rFonts w:cs="Tahoma"/>
                <w:sz w:val="18"/>
                <w:szCs w:val="18"/>
              </w:rPr>
            </w:pPr>
            <w:r>
              <w:rPr>
                <w:rFonts w:cs="Tahoma"/>
                <w:sz w:val="18"/>
                <w:szCs w:val="18"/>
              </w:rPr>
              <w:t>9</w:t>
            </w:r>
            <w:r w:rsidR="0093443E" w:rsidRPr="001A6EFE">
              <w:rPr>
                <w:rFonts w:cs="Tahoma"/>
                <w:sz w:val="18"/>
                <w:szCs w:val="18"/>
              </w:rPr>
              <w:t>3</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727A161" w14:textId="1A567316" w:rsidR="0093443E" w:rsidRPr="00A00B9B" w:rsidRDefault="009660DA" w:rsidP="009660DA">
            <w:pPr>
              <w:spacing w:before="60" w:after="40" w:line="288" w:lineRule="auto"/>
              <w:ind w:firstLine="0"/>
              <w:jc w:val="right"/>
              <w:rPr>
                <w:rFonts w:cs="Tahoma"/>
                <w:sz w:val="18"/>
                <w:szCs w:val="18"/>
              </w:rPr>
            </w:pPr>
            <w:r>
              <w:rPr>
                <w:rFonts w:cs="Tahoma"/>
                <w:sz w:val="18"/>
                <w:szCs w:val="18"/>
              </w:rPr>
              <w:t>9</w:t>
            </w:r>
            <w:r w:rsidR="0093443E" w:rsidRPr="001A6EFE">
              <w:rPr>
                <w:rFonts w:cs="Tahoma"/>
                <w:sz w:val="18"/>
                <w:szCs w:val="18"/>
              </w:rPr>
              <w:t>3</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666C10E" w14:textId="2A593932" w:rsidR="0093443E" w:rsidRPr="00A00B9B" w:rsidRDefault="009660DA" w:rsidP="009660DA">
            <w:pPr>
              <w:spacing w:before="60" w:after="40" w:line="288" w:lineRule="auto"/>
              <w:ind w:firstLine="0"/>
              <w:jc w:val="right"/>
              <w:rPr>
                <w:rFonts w:cs="Tahoma"/>
                <w:sz w:val="18"/>
                <w:szCs w:val="18"/>
              </w:rPr>
            </w:pPr>
            <w:r>
              <w:rPr>
                <w:rFonts w:cs="Tahoma"/>
                <w:sz w:val="18"/>
                <w:szCs w:val="18"/>
              </w:rPr>
              <w:t>9</w:t>
            </w:r>
            <w:r w:rsidR="0093443E" w:rsidRPr="001A6EFE">
              <w:rPr>
                <w:rFonts w:cs="Tahoma"/>
                <w:sz w:val="18"/>
                <w:szCs w:val="18"/>
              </w:rPr>
              <w:t>3</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0F09267B" w14:textId="1CFFACE6" w:rsidR="0093443E" w:rsidRPr="00A00B9B" w:rsidRDefault="009660DA" w:rsidP="009660DA">
            <w:pPr>
              <w:spacing w:before="60" w:after="40" w:line="288" w:lineRule="auto"/>
              <w:ind w:firstLine="0"/>
              <w:jc w:val="right"/>
              <w:rPr>
                <w:rFonts w:cs="Tahoma"/>
                <w:sz w:val="18"/>
                <w:szCs w:val="18"/>
              </w:rPr>
            </w:pPr>
            <w:r>
              <w:rPr>
                <w:rFonts w:cs="Tahoma"/>
                <w:sz w:val="18"/>
                <w:szCs w:val="18"/>
              </w:rPr>
              <w:t>9</w:t>
            </w:r>
            <w:r w:rsidR="0093443E" w:rsidRPr="001A6EFE">
              <w:rPr>
                <w:rFonts w:cs="Tahoma"/>
                <w:sz w:val="18"/>
                <w:szCs w:val="18"/>
              </w:rPr>
              <w:t>3</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D1601D7" w14:textId="6A0390BF" w:rsidR="0093443E" w:rsidRPr="00A00B9B" w:rsidRDefault="009660DA" w:rsidP="009660DA">
            <w:pPr>
              <w:spacing w:before="60" w:after="40" w:line="288" w:lineRule="auto"/>
              <w:ind w:firstLine="0"/>
              <w:jc w:val="right"/>
              <w:rPr>
                <w:rFonts w:cs="Tahoma"/>
                <w:sz w:val="18"/>
                <w:szCs w:val="18"/>
              </w:rPr>
            </w:pPr>
            <w:r>
              <w:rPr>
                <w:rFonts w:cs="Tahoma"/>
                <w:sz w:val="18"/>
                <w:szCs w:val="18"/>
              </w:rPr>
              <w:t>94</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051880D" w14:textId="3F096AD7" w:rsidR="0093443E" w:rsidRPr="00A00B9B" w:rsidRDefault="009660DA" w:rsidP="009660DA">
            <w:pPr>
              <w:spacing w:before="60" w:after="40" w:line="288" w:lineRule="auto"/>
              <w:ind w:firstLine="0"/>
              <w:jc w:val="right"/>
              <w:rPr>
                <w:rFonts w:cs="Tahoma"/>
                <w:sz w:val="18"/>
                <w:szCs w:val="18"/>
              </w:rPr>
            </w:pPr>
            <w:r>
              <w:rPr>
                <w:rFonts w:cs="Tahoma"/>
                <w:sz w:val="18"/>
                <w:szCs w:val="18"/>
              </w:rPr>
              <w:t>89</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52DD0069" w14:textId="3A938381" w:rsidR="0093443E" w:rsidRPr="00A00B9B" w:rsidRDefault="009660DA" w:rsidP="009660DA">
            <w:pPr>
              <w:spacing w:before="60" w:after="40" w:line="288" w:lineRule="auto"/>
              <w:ind w:firstLine="0"/>
              <w:jc w:val="right"/>
              <w:rPr>
                <w:rFonts w:cs="Tahoma"/>
                <w:sz w:val="18"/>
                <w:szCs w:val="18"/>
              </w:rPr>
            </w:pPr>
            <w:r>
              <w:rPr>
                <w:rFonts w:cs="Tahoma"/>
                <w:sz w:val="18"/>
                <w:szCs w:val="18"/>
              </w:rPr>
              <w:t>89</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365A400" w14:textId="454980C5" w:rsidR="0093443E" w:rsidRPr="00A00B9B" w:rsidRDefault="00346181" w:rsidP="009660DA">
            <w:pPr>
              <w:spacing w:before="60" w:after="40" w:line="288" w:lineRule="auto"/>
              <w:ind w:firstLine="0"/>
              <w:jc w:val="right"/>
              <w:rPr>
                <w:rFonts w:cs="Tahoma"/>
                <w:sz w:val="18"/>
                <w:szCs w:val="18"/>
              </w:rPr>
            </w:pPr>
            <w:r>
              <w:rPr>
                <w:rFonts w:cs="Tahoma"/>
                <w:sz w:val="18"/>
                <w:szCs w:val="18"/>
              </w:rPr>
              <w:t>89</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3C86F51" w14:textId="2C66592C" w:rsidR="0093443E" w:rsidRPr="00A00B9B" w:rsidRDefault="00346181" w:rsidP="009660DA">
            <w:pPr>
              <w:spacing w:before="60" w:after="40" w:line="288" w:lineRule="auto"/>
              <w:ind w:firstLine="0"/>
              <w:jc w:val="right"/>
              <w:rPr>
                <w:rFonts w:cs="Tahoma"/>
                <w:sz w:val="18"/>
                <w:szCs w:val="18"/>
              </w:rPr>
            </w:pPr>
            <w:r>
              <w:rPr>
                <w:rFonts w:cs="Tahoma"/>
                <w:sz w:val="18"/>
                <w:szCs w:val="18"/>
              </w:rPr>
              <w:t>89</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6D514C6B" w14:textId="1C8C5C92" w:rsidR="0093443E" w:rsidRPr="00A00B9B" w:rsidRDefault="00346181" w:rsidP="009660DA">
            <w:pPr>
              <w:spacing w:before="60" w:after="40" w:line="288" w:lineRule="auto"/>
              <w:ind w:firstLine="0"/>
              <w:jc w:val="right"/>
              <w:rPr>
                <w:rFonts w:cs="Tahoma"/>
                <w:sz w:val="18"/>
                <w:szCs w:val="18"/>
              </w:rPr>
            </w:pPr>
            <w:r>
              <w:rPr>
                <w:rFonts w:cs="Tahoma"/>
                <w:sz w:val="18"/>
                <w:szCs w:val="18"/>
              </w:rPr>
              <w:t>89</w:t>
            </w:r>
          </w:p>
        </w:tc>
      </w:tr>
      <w:tr w:rsidR="00146F97" w:rsidRPr="00A00B9B" w14:paraId="652945A7" w14:textId="77777777" w:rsidTr="00786BBC">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0980A72" w14:textId="77777777" w:rsidR="00146F97" w:rsidRPr="00A00B9B" w:rsidRDefault="00146F97" w:rsidP="009660DA">
            <w:pPr>
              <w:spacing w:before="60" w:after="40" w:line="288" w:lineRule="auto"/>
              <w:ind w:firstLine="0"/>
              <w:jc w:val="center"/>
              <w:rPr>
                <w:rFonts w:cs="Tahoma"/>
                <w:b/>
                <w:sz w:val="18"/>
                <w:szCs w:val="18"/>
              </w:rPr>
            </w:pPr>
            <w:r w:rsidRPr="00A00B9B">
              <w:rPr>
                <w:rFonts w:cs="Tahoma"/>
                <w:b/>
                <w:sz w:val="18"/>
                <w:szCs w:val="18"/>
              </w:rPr>
              <w:t>2</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73D59E5D" w14:textId="49A39C2F" w:rsidR="00146F97" w:rsidRPr="00A00B9B" w:rsidRDefault="00146F97" w:rsidP="009660DA">
            <w:pPr>
              <w:spacing w:before="60" w:after="40" w:line="288" w:lineRule="auto"/>
              <w:ind w:firstLine="0"/>
              <w:jc w:val="left"/>
              <w:rPr>
                <w:rFonts w:cs="Tahoma"/>
                <w:b/>
                <w:sz w:val="18"/>
                <w:szCs w:val="18"/>
              </w:rPr>
            </w:pPr>
            <w:r w:rsidRPr="00A00B9B">
              <w:rPr>
                <w:rFonts w:cs="Tahoma"/>
                <w:b/>
                <w:sz w:val="18"/>
                <w:szCs w:val="18"/>
              </w:rPr>
              <w:t xml:space="preserve">Autobusy </w:t>
            </w:r>
            <w:r w:rsidR="00490B8A">
              <w:rPr>
                <w:rFonts w:cs="Tahoma"/>
                <w:b/>
                <w:sz w:val="18"/>
                <w:szCs w:val="18"/>
              </w:rPr>
              <w:t>CNG</w:t>
            </w:r>
          </w:p>
        </w:tc>
      </w:tr>
      <w:tr w:rsidR="00984E01" w:rsidRPr="00A00B9B" w14:paraId="2819B256" w14:textId="77777777" w:rsidTr="00984E01">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B61F8D9" w14:textId="77777777" w:rsidR="00984E01" w:rsidRPr="00A00B9B" w:rsidRDefault="00984E01" w:rsidP="009660DA">
            <w:pPr>
              <w:spacing w:before="60" w:after="40" w:line="288" w:lineRule="auto"/>
              <w:ind w:firstLine="0"/>
              <w:jc w:val="center"/>
              <w:rPr>
                <w:rFonts w:cs="Tahoma"/>
                <w:sz w:val="18"/>
                <w:szCs w:val="18"/>
              </w:rPr>
            </w:pPr>
            <w:r w:rsidRPr="00A00B9B">
              <w:rPr>
                <w:rFonts w:cs="Tahoma"/>
                <w:sz w:val="18"/>
                <w:szCs w:val="18"/>
              </w:rPr>
              <w:t>2a</w:t>
            </w:r>
          </w:p>
        </w:tc>
        <w:tc>
          <w:tcPr>
            <w:tcW w:w="1985" w:type="dxa"/>
            <w:tcBorders>
              <w:top w:val="single" w:sz="4" w:space="0" w:color="auto"/>
              <w:left w:val="single" w:sz="4" w:space="0" w:color="auto"/>
              <w:bottom w:val="single" w:sz="4" w:space="0" w:color="auto"/>
              <w:right w:val="single" w:sz="4" w:space="0" w:color="auto"/>
            </w:tcBorders>
            <w:vAlign w:val="center"/>
          </w:tcPr>
          <w:p w14:paraId="78948D39" w14:textId="77777777" w:rsidR="00984E01" w:rsidRPr="00A00B9B" w:rsidRDefault="00984E01" w:rsidP="009660DA">
            <w:pPr>
              <w:spacing w:before="60" w:after="40" w:line="288" w:lineRule="auto"/>
              <w:ind w:firstLine="0"/>
              <w:jc w:val="left"/>
              <w:rPr>
                <w:rFonts w:cs="Tahoma"/>
                <w:sz w:val="18"/>
                <w:szCs w:val="18"/>
              </w:rPr>
            </w:pPr>
            <w:r w:rsidRPr="00A00B9B">
              <w:rPr>
                <w:rFonts w:cs="Tahoma"/>
                <w:sz w:val="18"/>
                <w:szCs w:val="18"/>
              </w:rPr>
              <w:t>Zakup/wycofanie</w:t>
            </w:r>
          </w:p>
        </w:tc>
        <w:tc>
          <w:tcPr>
            <w:tcW w:w="716" w:type="dxa"/>
            <w:tcBorders>
              <w:top w:val="single" w:sz="4" w:space="0" w:color="auto"/>
              <w:left w:val="single" w:sz="4" w:space="0" w:color="auto"/>
              <w:bottom w:val="single" w:sz="4" w:space="0" w:color="auto"/>
              <w:right w:val="single" w:sz="4" w:space="0" w:color="auto"/>
            </w:tcBorders>
            <w:vAlign w:val="center"/>
          </w:tcPr>
          <w:p w14:paraId="75FAAF3A" w14:textId="1F18A388" w:rsidR="00984E01" w:rsidRPr="00A00B9B" w:rsidRDefault="009660DA" w:rsidP="009660DA">
            <w:pPr>
              <w:spacing w:before="60" w:after="40" w:line="288" w:lineRule="auto"/>
              <w:ind w:firstLine="0"/>
              <w:jc w:val="right"/>
              <w:rPr>
                <w:rFonts w:cs="Tahoma"/>
                <w:sz w:val="18"/>
                <w:szCs w:val="18"/>
              </w:rPr>
            </w:pPr>
            <w:r>
              <w:rPr>
                <w:rFonts w:cs="Tahoma"/>
                <w:sz w:val="18"/>
                <w:szCs w:val="18"/>
              </w:rPr>
              <w:t>-</w:t>
            </w:r>
            <w:r w:rsidR="00984E01"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D213716" w14:textId="232C96EE"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6E4B19EF" w14:textId="3C2244EE" w:rsidR="00984E01" w:rsidRPr="00A00B9B" w:rsidRDefault="009660DA" w:rsidP="009660DA">
            <w:pPr>
              <w:spacing w:before="60" w:after="40" w:line="288" w:lineRule="auto"/>
              <w:ind w:firstLine="0"/>
              <w:jc w:val="right"/>
              <w:rPr>
                <w:rFonts w:cs="Tahoma"/>
                <w:sz w:val="18"/>
                <w:szCs w:val="18"/>
              </w:rPr>
            </w:pPr>
            <w:r>
              <w:rPr>
                <w:rFonts w:cs="Tahoma"/>
                <w:sz w:val="18"/>
                <w:szCs w:val="18"/>
              </w:rPr>
              <w:t>18</w:t>
            </w:r>
            <w:r w:rsidR="00984E01" w:rsidRPr="00A00B9B">
              <w:rPr>
                <w:rFonts w:cs="Tahoma"/>
                <w:sz w:val="18"/>
                <w:szCs w:val="18"/>
              </w:rPr>
              <w:t>/</w:t>
            </w:r>
            <w:r>
              <w:rPr>
                <w:rFonts w:cs="Tahoma"/>
                <w:sz w:val="18"/>
                <w:szCs w:val="18"/>
              </w:rPr>
              <w:t>21</w:t>
            </w:r>
          </w:p>
        </w:tc>
        <w:tc>
          <w:tcPr>
            <w:tcW w:w="717" w:type="dxa"/>
            <w:tcBorders>
              <w:top w:val="single" w:sz="4" w:space="0" w:color="auto"/>
              <w:left w:val="single" w:sz="4" w:space="0" w:color="auto"/>
              <w:bottom w:val="single" w:sz="4" w:space="0" w:color="auto"/>
              <w:right w:val="single" w:sz="4" w:space="0" w:color="auto"/>
            </w:tcBorders>
            <w:vAlign w:val="center"/>
          </w:tcPr>
          <w:p w14:paraId="522EE8F3" w14:textId="48E5357C" w:rsidR="00984E01" w:rsidRPr="00A00B9B" w:rsidRDefault="009660DA" w:rsidP="009660DA">
            <w:pPr>
              <w:spacing w:before="60" w:after="40" w:line="288" w:lineRule="auto"/>
              <w:ind w:firstLine="0"/>
              <w:jc w:val="right"/>
              <w:rPr>
                <w:rFonts w:cs="Tahoma"/>
                <w:sz w:val="18"/>
                <w:szCs w:val="18"/>
              </w:rPr>
            </w:pPr>
            <w:r>
              <w:rPr>
                <w:rFonts w:cs="Tahoma"/>
                <w:sz w:val="18"/>
                <w:szCs w:val="18"/>
              </w:rPr>
              <w:t>6/6</w:t>
            </w:r>
          </w:p>
        </w:tc>
        <w:tc>
          <w:tcPr>
            <w:tcW w:w="716" w:type="dxa"/>
            <w:tcBorders>
              <w:top w:val="single" w:sz="4" w:space="0" w:color="auto"/>
              <w:left w:val="single" w:sz="4" w:space="0" w:color="auto"/>
              <w:bottom w:val="single" w:sz="4" w:space="0" w:color="auto"/>
              <w:right w:val="single" w:sz="4" w:space="0" w:color="auto"/>
            </w:tcBorders>
            <w:vAlign w:val="center"/>
          </w:tcPr>
          <w:p w14:paraId="6CAB8752" w14:textId="75B7D7F6"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0B7334DA" w14:textId="65C3FB5C"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5DBF3D93" w14:textId="4BF17737" w:rsidR="00984E01" w:rsidRPr="00A00B9B" w:rsidRDefault="009660DA" w:rsidP="009660DA">
            <w:pPr>
              <w:spacing w:before="60" w:after="40" w:line="288" w:lineRule="auto"/>
              <w:ind w:firstLine="0"/>
              <w:jc w:val="right"/>
              <w:rPr>
                <w:rFonts w:cs="Tahoma"/>
                <w:sz w:val="18"/>
                <w:szCs w:val="18"/>
              </w:rPr>
            </w:pPr>
            <w:r>
              <w:rPr>
                <w:rFonts w:cs="Tahoma"/>
                <w:sz w:val="18"/>
                <w:szCs w:val="18"/>
              </w:rPr>
              <w:t>20/20</w:t>
            </w:r>
          </w:p>
        </w:tc>
        <w:tc>
          <w:tcPr>
            <w:tcW w:w="716" w:type="dxa"/>
            <w:tcBorders>
              <w:top w:val="single" w:sz="4" w:space="0" w:color="auto"/>
              <w:left w:val="single" w:sz="4" w:space="0" w:color="auto"/>
              <w:bottom w:val="single" w:sz="4" w:space="0" w:color="auto"/>
              <w:right w:val="single" w:sz="4" w:space="0" w:color="auto"/>
            </w:tcBorders>
            <w:vAlign w:val="center"/>
          </w:tcPr>
          <w:p w14:paraId="0CAA1AF4" w14:textId="75CE2B85" w:rsidR="00984E01" w:rsidRPr="00A00B9B" w:rsidRDefault="009660DA" w:rsidP="009660DA">
            <w:pPr>
              <w:spacing w:before="60" w:after="40" w:line="288" w:lineRule="auto"/>
              <w:ind w:firstLine="0"/>
              <w:jc w:val="right"/>
              <w:rPr>
                <w:rFonts w:cs="Tahoma"/>
                <w:sz w:val="18"/>
                <w:szCs w:val="18"/>
              </w:rPr>
            </w:pPr>
            <w:r>
              <w:rPr>
                <w:rFonts w:cs="Tahoma"/>
                <w:sz w:val="18"/>
                <w:szCs w:val="18"/>
              </w:rPr>
              <w:t>6/10</w:t>
            </w:r>
          </w:p>
        </w:tc>
        <w:tc>
          <w:tcPr>
            <w:tcW w:w="716" w:type="dxa"/>
            <w:tcBorders>
              <w:top w:val="single" w:sz="4" w:space="0" w:color="auto"/>
              <w:left w:val="single" w:sz="4" w:space="0" w:color="auto"/>
              <w:bottom w:val="single" w:sz="4" w:space="0" w:color="auto"/>
              <w:right w:val="single" w:sz="4" w:space="0" w:color="auto"/>
            </w:tcBorders>
            <w:vAlign w:val="center"/>
          </w:tcPr>
          <w:p w14:paraId="74D8C15A" w14:textId="34538C04"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3A7E9B2C" w14:textId="2BD5CC49"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613BC08" w14:textId="71634EC8"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r w:rsidR="009660DA">
              <w:rPr>
                <w:rFonts w:cs="Tahoma"/>
                <w:sz w:val="18"/>
                <w:szCs w:val="18"/>
              </w:rPr>
              <w:t>1</w:t>
            </w:r>
          </w:p>
        </w:tc>
        <w:tc>
          <w:tcPr>
            <w:tcW w:w="716" w:type="dxa"/>
            <w:tcBorders>
              <w:top w:val="single" w:sz="4" w:space="0" w:color="auto"/>
              <w:left w:val="single" w:sz="4" w:space="0" w:color="auto"/>
              <w:bottom w:val="single" w:sz="4" w:space="0" w:color="auto"/>
              <w:right w:val="single" w:sz="4" w:space="0" w:color="auto"/>
            </w:tcBorders>
            <w:vAlign w:val="center"/>
          </w:tcPr>
          <w:p w14:paraId="5E213899" w14:textId="55C21903"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3B85408A" w14:textId="24F70B9C"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0209CAC0" w14:textId="51D668E0" w:rsidR="00984E01" w:rsidRPr="00A00B9B" w:rsidRDefault="00346181" w:rsidP="009660DA">
            <w:pPr>
              <w:spacing w:before="60" w:after="40" w:line="288" w:lineRule="auto"/>
              <w:ind w:firstLine="0"/>
              <w:jc w:val="right"/>
              <w:rPr>
                <w:rFonts w:cs="Tahoma"/>
                <w:sz w:val="18"/>
                <w:szCs w:val="18"/>
              </w:rPr>
            </w:pPr>
            <w:r>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9DB0751" w14:textId="2541B347" w:rsidR="00984E01" w:rsidRPr="00A00B9B" w:rsidRDefault="00346181" w:rsidP="009660DA">
            <w:pPr>
              <w:spacing w:before="60" w:after="40" w:line="288" w:lineRule="auto"/>
              <w:ind w:firstLine="0"/>
              <w:jc w:val="right"/>
              <w:rPr>
                <w:rFonts w:cs="Tahoma"/>
                <w:sz w:val="18"/>
                <w:szCs w:val="18"/>
              </w:rPr>
            </w:pPr>
            <w:r>
              <w:rPr>
                <w:rFonts w:cs="Tahoma"/>
                <w:sz w:val="18"/>
                <w:szCs w:val="18"/>
              </w:rPr>
              <w:t>20/20</w:t>
            </w:r>
          </w:p>
        </w:tc>
        <w:tc>
          <w:tcPr>
            <w:tcW w:w="717" w:type="dxa"/>
            <w:tcBorders>
              <w:top w:val="single" w:sz="4" w:space="0" w:color="auto"/>
              <w:left w:val="single" w:sz="4" w:space="0" w:color="auto"/>
              <w:bottom w:val="single" w:sz="4" w:space="0" w:color="auto"/>
              <w:right w:val="single" w:sz="4" w:space="0" w:color="auto"/>
            </w:tcBorders>
            <w:vAlign w:val="center"/>
          </w:tcPr>
          <w:p w14:paraId="4CB3C858" w14:textId="36D13E16" w:rsidR="00984E01" w:rsidRPr="00A00B9B" w:rsidRDefault="00346181" w:rsidP="009660DA">
            <w:pPr>
              <w:spacing w:before="60" w:after="40" w:line="288" w:lineRule="auto"/>
              <w:ind w:firstLine="0"/>
              <w:jc w:val="right"/>
              <w:rPr>
                <w:rFonts w:cs="Tahoma"/>
                <w:sz w:val="18"/>
                <w:szCs w:val="18"/>
              </w:rPr>
            </w:pPr>
            <w:r>
              <w:rPr>
                <w:rFonts w:cs="Tahoma"/>
                <w:sz w:val="18"/>
                <w:szCs w:val="18"/>
              </w:rPr>
              <w:t>20/20</w:t>
            </w:r>
          </w:p>
        </w:tc>
      </w:tr>
      <w:tr w:rsidR="00345D5A" w:rsidRPr="00A00B9B" w14:paraId="23C2FD7A"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CDB59F7" w14:textId="77777777" w:rsidR="00345D5A" w:rsidRPr="00A00B9B" w:rsidRDefault="00345D5A" w:rsidP="009660DA">
            <w:pPr>
              <w:spacing w:before="60" w:after="40" w:line="288" w:lineRule="auto"/>
              <w:ind w:firstLine="0"/>
              <w:jc w:val="center"/>
              <w:rPr>
                <w:rFonts w:cs="Tahoma"/>
                <w:sz w:val="18"/>
                <w:szCs w:val="18"/>
              </w:rPr>
            </w:pPr>
            <w:r w:rsidRPr="00A00B9B">
              <w:rPr>
                <w:rFonts w:cs="Tahoma"/>
                <w:sz w:val="18"/>
                <w:szCs w:val="18"/>
              </w:rPr>
              <w:t>2b</w:t>
            </w:r>
          </w:p>
        </w:tc>
        <w:tc>
          <w:tcPr>
            <w:tcW w:w="1985" w:type="dxa"/>
            <w:tcBorders>
              <w:top w:val="single" w:sz="4" w:space="0" w:color="auto"/>
              <w:left w:val="single" w:sz="4" w:space="0" w:color="auto"/>
              <w:bottom w:val="single" w:sz="4" w:space="0" w:color="auto"/>
              <w:right w:val="single" w:sz="4" w:space="0" w:color="auto"/>
            </w:tcBorders>
            <w:vAlign w:val="center"/>
          </w:tcPr>
          <w:p w14:paraId="061758F0" w14:textId="38B26EE2" w:rsidR="00345D5A" w:rsidRPr="00A00B9B" w:rsidRDefault="00345D5A" w:rsidP="009660DA">
            <w:pPr>
              <w:spacing w:before="60" w:after="40" w:line="288" w:lineRule="auto"/>
              <w:ind w:firstLine="0"/>
              <w:jc w:val="left"/>
              <w:rPr>
                <w:rFonts w:cs="Tahoma"/>
                <w:sz w:val="18"/>
                <w:szCs w:val="18"/>
              </w:rPr>
            </w:pPr>
            <w:r w:rsidRPr="00A00B9B">
              <w:rPr>
                <w:rFonts w:cs="Tahoma"/>
                <w:sz w:val="18"/>
                <w:szCs w:val="18"/>
              </w:rPr>
              <w:t>Stan na koniec roku</w:t>
            </w:r>
          </w:p>
        </w:tc>
        <w:tc>
          <w:tcPr>
            <w:tcW w:w="716" w:type="dxa"/>
            <w:tcBorders>
              <w:top w:val="single" w:sz="4" w:space="0" w:color="auto"/>
              <w:left w:val="single" w:sz="4" w:space="0" w:color="auto"/>
              <w:bottom w:val="single" w:sz="4" w:space="0" w:color="auto"/>
              <w:right w:val="single" w:sz="4" w:space="0" w:color="auto"/>
            </w:tcBorders>
            <w:vAlign w:val="center"/>
          </w:tcPr>
          <w:p w14:paraId="48BB9A92" w14:textId="5E44F30C" w:rsidR="00345D5A" w:rsidRPr="00A00B9B" w:rsidRDefault="009660DA" w:rsidP="009660DA">
            <w:pPr>
              <w:spacing w:before="60" w:after="40" w:line="288" w:lineRule="auto"/>
              <w:ind w:firstLine="0"/>
              <w:jc w:val="right"/>
              <w:rPr>
                <w:rFonts w:cs="Tahoma"/>
                <w:sz w:val="18"/>
                <w:szCs w:val="18"/>
              </w:rPr>
            </w:pPr>
            <w:r>
              <w:rPr>
                <w:rFonts w:cs="Tahoma"/>
                <w:sz w:val="18"/>
                <w:szCs w:val="18"/>
              </w:rPr>
              <w:t>118</w:t>
            </w:r>
          </w:p>
        </w:tc>
        <w:tc>
          <w:tcPr>
            <w:tcW w:w="716" w:type="dxa"/>
            <w:tcBorders>
              <w:top w:val="single" w:sz="4" w:space="0" w:color="auto"/>
              <w:left w:val="single" w:sz="4" w:space="0" w:color="auto"/>
              <w:bottom w:val="single" w:sz="4" w:space="0" w:color="auto"/>
              <w:right w:val="single" w:sz="4" w:space="0" w:color="auto"/>
            </w:tcBorders>
          </w:tcPr>
          <w:p w14:paraId="6025B365" w14:textId="21BE0931" w:rsidR="00345D5A" w:rsidRPr="00A00B9B" w:rsidRDefault="009660DA" w:rsidP="009660DA">
            <w:pPr>
              <w:spacing w:before="60" w:after="40" w:line="288" w:lineRule="auto"/>
              <w:ind w:firstLine="0"/>
              <w:jc w:val="right"/>
              <w:rPr>
                <w:rFonts w:cs="Tahoma"/>
                <w:sz w:val="18"/>
                <w:szCs w:val="18"/>
              </w:rPr>
            </w:pPr>
            <w:r>
              <w:rPr>
                <w:rFonts w:cs="Tahoma"/>
                <w:sz w:val="18"/>
                <w:szCs w:val="18"/>
              </w:rPr>
              <w:t>118</w:t>
            </w:r>
          </w:p>
        </w:tc>
        <w:tc>
          <w:tcPr>
            <w:tcW w:w="716" w:type="dxa"/>
            <w:tcBorders>
              <w:top w:val="single" w:sz="4" w:space="0" w:color="auto"/>
              <w:left w:val="single" w:sz="4" w:space="0" w:color="auto"/>
              <w:bottom w:val="single" w:sz="4" w:space="0" w:color="auto"/>
              <w:right w:val="single" w:sz="4" w:space="0" w:color="auto"/>
            </w:tcBorders>
          </w:tcPr>
          <w:p w14:paraId="21601A29" w14:textId="6EB0B08A" w:rsidR="00345D5A" w:rsidRPr="00A00B9B" w:rsidRDefault="009660DA" w:rsidP="009660DA">
            <w:pPr>
              <w:spacing w:before="60" w:after="40" w:line="288" w:lineRule="auto"/>
              <w:ind w:firstLine="0"/>
              <w:jc w:val="right"/>
              <w:rPr>
                <w:rFonts w:cs="Tahoma"/>
                <w:sz w:val="18"/>
                <w:szCs w:val="18"/>
              </w:rPr>
            </w:pPr>
            <w:r>
              <w:rPr>
                <w:rFonts w:cs="Tahoma"/>
                <w:sz w:val="18"/>
                <w:szCs w:val="18"/>
              </w:rPr>
              <w:t>115</w:t>
            </w:r>
          </w:p>
        </w:tc>
        <w:tc>
          <w:tcPr>
            <w:tcW w:w="717" w:type="dxa"/>
            <w:tcBorders>
              <w:top w:val="single" w:sz="4" w:space="0" w:color="auto"/>
              <w:left w:val="single" w:sz="4" w:space="0" w:color="auto"/>
              <w:bottom w:val="single" w:sz="4" w:space="0" w:color="auto"/>
              <w:right w:val="single" w:sz="4" w:space="0" w:color="auto"/>
            </w:tcBorders>
          </w:tcPr>
          <w:p w14:paraId="7ED86305" w14:textId="126D0350" w:rsidR="00345D5A" w:rsidRPr="00A00B9B" w:rsidRDefault="009660DA" w:rsidP="009660DA">
            <w:pPr>
              <w:spacing w:before="60" w:after="40" w:line="288" w:lineRule="auto"/>
              <w:ind w:firstLine="0"/>
              <w:jc w:val="right"/>
              <w:rPr>
                <w:rFonts w:cs="Tahoma"/>
                <w:sz w:val="18"/>
                <w:szCs w:val="18"/>
              </w:rPr>
            </w:pPr>
            <w:r>
              <w:rPr>
                <w:rFonts w:cs="Tahoma"/>
                <w:sz w:val="18"/>
                <w:szCs w:val="18"/>
              </w:rPr>
              <w:t>115</w:t>
            </w:r>
          </w:p>
        </w:tc>
        <w:tc>
          <w:tcPr>
            <w:tcW w:w="716" w:type="dxa"/>
            <w:tcBorders>
              <w:top w:val="single" w:sz="4" w:space="0" w:color="auto"/>
              <w:left w:val="single" w:sz="4" w:space="0" w:color="auto"/>
              <w:bottom w:val="single" w:sz="4" w:space="0" w:color="auto"/>
              <w:right w:val="single" w:sz="4" w:space="0" w:color="auto"/>
            </w:tcBorders>
          </w:tcPr>
          <w:p w14:paraId="4E5BA5A3" w14:textId="4DDF611B" w:rsidR="00345D5A" w:rsidRPr="00A00B9B" w:rsidRDefault="009660DA" w:rsidP="009660DA">
            <w:pPr>
              <w:spacing w:before="60" w:after="40" w:line="288" w:lineRule="auto"/>
              <w:ind w:firstLine="0"/>
              <w:jc w:val="right"/>
              <w:rPr>
                <w:rFonts w:cs="Tahoma"/>
                <w:sz w:val="18"/>
                <w:szCs w:val="18"/>
              </w:rPr>
            </w:pPr>
            <w:r>
              <w:rPr>
                <w:rFonts w:cs="Tahoma"/>
                <w:sz w:val="18"/>
                <w:szCs w:val="18"/>
              </w:rPr>
              <w:t>115</w:t>
            </w:r>
          </w:p>
        </w:tc>
        <w:tc>
          <w:tcPr>
            <w:tcW w:w="716" w:type="dxa"/>
            <w:tcBorders>
              <w:top w:val="single" w:sz="4" w:space="0" w:color="auto"/>
              <w:left w:val="single" w:sz="4" w:space="0" w:color="auto"/>
              <w:bottom w:val="single" w:sz="4" w:space="0" w:color="auto"/>
              <w:right w:val="single" w:sz="4" w:space="0" w:color="auto"/>
            </w:tcBorders>
          </w:tcPr>
          <w:p w14:paraId="2CEE2A91" w14:textId="5FE5505F" w:rsidR="00345D5A" w:rsidRPr="00A00B9B" w:rsidRDefault="00345D5A" w:rsidP="009660DA">
            <w:pPr>
              <w:spacing w:before="60" w:after="40" w:line="288" w:lineRule="auto"/>
              <w:ind w:firstLine="0"/>
              <w:jc w:val="right"/>
              <w:rPr>
                <w:rFonts w:cs="Tahoma"/>
                <w:sz w:val="18"/>
                <w:szCs w:val="18"/>
              </w:rPr>
            </w:pPr>
            <w:r w:rsidRPr="00A1764C">
              <w:rPr>
                <w:rFonts w:cs="Tahoma"/>
                <w:sz w:val="18"/>
                <w:szCs w:val="18"/>
              </w:rPr>
              <w:t>1</w:t>
            </w:r>
            <w:r w:rsidR="009660DA">
              <w:rPr>
                <w:rFonts w:cs="Tahoma"/>
                <w:sz w:val="18"/>
                <w:szCs w:val="18"/>
              </w:rPr>
              <w:t>15</w:t>
            </w:r>
          </w:p>
        </w:tc>
        <w:tc>
          <w:tcPr>
            <w:tcW w:w="717" w:type="dxa"/>
            <w:tcBorders>
              <w:top w:val="single" w:sz="4" w:space="0" w:color="auto"/>
              <w:left w:val="single" w:sz="4" w:space="0" w:color="auto"/>
              <w:bottom w:val="single" w:sz="4" w:space="0" w:color="auto"/>
              <w:right w:val="single" w:sz="4" w:space="0" w:color="auto"/>
            </w:tcBorders>
          </w:tcPr>
          <w:p w14:paraId="47E3DA09" w14:textId="43FFF1F3" w:rsidR="00345D5A" w:rsidRPr="00A00B9B" w:rsidRDefault="009660DA" w:rsidP="009660DA">
            <w:pPr>
              <w:spacing w:before="60" w:after="40" w:line="288" w:lineRule="auto"/>
              <w:ind w:firstLine="0"/>
              <w:jc w:val="right"/>
              <w:rPr>
                <w:rFonts w:cs="Tahoma"/>
                <w:sz w:val="18"/>
                <w:szCs w:val="18"/>
              </w:rPr>
            </w:pPr>
            <w:r>
              <w:rPr>
                <w:rFonts w:cs="Tahoma"/>
                <w:sz w:val="18"/>
                <w:szCs w:val="18"/>
              </w:rPr>
              <w:t>115</w:t>
            </w:r>
          </w:p>
        </w:tc>
        <w:tc>
          <w:tcPr>
            <w:tcW w:w="716" w:type="dxa"/>
            <w:tcBorders>
              <w:top w:val="single" w:sz="4" w:space="0" w:color="auto"/>
              <w:left w:val="single" w:sz="4" w:space="0" w:color="auto"/>
              <w:bottom w:val="single" w:sz="4" w:space="0" w:color="auto"/>
              <w:right w:val="single" w:sz="4" w:space="0" w:color="auto"/>
            </w:tcBorders>
          </w:tcPr>
          <w:p w14:paraId="0B30718D" w14:textId="219729D3" w:rsidR="00345D5A" w:rsidRPr="00A00B9B" w:rsidRDefault="009660DA" w:rsidP="009660DA">
            <w:pPr>
              <w:spacing w:before="60" w:after="40" w:line="288" w:lineRule="auto"/>
              <w:ind w:firstLine="0"/>
              <w:jc w:val="right"/>
              <w:rPr>
                <w:rFonts w:cs="Tahoma"/>
                <w:sz w:val="18"/>
                <w:szCs w:val="18"/>
              </w:rPr>
            </w:pPr>
            <w:r>
              <w:rPr>
                <w:rFonts w:cs="Tahoma"/>
                <w:sz w:val="18"/>
                <w:szCs w:val="18"/>
              </w:rPr>
              <w:t>111</w:t>
            </w:r>
          </w:p>
        </w:tc>
        <w:tc>
          <w:tcPr>
            <w:tcW w:w="716" w:type="dxa"/>
            <w:tcBorders>
              <w:top w:val="single" w:sz="4" w:space="0" w:color="auto"/>
              <w:left w:val="single" w:sz="4" w:space="0" w:color="auto"/>
              <w:bottom w:val="single" w:sz="4" w:space="0" w:color="auto"/>
              <w:right w:val="single" w:sz="4" w:space="0" w:color="auto"/>
            </w:tcBorders>
          </w:tcPr>
          <w:p w14:paraId="5C80DF60" w14:textId="7379BE2D" w:rsidR="00345D5A" w:rsidRPr="00A00B9B" w:rsidRDefault="009660DA" w:rsidP="009660DA">
            <w:pPr>
              <w:spacing w:before="60" w:after="40" w:line="288" w:lineRule="auto"/>
              <w:ind w:firstLine="0"/>
              <w:jc w:val="right"/>
              <w:rPr>
                <w:rFonts w:cs="Tahoma"/>
                <w:sz w:val="18"/>
                <w:szCs w:val="18"/>
              </w:rPr>
            </w:pPr>
            <w:r>
              <w:rPr>
                <w:rFonts w:cs="Tahoma"/>
                <w:sz w:val="18"/>
                <w:szCs w:val="18"/>
              </w:rPr>
              <w:t>111</w:t>
            </w:r>
          </w:p>
        </w:tc>
        <w:tc>
          <w:tcPr>
            <w:tcW w:w="717" w:type="dxa"/>
            <w:tcBorders>
              <w:top w:val="single" w:sz="4" w:space="0" w:color="auto"/>
              <w:left w:val="single" w:sz="4" w:space="0" w:color="auto"/>
              <w:bottom w:val="single" w:sz="4" w:space="0" w:color="auto"/>
              <w:right w:val="single" w:sz="4" w:space="0" w:color="auto"/>
            </w:tcBorders>
          </w:tcPr>
          <w:p w14:paraId="570645B5" w14:textId="2DCB620E" w:rsidR="00345D5A" w:rsidRPr="00A00B9B" w:rsidRDefault="00345D5A" w:rsidP="009660DA">
            <w:pPr>
              <w:spacing w:before="60" w:after="40" w:line="288" w:lineRule="auto"/>
              <w:ind w:firstLine="0"/>
              <w:jc w:val="right"/>
              <w:rPr>
                <w:rFonts w:cs="Tahoma"/>
                <w:sz w:val="18"/>
                <w:szCs w:val="18"/>
              </w:rPr>
            </w:pPr>
            <w:r w:rsidRPr="00A1764C">
              <w:rPr>
                <w:rFonts w:cs="Tahoma"/>
                <w:sz w:val="18"/>
                <w:szCs w:val="18"/>
              </w:rPr>
              <w:t>1</w:t>
            </w:r>
            <w:r w:rsidR="009660DA">
              <w:rPr>
                <w:rFonts w:cs="Tahoma"/>
                <w:sz w:val="18"/>
                <w:szCs w:val="18"/>
              </w:rPr>
              <w:t>11</w:t>
            </w:r>
          </w:p>
        </w:tc>
        <w:tc>
          <w:tcPr>
            <w:tcW w:w="716" w:type="dxa"/>
            <w:tcBorders>
              <w:top w:val="single" w:sz="4" w:space="0" w:color="auto"/>
              <w:left w:val="single" w:sz="4" w:space="0" w:color="auto"/>
              <w:bottom w:val="single" w:sz="4" w:space="0" w:color="auto"/>
              <w:right w:val="single" w:sz="4" w:space="0" w:color="auto"/>
            </w:tcBorders>
          </w:tcPr>
          <w:p w14:paraId="26AD16CF" w14:textId="3A63D68A" w:rsidR="00345D5A" w:rsidRPr="00A00B9B" w:rsidRDefault="00345D5A" w:rsidP="00346181">
            <w:pPr>
              <w:spacing w:before="60" w:after="40" w:line="288" w:lineRule="auto"/>
              <w:ind w:firstLine="0"/>
              <w:jc w:val="right"/>
              <w:rPr>
                <w:rFonts w:cs="Tahoma"/>
                <w:sz w:val="18"/>
                <w:szCs w:val="18"/>
              </w:rPr>
            </w:pPr>
            <w:r w:rsidRPr="00A1764C">
              <w:rPr>
                <w:rFonts w:cs="Tahoma"/>
                <w:sz w:val="18"/>
                <w:szCs w:val="18"/>
              </w:rPr>
              <w:t>1</w:t>
            </w:r>
            <w:r w:rsidR="009660DA">
              <w:rPr>
                <w:rFonts w:cs="Tahoma"/>
                <w:sz w:val="18"/>
                <w:szCs w:val="18"/>
              </w:rPr>
              <w:t>1</w:t>
            </w:r>
            <w:r w:rsidR="00346181">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tcPr>
          <w:p w14:paraId="5950C5CF" w14:textId="0742D821" w:rsidR="00345D5A" w:rsidRPr="00A00B9B" w:rsidRDefault="009660DA" w:rsidP="00346181">
            <w:pPr>
              <w:spacing w:before="60" w:after="40" w:line="288" w:lineRule="auto"/>
              <w:ind w:firstLine="0"/>
              <w:jc w:val="right"/>
              <w:rPr>
                <w:rFonts w:cs="Tahoma"/>
                <w:sz w:val="18"/>
                <w:szCs w:val="18"/>
              </w:rPr>
            </w:pPr>
            <w:r>
              <w:rPr>
                <w:rFonts w:cs="Tahoma"/>
                <w:sz w:val="18"/>
                <w:szCs w:val="18"/>
              </w:rPr>
              <w:t>11</w:t>
            </w:r>
            <w:r w:rsidR="00346181">
              <w:rPr>
                <w:rFonts w:cs="Tahoma"/>
                <w:sz w:val="18"/>
                <w:szCs w:val="18"/>
              </w:rPr>
              <w:t>0</w:t>
            </w:r>
          </w:p>
        </w:tc>
        <w:tc>
          <w:tcPr>
            <w:tcW w:w="717" w:type="dxa"/>
            <w:tcBorders>
              <w:top w:val="single" w:sz="4" w:space="0" w:color="auto"/>
              <w:left w:val="single" w:sz="4" w:space="0" w:color="auto"/>
              <w:bottom w:val="single" w:sz="4" w:space="0" w:color="auto"/>
              <w:right w:val="single" w:sz="4" w:space="0" w:color="auto"/>
            </w:tcBorders>
          </w:tcPr>
          <w:p w14:paraId="0AC18266" w14:textId="58C6DEE0" w:rsidR="00345D5A" w:rsidRPr="00A00B9B" w:rsidRDefault="009660DA" w:rsidP="00346181">
            <w:pPr>
              <w:spacing w:before="60" w:after="40" w:line="288" w:lineRule="auto"/>
              <w:ind w:firstLine="0"/>
              <w:jc w:val="right"/>
              <w:rPr>
                <w:rFonts w:cs="Tahoma"/>
                <w:sz w:val="18"/>
                <w:szCs w:val="18"/>
              </w:rPr>
            </w:pPr>
            <w:r>
              <w:rPr>
                <w:rFonts w:cs="Tahoma"/>
                <w:sz w:val="18"/>
                <w:szCs w:val="18"/>
              </w:rPr>
              <w:t>11</w:t>
            </w:r>
            <w:r w:rsidR="00346181">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tcPr>
          <w:p w14:paraId="3CB4419F" w14:textId="3603BFC1" w:rsidR="00345D5A" w:rsidRPr="00A00B9B" w:rsidRDefault="00346181" w:rsidP="009660DA">
            <w:pPr>
              <w:spacing w:before="60" w:after="40" w:line="288" w:lineRule="auto"/>
              <w:ind w:firstLine="0"/>
              <w:jc w:val="right"/>
              <w:rPr>
                <w:rFonts w:cs="Tahoma"/>
                <w:sz w:val="18"/>
                <w:szCs w:val="18"/>
              </w:rPr>
            </w:pPr>
            <w:r>
              <w:rPr>
                <w:rFonts w:cs="Tahoma"/>
                <w:sz w:val="18"/>
                <w:szCs w:val="18"/>
              </w:rPr>
              <w:t>110</w:t>
            </w:r>
          </w:p>
        </w:tc>
        <w:tc>
          <w:tcPr>
            <w:tcW w:w="716" w:type="dxa"/>
            <w:tcBorders>
              <w:top w:val="single" w:sz="4" w:space="0" w:color="auto"/>
              <w:left w:val="single" w:sz="4" w:space="0" w:color="auto"/>
              <w:bottom w:val="single" w:sz="4" w:space="0" w:color="auto"/>
              <w:right w:val="single" w:sz="4" w:space="0" w:color="auto"/>
            </w:tcBorders>
          </w:tcPr>
          <w:p w14:paraId="0E52E1EE" w14:textId="3A7734E0" w:rsidR="00345D5A" w:rsidRPr="00A00B9B" w:rsidRDefault="00346181" w:rsidP="009660DA">
            <w:pPr>
              <w:spacing w:before="60" w:after="40" w:line="288" w:lineRule="auto"/>
              <w:ind w:firstLine="0"/>
              <w:jc w:val="right"/>
              <w:rPr>
                <w:rFonts w:cs="Tahoma"/>
                <w:sz w:val="18"/>
                <w:szCs w:val="18"/>
              </w:rPr>
            </w:pPr>
            <w:r>
              <w:rPr>
                <w:rFonts w:cs="Tahoma"/>
                <w:sz w:val="18"/>
                <w:szCs w:val="18"/>
              </w:rPr>
              <w:t>110</w:t>
            </w:r>
          </w:p>
        </w:tc>
        <w:tc>
          <w:tcPr>
            <w:tcW w:w="717" w:type="dxa"/>
            <w:tcBorders>
              <w:top w:val="single" w:sz="4" w:space="0" w:color="auto"/>
              <w:left w:val="single" w:sz="4" w:space="0" w:color="auto"/>
              <w:bottom w:val="single" w:sz="4" w:space="0" w:color="auto"/>
              <w:right w:val="single" w:sz="4" w:space="0" w:color="auto"/>
            </w:tcBorders>
          </w:tcPr>
          <w:p w14:paraId="6A463DF0" w14:textId="6B747CDE" w:rsidR="00345D5A" w:rsidRPr="00A00B9B" w:rsidRDefault="00346181" w:rsidP="009660DA">
            <w:pPr>
              <w:spacing w:before="60" w:after="40" w:line="288" w:lineRule="auto"/>
              <w:ind w:firstLine="0"/>
              <w:jc w:val="right"/>
              <w:rPr>
                <w:rFonts w:cs="Tahoma"/>
                <w:sz w:val="18"/>
                <w:szCs w:val="18"/>
              </w:rPr>
            </w:pPr>
            <w:r>
              <w:rPr>
                <w:rFonts w:cs="Tahoma"/>
                <w:sz w:val="18"/>
                <w:szCs w:val="18"/>
              </w:rPr>
              <w:t>110</w:t>
            </w:r>
          </w:p>
        </w:tc>
      </w:tr>
      <w:tr w:rsidR="00146F97" w:rsidRPr="00A00B9B" w14:paraId="5BCCFF10" w14:textId="77777777" w:rsidTr="00786BBC">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0A82EA45" w14:textId="77777777" w:rsidR="00146F97" w:rsidRPr="00A00B9B" w:rsidRDefault="00146F97" w:rsidP="009660DA">
            <w:pPr>
              <w:spacing w:before="60" w:after="40" w:line="288" w:lineRule="auto"/>
              <w:ind w:firstLine="0"/>
              <w:jc w:val="center"/>
              <w:rPr>
                <w:rFonts w:cs="Tahoma"/>
                <w:b/>
                <w:sz w:val="18"/>
                <w:szCs w:val="18"/>
              </w:rPr>
            </w:pPr>
            <w:r w:rsidRPr="00A00B9B">
              <w:rPr>
                <w:rFonts w:cs="Tahoma"/>
                <w:b/>
                <w:sz w:val="18"/>
                <w:szCs w:val="18"/>
              </w:rPr>
              <w:t>3</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5B620E57" w14:textId="44388DB0" w:rsidR="00146F97" w:rsidRPr="00A00B9B" w:rsidRDefault="00146F97" w:rsidP="009660DA">
            <w:pPr>
              <w:spacing w:before="60" w:after="40" w:line="288" w:lineRule="auto"/>
              <w:ind w:firstLine="0"/>
              <w:jc w:val="left"/>
              <w:rPr>
                <w:rFonts w:cs="Tahoma"/>
                <w:b/>
                <w:sz w:val="18"/>
                <w:szCs w:val="18"/>
              </w:rPr>
            </w:pPr>
            <w:r w:rsidRPr="00A00B9B">
              <w:rPr>
                <w:rFonts w:cs="Tahoma"/>
                <w:b/>
                <w:sz w:val="18"/>
                <w:szCs w:val="18"/>
              </w:rPr>
              <w:t>Autobusy elektryczne</w:t>
            </w:r>
          </w:p>
        </w:tc>
      </w:tr>
      <w:tr w:rsidR="00984E01" w:rsidRPr="00A00B9B" w14:paraId="225BF315" w14:textId="77777777" w:rsidTr="00984E01">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261F262" w14:textId="77777777" w:rsidR="00984E01" w:rsidRPr="00A00B9B" w:rsidRDefault="00984E01" w:rsidP="009660DA">
            <w:pPr>
              <w:spacing w:before="60" w:after="40" w:line="288" w:lineRule="auto"/>
              <w:ind w:firstLine="0"/>
              <w:jc w:val="center"/>
              <w:rPr>
                <w:rFonts w:cs="Tahoma"/>
                <w:sz w:val="18"/>
                <w:szCs w:val="18"/>
              </w:rPr>
            </w:pPr>
            <w:r w:rsidRPr="00A00B9B">
              <w:rPr>
                <w:rFonts w:cs="Tahoma"/>
                <w:sz w:val="18"/>
                <w:szCs w:val="18"/>
              </w:rPr>
              <w:t>3a</w:t>
            </w:r>
          </w:p>
        </w:tc>
        <w:tc>
          <w:tcPr>
            <w:tcW w:w="1985" w:type="dxa"/>
            <w:tcBorders>
              <w:top w:val="single" w:sz="4" w:space="0" w:color="auto"/>
              <w:left w:val="single" w:sz="4" w:space="0" w:color="auto"/>
              <w:bottom w:val="single" w:sz="4" w:space="0" w:color="auto"/>
              <w:right w:val="single" w:sz="4" w:space="0" w:color="auto"/>
            </w:tcBorders>
            <w:vAlign w:val="center"/>
          </w:tcPr>
          <w:p w14:paraId="629C972E" w14:textId="77777777" w:rsidR="00984E01" w:rsidRPr="00A00B9B" w:rsidRDefault="00984E01" w:rsidP="009660DA">
            <w:pPr>
              <w:spacing w:before="60" w:after="40" w:line="288" w:lineRule="auto"/>
              <w:ind w:firstLine="0"/>
              <w:jc w:val="left"/>
              <w:rPr>
                <w:rFonts w:cs="Tahoma"/>
                <w:sz w:val="18"/>
                <w:szCs w:val="18"/>
              </w:rPr>
            </w:pPr>
            <w:r w:rsidRPr="00A00B9B">
              <w:rPr>
                <w:rFonts w:cs="Tahoma"/>
                <w:sz w:val="18"/>
                <w:szCs w:val="18"/>
              </w:rPr>
              <w:t xml:space="preserve">Zakup/wycofanie </w:t>
            </w:r>
          </w:p>
        </w:tc>
        <w:tc>
          <w:tcPr>
            <w:tcW w:w="716" w:type="dxa"/>
            <w:tcBorders>
              <w:top w:val="single" w:sz="4" w:space="0" w:color="auto"/>
              <w:left w:val="single" w:sz="4" w:space="0" w:color="auto"/>
              <w:bottom w:val="single" w:sz="4" w:space="0" w:color="auto"/>
              <w:right w:val="single" w:sz="4" w:space="0" w:color="auto"/>
            </w:tcBorders>
            <w:vAlign w:val="center"/>
          </w:tcPr>
          <w:p w14:paraId="2C60AA09" w14:textId="76A4DC26"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1367EB72"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14C03588" w14:textId="1D70020C" w:rsidR="00984E01" w:rsidRPr="00A00B9B" w:rsidRDefault="009660DA" w:rsidP="009660DA">
            <w:pPr>
              <w:spacing w:before="60" w:after="40" w:line="288" w:lineRule="auto"/>
              <w:ind w:firstLine="0"/>
              <w:jc w:val="right"/>
              <w:rPr>
                <w:rFonts w:cs="Tahoma"/>
                <w:sz w:val="18"/>
                <w:szCs w:val="18"/>
              </w:rPr>
            </w:pPr>
            <w:r>
              <w:rPr>
                <w:rFonts w:cs="Tahoma"/>
                <w:sz w:val="18"/>
                <w:szCs w:val="18"/>
              </w:rPr>
              <w:t>2</w:t>
            </w:r>
            <w:r w:rsidR="00984E01"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2CD24FF7" w14:textId="3973E0A6"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1B527AFE"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464527F5"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661AB8FE"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A37E40E" w14:textId="1F7F5C53" w:rsidR="00984E01" w:rsidRPr="00A00B9B" w:rsidRDefault="009660DA" w:rsidP="009660DA">
            <w:pPr>
              <w:spacing w:before="60" w:after="40" w:line="288" w:lineRule="auto"/>
              <w:ind w:firstLine="0"/>
              <w:jc w:val="right"/>
              <w:rPr>
                <w:rFonts w:cs="Tahoma"/>
                <w:sz w:val="18"/>
                <w:szCs w:val="18"/>
              </w:rPr>
            </w:pPr>
            <w:r>
              <w:rPr>
                <w:rFonts w:cs="Tahoma"/>
                <w:sz w:val="18"/>
                <w:szCs w:val="18"/>
              </w:rPr>
              <w:t>4</w:t>
            </w:r>
            <w:r w:rsidR="00984E01"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3D34C99F"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2D27BF1E"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68DB9A04"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4BB08D87" w14:textId="0DDFC46B" w:rsidR="00984E01" w:rsidRPr="00A00B9B" w:rsidRDefault="009660DA" w:rsidP="009660DA">
            <w:pPr>
              <w:spacing w:before="60" w:after="40" w:line="288" w:lineRule="auto"/>
              <w:ind w:firstLine="0"/>
              <w:jc w:val="right"/>
              <w:rPr>
                <w:rFonts w:cs="Tahoma"/>
                <w:sz w:val="18"/>
                <w:szCs w:val="18"/>
              </w:rPr>
            </w:pPr>
            <w:r>
              <w:rPr>
                <w:rFonts w:cs="Tahoma"/>
                <w:sz w:val="18"/>
                <w:szCs w:val="18"/>
              </w:rPr>
              <w:t>6</w:t>
            </w:r>
            <w:r w:rsidR="00984E01"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4F325A78"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59C5930C"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68A54192" w14:textId="77777777"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0BA70AF4" w14:textId="32FD89D5" w:rsidR="00984E01" w:rsidRPr="00A00B9B" w:rsidRDefault="00984E01" w:rsidP="009660DA">
            <w:pPr>
              <w:spacing w:before="60" w:after="40" w:line="288" w:lineRule="auto"/>
              <w:ind w:firstLine="0"/>
              <w:jc w:val="right"/>
              <w:rPr>
                <w:rFonts w:cs="Tahoma"/>
                <w:sz w:val="18"/>
                <w:szCs w:val="18"/>
              </w:rPr>
            </w:pPr>
            <w:r w:rsidRPr="00A00B9B">
              <w:rPr>
                <w:rFonts w:cs="Tahoma"/>
                <w:sz w:val="18"/>
                <w:szCs w:val="18"/>
              </w:rPr>
              <w:t>-/-</w:t>
            </w:r>
          </w:p>
        </w:tc>
      </w:tr>
      <w:tr w:rsidR="00984E01" w:rsidRPr="00A00B9B" w14:paraId="6C9F5EF9" w14:textId="77777777" w:rsidTr="00984E01">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C892833" w14:textId="77777777" w:rsidR="00984E01" w:rsidRPr="00A00B9B" w:rsidRDefault="00984E01" w:rsidP="009660DA">
            <w:pPr>
              <w:spacing w:before="60" w:after="40" w:line="288" w:lineRule="auto"/>
              <w:ind w:firstLine="0"/>
              <w:jc w:val="center"/>
              <w:rPr>
                <w:rFonts w:cs="Tahoma"/>
                <w:sz w:val="18"/>
                <w:szCs w:val="18"/>
              </w:rPr>
            </w:pPr>
            <w:r w:rsidRPr="00A00B9B">
              <w:rPr>
                <w:rFonts w:cs="Tahoma"/>
                <w:sz w:val="18"/>
                <w:szCs w:val="18"/>
              </w:rPr>
              <w:t>3b</w:t>
            </w:r>
          </w:p>
        </w:tc>
        <w:tc>
          <w:tcPr>
            <w:tcW w:w="1985" w:type="dxa"/>
            <w:tcBorders>
              <w:top w:val="single" w:sz="4" w:space="0" w:color="auto"/>
              <w:left w:val="single" w:sz="4" w:space="0" w:color="auto"/>
              <w:bottom w:val="single" w:sz="4" w:space="0" w:color="auto"/>
              <w:right w:val="single" w:sz="4" w:space="0" w:color="auto"/>
            </w:tcBorders>
            <w:vAlign w:val="center"/>
          </w:tcPr>
          <w:p w14:paraId="74D7EF83" w14:textId="46850AED" w:rsidR="00984E01" w:rsidRPr="00A00B9B" w:rsidRDefault="00984E01" w:rsidP="009660DA">
            <w:pPr>
              <w:spacing w:before="60" w:after="40" w:line="288" w:lineRule="auto"/>
              <w:ind w:firstLine="0"/>
              <w:jc w:val="left"/>
              <w:rPr>
                <w:rFonts w:cs="Tahoma"/>
                <w:sz w:val="18"/>
                <w:szCs w:val="18"/>
              </w:rPr>
            </w:pPr>
            <w:r w:rsidRPr="00A00B9B">
              <w:rPr>
                <w:rFonts w:cs="Tahoma"/>
                <w:sz w:val="18"/>
                <w:szCs w:val="18"/>
              </w:rPr>
              <w:t>Stan na koniec roku</w:t>
            </w:r>
          </w:p>
        </w:tc>
        <w:tc>
          <w:tcPr>
            <w:tcW w:w="716" w:type="dxa"/>
            <w:tcBorders>
              <w:top w:val="single" w:sz="4" w:space="0" w:color="auto"/>
              <w:left w:val="single" w:sz="4" w:space="0" w:color="auto"/>
              <w:bottom w:val="single" w:sz="4" w:space="0" w:color="auto"/>
              <w:right w:val="single" w:sz="4" w:space="0" w:color="auto"/>
            </w:tcBorders>
            <w:vAlign w:val="center"/>
          </w:tcPr>
          <w:p w14:paraId="1B0C5D44" w14:textId="162D087A" w:rsidR="00984E01" w:rsidRPr="00A00B9B" w:rsidRDefault="009660DA" w:rsidP="009660DA">
            <w:pPr>
              <w:spacing w:before="60" w:after="40" w:line="288" w:lineRule="auto"/>
              <w:ind w:firstLine="0"/>
              <w:jc w:val="right"/>
              <w:rPr>
                <w:rFonts w:cs="Tahoma"/>
                <w:sz w:val="18"/>
                <w:szCs w:val="18"/>
              </w:rPr>
            </w:pPr>
            <w:r>
              <w:rPr>
                <w:rFonts w:cs="Tahoma"/>
                <w:sz w:val="18"/>
                <w:szCs w:val="18"/>
              </w:rPr>
              <w:t>1</w:t>
            </w:r>
            <w:r w:rsidR="00984E01"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4462CA1A" w14:textId="1273536D" w:rsidR="00984E01" w:rsidRPr="00A00B9B" w:rsidRDefault="009660DA" w:rsidP="009660DA">
            <w:pPr>
              <w:spacing w:before="60" w:after="40" w:line="288" w:lineRule="auto"/>
              <w:ind w:firstLine="0"/>
              <w:jc w:val="right"/>
              <w:rPr>
                <w:rFonts w:cs="Tahoma"/>
                <w:sz w:val="18"/>
                <w:szCs w:val="18"/>
              </w:rPr>
            </w:pPr>
            <w:r>
              <w:rPr>
                <w:rFonts w:cs="Tahoma"/>
                <w:sz w:val="18"/>
                <w:szCs w:val="18"/>
              </w:rPr>
              <w:t>1</w:t>
            </w:r>
            <w:r w:rsidR="00984E01"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1CF01D77" w14:textId="663A4FEF"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7" w:type="dxa"/>
            <w:tcBorders>
              <w:top w:val="single" w:sz="4" w:space="0" w:color="auto"/>
              <w:left w:val="single" w:sz="4" w:space="0" w:color="auto"/>
              <w:bottom w:val="single" w:sz="4" w:space="0" w:color="auto"/>
              <w:right w:val="single" w:sz="4" w:space="0" w:color="auto"/>
            </w:tcBorders>
            <w:vAlign w:val="center"/>
          </w:tcPr>
          <w:p w14:paraId="42A725CA" w14:textId="78477C1D"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6" w:type="dxa"/>
            <w:tcBorders>
              <w:top w:val="single" w:sz="4" w:space="0" w:color="auto"/>
              <w:left w:val="single" w:sz="4" w:space="0" w:color="auto"/>
              <w:bottom w:val="single" w:sz="4" w:space="0" w:color="auto"/>
              <w:right w:val="single" w:sz="4" w:space="0" w:color="auto"/>
            </w:tcBorders>
            <w:vAlign w:val="center"/>
          </w:tcPr>
          <w:p w14:paraId="21617BC5" w14:textId="0F5F22D0"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6" w:type="dxa"/>
            <w:tcBorders>
              <w:top w:val="single" w:sz="4" w:space="0" w:color="auto"/>
              <w:left w:val="single" w:sz="4" w:space="0" w:color="auto"/>
              <w:bottom w:val="single" w:sz="4" w:space="0" w:color="auto"/>
              <w:right w:val="single" w:sz="4" w:space="0" w:color="auto"/>
            </w:tcBorders>
            <w:vAlign w:val="center"/>
          </w:tcPr>
          <w:p w14:paraId="33D5EFB0" w14:textId="4FC7343E"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7" w:type="dxa"/>
            <w:tcBorders>
              <w:top w:val="single" w:sz="4" w:space="0" w:color="auto"/>
              <w:left w:val="single" w:sz="4" w:space="0" w:color="auto"/>
              <w:bottom w:val="single" w:sz="4" w:space="0" w:color="auto"/>
              <w:right w:val="single" w:sz="4" w:space="0" w:color="auto"/>
            </w:tcBorders>
            <w:vAlign w:val="center"/>
          </w:tcPr>
          <w:p w14:paraId="3158F27A" w14:textId="282C0E95"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6" w:type="dxa"/>
            <w:tcBorders>
              <w:top w:val="single" w:sz="4" w:space="0" w:color="auto"/>
              <w:left w:val="single" w:sz="4" w:space="0" w:color="auto"/>
              <w:bottom w:val="single" w:sz="4" w:space="0" w:color="auto"/>
              <w:right w:val="single" w:sz="4" w:space="0" w:color="auto"/>
            </w:tcBorders>
            <w:vAlign w:val="center"/>
          </w:tcPr>
          <w:p w14:paraId="3C5B0D5C" w14:textId="196E8B18" w:rsidR="00984E01" w:rsidRPr="00A00B9B" w:rsidRDefault="009660DA" w:rsidP="009660DA">
            <w:pPr>
              <w:spacing w:before="60" w:after="40" w:line="288" w:lineRule="auto"/>
              <w:ind w:firstLine="0"/>
              <w:jc w:val="right"/>
              <w:rPr>
                <w:rFonts w:cs="Tahoma"/>
                <w:sz w:val="18"/>
                <w:szCs w:val="18"/>
              </w:rPr>
            </w:pPr>
            <w:r>
              <w:rPr>
                <w:rFonts w:cs="Tahoma"/>
                <w:sz w:val="18"/>
                <w:szCs w:val="18"/>
              </w:rPr>
              <w:t>16</w:t>
            </w:r>
          </w:p>
        </w:tc>
        <w:tc>
          <w:tcPr>
            <w:tcW w:w="716" w:type="dxa"/>
            <w:tcBorders>
              <w:top w:val="single" w:sz="4" w:space="0" w:color="auto"/>
              <w:left w:val="single" w:sz="4" w:space="0" w:color="auto"/>
              <w:bottom w:val="single" w:sz="4" w:space="0" w:color="auto"/>
              <w:right w:val="single" w:sz="4" w:space="0" w:color="auto"/>
            </w:tcBorders>
            <w:vAlign w:val="center"/>
          </w:tcPr>
          <w:p w14:paraId="0C1C5080" w14:textId="5381DC01" w:rsidR="00984E01" w:rsidRPr="00A00B9B" w:rsidRDefault="009660DA" w:rsidP="009660DA">
            <w:pPr>
              <w:spacing w:before="60" w:after="40" w:line="288" w:lineRule="auto"/>
              <w:ind w:firstLine="0"/>
              <w:jc w:val="right"/>
              <w:rPr>
                <w:rFonts w:cs="Tahoma"/>
                <w:sz w:val="18"/>
                <w:szCs w:val="18"/>
              </w:rPr>
            </w:pPr>
            <w:r>
              <w:rPr>
                <w:rFonts w:cs="Tahoma"/>
                <w:sz w:val="18"/>
                <w:szCs w:val="18"/>
              </w:rPr>
              <w:t>16</w:t>
            </w:r>
          </w:p>
        </w:tc>
        <w:tc>
          <w:tcPr>
            <w:tcW w:w="717" w:type="dxa"/>
            <w:tcBorders>
              <w:top w:val="single" w:sz="4" w:space="0" w:color="auto"/>
              <w:left w:val="single" w:sz="4" w:space="0" w:color="auto"/>
              <w:bottom w:val="single" w:sz="4" w:space="0" w:color="auto"/>
              <w:right w:val="single" w:sz="4" w:space="0" w:color="auto"/>
            </w:tcBorders>
            <w:vAlign w:val="center"/>
          </w:tcPr>
          <w:p w14:paraId="3548FC51" w14:textId="62158BF3" w:rsidR="00984E01" w:rsidRPr="00A00B9B" w:rsidRDefault="009660DA" w:rsidP="009660DA">
            <w:pPr>
              <w:spacing w:before="60" w:after="40" w:line="288" w:lineRule="auto"/>
              <w:ind w:firstLine="0"/>
              <w:jc w:val="right"/>
              <w:rPr>
                <w:rFonts w:cs="Tahoma"/>
                <w:sz w:val="18"/>
                <w:szCs w:val="18"/>
              </w:rPr>
            </w:pPr>
            <w:r>
              <w:rPr>
                <w:rFonts w:cs="Tahoma"/>
                <w:sz w:val="18"/>
                <w:szCs w:val="18"/>
              </w:rPr>
              <w:t>16</w:t>
            </w:r>
          </w:p>
        </w:tc>
        <w:tc>
          <w:tcPr>
            <w:tcW w:w="716" w:type="dxa"/>
            <w:tcBorders>
              <w:top w:val="single" w:sz="4" w:space="0" w:color="auto"/>
              <w:left w:val="single" w:sz="4" w:space="0" w:color="auto"/>
              <w:bottom w:val="single" w:sz="4" w:space="0" w:color="auto"/>
              <w:right w:val="single" w:sz="4" w:space="0" w:color="auto"/>
            </w:tcBorders>
            <w:vAlign w:val="center"/>
          </w:tcPr>
          <w:p w14:paraId="4C0483A5" w14:textId="0F907712" w:rsidR="00984E01" w:rsidRPr="00A00B9B" w:rsidRDefault="009660DA" w:rsidP="009660DA">
            <w:pPr>
              <w:spacing w:before="60" w:after="40" w:line="288" w:lineRule="auto"/>
              <w:ind w:firstLine="0"/>
              <w:jc w:val="right"/>
              <w:rPr>
                <w:rFonts w:cs="Tahoma"/>
                <w:sz w:val="18"/>
                <w:szCs w:val="18"/>
              </w:rPr>
            </w:pPr>
            <w:r>
              <w:rPr>
                <w:rFonts w:cs="Tahoma"/>
                <w:sz w:val="18"/>
                <w:szCs w:val="18"/>
              </w:rPr>
              <w:t>16</w:t>
            </w:r>
          </w:p>
        </w:tc>
        <w:tc>
          <w:tcPr>
            <w:tcW w:w="716" w:type="dxa"/>
            <w:tcBorders>
              <w:top w:val="single" w:sz="4" w:space="0" w:color="auto"/>
              <w:left w:val="single" w:sz="4" w:space="0" w:color="auto"/>
              <w:bottom w:val="single" w:sz="4" w:space="0" w:color="auto"/>
              <w:right w:val="single" w:sz="4" w:space="0" w:color="auto"/>
            </w:tcBorders>
            <w:vAlign w:val="center"/>
          </w:tcPr>
          <w:p w14:paraId="643B3113" w14:textId="2912E463" w:rsidR="00984E01" w:rsidRPr="00A00B9B" w:rsidRDefault="00346181" w:rsidP="009660DA">
            <w:pPr>
              <w:spacing w:before="60" w:after="40" w:line="288" w:lineRule="auto"/>
              <w:ind w:firstLine="0"/>
              <w:jc w:val="right"/>
              <w:rPr>
                <w:rFonts w:cs="Tahoma"/>
                <w:sz w:val="18"/>
                <w:szCs w:val="18"/>
              </w:rPr>
            </w:pPr>
            <w:r>
              <w:rPr>
                <w:rFonts w:cs="Tahoma"/>
                <w:sz w:val="18"/>
                <w:szCs w:val="18"/>
              </w:rPr>
              <w:t>22</w:t>
            </w:r>
          </w:p>
        </w:tc>
        <w:tc>
          <w:tcPr>
            <w:tcW w:w="717" w:type="dxa"/>
            <w:tcBorders>
              <w:top w:val="single" w:sz="4" w:space="0" w:color="auto"/>
              <w:left w:val="single" w:sz="4" w:space="0" w:color="auto"/>
              <w:bottom w:val="single" w:sz="4" w:space="0" w:color="auto"/>
              <w:right w:val="single" w:sz="4" w:space="0" w:color="auto"/>
            </w:tcBorders>
            <w:vAlign w:val="center"/>
          </w:tcPr>
          <w:p w14:paraId="4DD68177" w14:textId="7BAF1646" w:rsidR="00984E01" w:rsidRPr="00A00B9B" w:rsidRDefault="006F3550" w:rsidP="009660DA">
            <w:pPr>
              <w:spacing w:before="60" w:after="40" w:line="288" w:lineRule="auto"/>
              <w:ind w:firstLine="0"/>
              <w:jc w:val="right"/>
              <w:rPr>
                <w:rFonts w:cs="Tahoma"/>
                <w:sz w:val="18"/>
                <w:szCs w:val="18"/>
              </w:rPr>
            </w:pPr>
            <w:r>
              <w:rPr>
                <w:rFonts w:cs="Tahoma"/>
                <w:sz w:val="18"/>
                <w:szCs w:val="18"/>
              </w:rPr>
              <w:t>22</w:t>
            </w:r>
          </w:p>
        </w:tc>
        <w:tc>
          <w:tcPr>
            <w:tcW w:w="716" w:type="dxa"/>
            <w:tcBorders>
              <w:top w:val="single" w:sz="4" w:space="0" w:color="auto"/>
              <w:left w:val="single" w:sz="4" w:space="0" w:color="auto"/>
              <w:bottom w:val="single" w:sz="4" w:space="0" w:color="auto"/>
              <w:right w:val="single" w:sz="4" w:space="0" w:color="auto"/>
            </w:tcBorders>
            <w:vAlign w:val="center"/>
          </w:tcPr>
          <w:p w14:paraId="39318AB9" w14:textId="3853AEA3" w:rsidR="00984E01" w:rsidRPr="00A00B9B" w:rsidRDefault="006F3550" w:rsidP="009660DA">
            <w:pPr>
              <w:spacing w:before="60" w:after="40" w:line="288" w:lineRule="auto"/>
              <w:ind w:firstLine="0"/>
              <w:jc w:val="right"/>
              <w:rPr>
                <w:rFonts w:cs="Tahoma"/>
                <w:sz w:val="18"/>
                <w:szCs w:val="18"/>
              </w:rPr>
            </w:pPr>
            <w:r>
              <w:rPr>
                <w:rFonts w:cs="Tahoma"/>
                <w:sz w:val="18"/>
                <w:szCs w:val="18"/>
              </w:rPr>
              <w:t>22</w:t>
            </w:r>
          </w:p>
        </w:tc>
        <w:tc>
          <w:tcPr>
            <w:tcW w:w="716" w:type="dxa"/>
            <w:tcBorders>
              <w:top w:val="single" w:sz="4" w:space="0" w:color="auto"/>
              <w:left w:val="single" w:sz="4" w:space="0" w:color="auto"/>
              <w:bottom w:val="single" w:sz="4" w:space="0" w:color="auto"/>
              <w:right w:val="single" w:sz="4" w:space="0" w:color="auto"/>
            </w:tcBorders>
            <w:vAlign w:val="center"/>
          </w:tcPr>
          <w:p w14:paraId="53048571" w14:textId="52B4FA9C" w:rsidR="00984E01" w:rsidRPr="00A00B9B" w:rsidRDefault="006F3550" w:rsidP="009660DA">
            <w:pPr>
              <w:spacing w:before="60" w:after="40" w:line="288" w:lineRule="auto"/>
              <w:ind w:firstLine="0"/>
              <w:jc w:val="right"/>
              <w:rPr>
                <w:rFonts w:cs="Tahoma"/>
                <w:sz w:val="18"/>
                <w:szCs w:val="18"/>
              </w:rPr>
            </w:pPr>
            <w:r>
              <w:rPr>
                <w:rFonts w:cs="Tahoma"/>
                <w:sz w:val="18"/>
                <w:szCs w:val="18"/>
              </w:rPr>
              <w:t>22</w:t>
            </w:r>
          </w:p>
        </w:tc>
        <w:tc>
          <w:tcPr>
            <w:tcW w:w="717" w:type="dxa"/>
            <w:tcBorders>
              <w:top w:val="single" w:sz="4" w:space="0" w:color="auto"/>
              <w:left w:val="single" w:sz="4" w:space="0" w:color="auto"/>
              <w:bottom w:val="single" w:sz="4" w:space="0" w:color="auto"/>
              <w:right w:val="single" w:sz="4" w:space="0" w:color="auto"/>
            </w:tcBorders>
            <w:vAlign w:val="center"/>
          </w:tcPr>
          <w:p w14:paraId="3CA3A28A" w14:textId="6E7DE1FF" w:rsidR="00984E01" w:rsidRPr="00A00B9B" w:rsidRDefault="006F3550" w:rsidP="009660DA">
            <w:pPr>
              <w:spacing w:before="60" w:after="40" w:line="288" w:lineRule="auto"/>
              <w:ind w:firstLine="0"/>
              <w:jc w:val="right"/>
              <w:rPr>
                <w:rFonts w:cs="Tahoma"/>
                <w:sz w:val="18"/>
                <w:szCs w:val="18"/>
              </w:rPr>
            </w:pPr>
            <w:r>
              <w:rPr>
                <w:rFonts w:cs="Tahoma"/>
                <w:sz w:val="18"/>
                <w:szCs w:val="18"/>
              </w:rPr>
              <w:t>22</w:t>
            </w:r>
          </w:p>
        </w:tc>
      </w:tr>
      <w:tr w:rsidR="00146F97" w:rsidRPr="00A00B9B" w14:paraId="6228E518" w14:textId="77777777" w:rsidTr="00786BBC">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90B644D" w14:textId="77777777" w:rsidR="00146F97" w:rsidRPr="00A00B9B" w:rsidRDefault="00146F97" w:rsidP="009660DA">
            <w:pPr>
              <w:spacing w:before="60" w:after="40" w:line="288" w:lineRule="auto"/>
              <w:ind w:firstLine="0"/>
              <w:jc w:val="center"/>
              <w:rPr>
                <w:rFonts w:cs="Tahoma"/>
                <w:b/>
                <w:sz w:val="18"/>
                <w:szCs w:val="18"/>
              </w:rPr>
            </w:pPr>
            <w:r w:rsidRPr="00A00B9B">
              <w:rPr>
                <w:rFonts w:cs="Tahoma"/>
                <w:b/>
                <w:sz w:val="18"/>
                <w:szCs w:val="18"/>
              </w:rPr>
              <w:t>4</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0513C2E8" w14:textId="6462827E" w:rsidR="00146F97" w:rsidRPr="00A00B9B" w:rsidRDefault="00146F97" w:rsidP="009660DA">
            <w:pPr>
              <w:spacing w:before="60" w:after="40" w:line="288" w:lineRule="auto"/>
              <w:ind w:firstLine="0"/>
              <w:jc w:val="left"/>
              <w:rPr>
                <w:rFonts w:cs="Tahoma"/>
                <w:b/>
                <w:sz w:val="18"/>
                <w:szCs w:val="18"/>
              </w:rPr>
            </w:pPr>
            <w:r w:rsidRPr="00A00B9B">
              <w:rPr>
                <w:rFonts w:cs="Tahoma"/>
                <w:b/>
                <w:sz w:val="18"/>
                <w:szCs w:val="18"/>
              </w:rPr>
              <w:t xml:space="preserve">Ogółem stan taboru </w:t>
            </w:r>
            <w:r w:rsidR="006B453B" w:rsidRPr="00A00B9B">
              <w:rPr>
                <w:rFonts w:cs="Tahoma"/>
                <w:b/>
                <w:sz w:val="18"/>
                <w:szCs w:val="18"/>
              </w:rPr>
              <w:t xml:space="preserve">na </w:t>
            </w:r>
            <w:r w:rsidRPr="00A00B9B">
              <w:rPr>
                <w:rFonts w:cs="Tahoma"/>
                <w:b/>
                <w:sz w:val="18"/>
                <w:szCs w:val="18"/>
              </w:rPr>
              <w:t>koniec roku</w:t>
            </w:r>
          </w:p>
        </w:tc>
      </w:tr>
      <w:tr w:rsidR="0093443E" w:rsidRPr="00A00B9B" w14:paraId="6F218A90"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5E9A701" w14:textId="41EE75D6" w:rsidR="0093443E" w:rsidRPr="00A00B9B" w:rsidRDefault="0093443E" w:rsidP="009660DA">
            <w:pPr>
              <w:spacing w:before="60" w:after="40" w:line="288" w:lineRule="auto"/>
              <w:ind w:firstLine="0"/>
              <w:jc w:val="center"/>
              <w:rPr>
                <w:rFonts w:cs="Tahoma"/>
                <w:sz w:val="18"/>
                <w:szCs w:val="18"/>
              </w:rPr>
            </w:pPr>
            <w:r w:rsidRPr="00A00B9B">
              <w:rPr>
                <w:rFonts w:cs="Tahoma"/>
                <w:sz w:val="18"/>
                <w:szCs w:val="18"/>
              </w:rPr>
              <w:t>5</w:t>
            </w:r>
          </w:p>
        </w:tc>
        <w:tc>
          <w:tcPr>
            <w:tcW w:w="1985" w:type="dxa"/>
            <w:tcBorders>
              <w:top w:val="single" w:sz="4" w:space="0" w:color="auto"/>
              <w:left w:val="single" w:sz="4" w:space="0" w:color="auto"/>
              <w:bottom w:val="single" w:sz="4" w:space="0" w:color="auto"/>
              <w:right w:val="single" w:sz="4" w:space="0" w:color="auto"/>
            </w:tcBorders>
            <w:vAlign w:val="center"/>
          </w:tcPr>
          <w:p w14:paraId="7FB8B0AB" w14:textId="44FF8DF0" w:rsidR="0093443E" w:rsidRPr="00A00B9B" w:rsidRDefault="0093443E" w:rsidP="009660DA">
            <w:pPr>
              <w:spacing w:before="60" w:after="40" w:line="288" w:lineRule="auto"/>
              <w:ind w:firstLine="0"/>
              <w:jc w:val="left"/>
              <w:rPr>
                <w:rFonts w:cs="Tahoma"/>
                <w:sz w:val="18"/>
                <w:szCs w:val="18"/>
              </w:rPr>
            </w:pPr>
            <w:r w:rsidRPr="00A00B9B">
              <w:rPr>
                <w:rFonts w:cs="Tahoma"/>
                <w:sz w:val="18"/>
                <w:szCs w:val="18"/>
              </w:rPr>
              <w:t>Razem emisyjne</w:t>
            </w:r>
          </w:p>
        </w:tc>
        <w:tc>
          <w:tcPr>
            <w:tcW w:w="716" w:type="dxa"/>
            <w:tcBorders>
              <w:top w:val="single" w:sz="4" w:space="0" w:color="auto"/>
              <w:left w:val="single" w:sz="4" w:space="0" w:color="auto"/>
              <w:bottom w:val="single" w:sz="4" w:space="0" w:color="auto"/>
              <w:right w:val="single" w:sz="4" w:space="0" w:color="auto"/>
            </w:tcBorders>
            <w:vAlign w:val="center"/>
          </w:tcPr>
          <w:p w14:paraId="6B5E921F" w14:textId="3AF6B626" w:rsidR="0093443E" w:rsidRPr="00A00B9B" w:rsidRDefault="009660DA" w:rsidP="009660DA">
            <w:pPr>
              <w:spacing w:before="60" w:after="40" w:line="288" w:lineRule="auto"/>
              <w:ind w:firstLine="0"/>
              <w:jc w:val="right"/>
              <w:rPr>
                <w:rFonts w:cs="Tahoma"/>
                <w:sz w:val="18"/>
                <w:szCs w:val="18"/>
              </w:rPr>
            </w:pPr>
            <w:r>
              <w:rPr>
                <w:rFonts w:cs="Tahoma"/>
                <w:sz w:val="18"/>
                <w:szCs w:val="18"/>
              </w:rPr>
              <w:t>216</w:t>
            </w:r>
          </w:p>
        </w:tc>
        <w:tc>
          <w:tcPr>
            <w:tcW w:w="716" w:type="dxa"/>
            <w:tcBorders>
              <w:top w:val="single" w:sz="4" w:space="0" w:color="auto"/>
              <w:left w:val="single" w:sz="4" w:space="0" w:color="auto"/>
              <w:bottom w:val="single" w:sz="4" w:space="0" w:color="auto"/>
              <w:right w:val="single" w:sz="4" w:space="0" w:color="auto"/>
            </w:tcBorders>
          </w:tcPr>
          <w:p w14:paraId="26188ECC" w14:textId="6797ED8B" w:rsidR="0093443E" w:rsidRPr="00A00B9B" w:rsidRDefault="009660DA" w:rsidP="009660DA">
            <w:pPr>
              <w:spacing w:before="60" w:after="40" w:line="288" w:lineRule="auto"/>
              <w:ind w:firstLine="0"/>
              <w:jc w:val="right"/>
              <w:rPr>
                <w:rFonts w:cs="Tahoma"/>
                <w:sz w:val="18"/>
                <w:szCs w:val="18"/>
              </w:rPr>
            </w:pPr>
            <w:r>
              <w:rPr>
                <w:rFonts w:cs="Tahoma"/>
                <w:sz w:val="18"/>
                <w:szCs w:val="18"/>
              </w:rPr>
              <w:t>211</w:t>
            </w:r>
          </w:p>
        </w:tc>
        <w:tc>
          <w:tcPr>
            <w:tcW w:w="716" w:type="dxa"/>
            <w:tcBorders>
              <w:top w:val="single" w:sz="4" w:space="0" w:color="auto"/>
              <w:left w:val="single" w:sz="4" w:space="0" w:color="auto"/>
              <w:bottom w:val="single" w:sz="4" w:space="0" w:color="auto"/>
              <w:right w:val="single" w:sz="4" w:space="0" w:color="auto"/>
            </w:tcBorders>
          </w:tcPr>
          <w:p w14:paraId="172AF25E" w14:textId="2F42D1FD" w:rsidR="0093443E" w:rsidRPr="00A00B9B" w:rsidRDefault="009660DA" w:rsidP="009660DA">
            <w:pPr>
              <w:spacing w:before="60" w:after="40" w:line="288" w:lineRule="auto"/>
              <w:ind w:firstLine="0"/>
              <w:jc w:val="right"/>
              <w:rPr>
                <w:rFonts w:cs="Tahoma"/>
                <w:sz w:val="18"/>
                <w:szCs w:val="18"/>
              </w:rPr>
            </w:pPr>
            <w:r>
              <w:rPr>
                <w:rFonts w:cs="Tahoma"/>
                <w:sz w:val="18"/>
                <w:szCs w:val="18"/>
              </w:rPr>
              <w:t>208</w:t>
            </w:r>
          </w:p>
        </w:tc>
        <w:tc>
          <w:tcPr>
            <w:tcW w:w="717" w:type="dxa"/>
            <w:tcBorders>
              <w:top w:val="single" w:sz="4" w:space="0" w:color="auto"/>
              <w:left w:val="single" w:sz="4" w:space="0" w:color="auto"/>
              <w:bottom w:val="single" w:sz="4" w:space="0" w:color="auto"/>
              <w:right w:val="single" w:sz="4" w:space="0" w:color="auto"/>
            </w:tcBorders>
          </w:tcPr>
          <w:p w14:paraId="65A0B3D9" w14:textId="31EC5639" w:rsidR="0093443E" w:rsidRPr="00A00B9B" w:rsidRDefault="009660DA" w:rsidP="009660DA">
            <w:pPr>
              <w:spacing w:before="60" w:after="40" w:line="288" w:lineRule="auto"/>
              <w:ind w:firstLine="0"/>
              <w:jc w:val="right"/>
              <w:rPr>
                <w:rFonts w:cs="Tahoma"/>
                <w:sz w:val="18"/>
                <w:szCs w:val="18"/>
              </w:rPr>
            </w:pPr>
            <w:r>
              <w:rPr>
                <w:rFonts w:cs="Tahoma"/>
                <w:sz w:val="18"/>
                <w:szCs w:val="18"/>
              </w:rPr>
              <w:t>208</w:t>
            </w:r>
          </w:p>
        </w:tc>
        <w:tc>
          <w:tcPr>
            <w:tcW w:w="716" w:type="dxa"/>
            <w:tcBorders>
              <w:top w:val="single" w:sz="4" w:space="0" w:color="auto"/>
              <w:left w:val="single" w:sz="4" w:space="0" w:color="auto"/>
              <w:bottom w:val="single" w:sz="4" w:space="0" w:color="auto"/>
              <w:right w:val="single" w:sz="4" w:space="0" w:color="auto"/>
            </w:tcBorders>
          </w:tcPr>
          <w:p w14:paraId="61207268" w14:textId="73F5673F" w:rsidR="0093443E" w:rsidRPr="00A00B9B" w:rsidRDefault="009660DA" w:rsidP="009660DA">
            <w:pPr>
              <w:spacing w:before="60" w:after="40" w:line="288" w:lineRule="auto"/>
              <w:ind w:firstLine="0"/>
              <w:jc w:val="right"/>
              <w:rPr>
                <w:rFonts w:cs="Tahoma"/>
                <w:sz w:val="18"/>
                <w:szCs w:val="18"/>
              </w:rPr>
            </w:pPr>
            <w:r>
              <w:rPr>
                <w:rFonts w:cs="Tahoma"/>
                <w:sz w:val="18"/>
                <w:szCs w:val="18"/>
              </w:rPr>
              <w:t>208</w:t>
            </w:r>
          </w:p>
        </w:tc>
        <w:tc>
          <w:tcPr>
            <w:tcW w:w="716" w:type="dxa"/>
            <w:tcBorders>
              <w:top w:val="single" w:sz="4" w:space="0" w:color="auto"/>
              <w:left w:val="single" w:sz="4" w:space="0" w:color="auto"/>
              <w:bottom w:val="single" w:sz="4" w:space="0" w:color="auto"/>
              <w:right w:val="single" w:sz="4" w:space="0" w:color="auto"/>
            </w:tcBorders>
          </w:tcPr>
          <w:p w14:paraId="34D1F32C" w14:textId="59AA8509" w:rsidR="0093443E" w:rsidRPr="00A00B9B" w:rsidRDefault="009660DA" w:rsidP="009660DA">
            <w:pPr>
              <w:spacing w:before="60" w:after="40" w:line="288" w:lineRule="auto"/>
              <w:ind w:firstLine="0"/>
              <w:jc w:val="right"/>
              <w:rPr>
                <w:rFonts w:cs="Tahoma"/>
                <w:sz w:val="18"/>
                <w:szCs w:val="18"/>
              </w:rPr>
            </w:pPr>
            <w:r>
              <w:rPr>
                <w:rFonts w:cs="Tahoma"/>
                <w:sz w:val="18"/>
                <w:szCs w:val="18"/>
              </w:rPr>
              <w:t>208</w:t>
            </w:r>
          </w:p>
        </w:tc>
        <w:tc>
          <w:tcPr>
            <w:tcW w:w="717" w:type="dxa"/>
            <w:tcBorders>
              <w:top w:val="single" w:sz="4" w:space="0" w:color="auto"/>
              <w:left w:val="single" w:sz="4" w:space="0" w:color="auto"/>
              <w:bottom w:val="single" w:sz="4" w:space="0" w:color="auto"/>
              <w:right w:val="single" w:sz="4" w:space="0" w:color="auto"/>
            </w:tcBorders>
          </w:tcPr>
          <w:p w14:paraId="756AAE55" w14:textId="100D214A" w:rsidR="0093443E" w:rsidRPr="00A00B9B" w:rsidRDefault="009660DA" w:rsidP="009660DA">
            <w:pPr>
              <w:spacing w:before="60" w:after="40" w:line="288" w:lineRule="auto"/>
              <w:ind w:firstLine="0"/>
              <w:jc w:val="right"/>
              <w:rPr>
                <w:rFonts w:cs="Tahoma"/>
                <w:sz w:val="18"/>
                <w:szCs w:val="18"/>
              </w:rPr>
            </w:pPr>
            <w:r>
              <w:rPr>
                <w:rFonts w:cs="Tahoma"/>
                <w:sz w:val="18"/>
                <w:szCs w:val="18"/>
              </w:rPr>
              <w:t>208</w:t>
            </w:r>
          </w:p>
        </w:tc>
        <w:tc>
          <w:tcPr>
            <w:tcW w:w="716" w:type="dxa"/>
            <w:tcBorders>
              <w:top w:val="single" w:sz="4" w:space="0" w:color="auto"/>
              <w:left w:val="single" w:sz="4" w:space="0" w:color="auto"/>
              <w:bottom w:val="single" w:sz="4" w:space="0" w:color="auto"/>
              <w:right w:val="single" w:sz="4" w:space="0" w:color="auto"/>
            </w:tcBorders>
          </w:tcPr>
          <w:p w14:paraId="18AEDA6F" w14:textId="5B11D240" w:rsidR="0093443E" w:rsidRPr="00A00B9B" w:rsidRDefault="009660DA" w:rsidP="009660DA">
            <w:pPr>
              <w:spacing w:before="60" w:after="40" w:line="288" w:lineRule="auto"/>
              <w:ind w:firstLine="0"/>
              <w:jc w:val="right"/>
              <w:rPr>
                <w:rFonts w:cs="Tahoma"/>
                <w:sz w:val="18"/>
                <w:szCs w:val="18"/>
              </w:rPr>
            </w:pPr>
            <w:r>
              <w:rPr>
                <w:rFonts w:cs="Tahoma"/>
                <w:sz w:val="18"/>
                <w:szCs w:val="18"/>
              </w:rPr>
              <w:t>204</w:t>
            </w:r>
          </w:p>
        </w:tc>
        <w:tc>
          <w:tcPr>
            <w:tcW w:w="716" w:type="dxa"/>
            <w:tcBorders>
              <w:top w:val="single" w:sz="4" w:space="0" w:color="auto"/>
              <w:left w:val="single" w:sz="4" w:space="0" w:color="auto"/>
              <w:bottom w:val="single" w:sz="4" w:space="0" w:color="auto"/>
              <w:right w:val="single" w:sz="4" w:space="0" w:color="auto"/>
            </w:tcBorders>
          </w:tcPr>
          <w:p w14:paraId="06FE8901" w14:textId="1E1C3D76" w:rsidR="0093443E" w:rsidRPr="00A00B9B" w:rsidRDefault="009660DA" w:rsidP="009660DA">
            <w:pPr>
              <w:spacing w:before="60" w:after="40" w:line="288" w:lineRule="auto"/>
              <w:ind w:firstLine="0"/>
              <w:jc w:val="right"/>
              <w:rPr>
                <w:rFonts w:cs="Tahoma"/>
                <w:sz w:val="18"/>
                <w:szCs w:val="18"/>
              </w:rPr>
            </w:pPr>
            <w:r>
              <w:rPr>
                <w:rFonts w:cs="Tahoma"/>
                <w:sz w:val="18"/>
                <w:szCs w:val="18"/>
              </w:rPr>
              <w:t>204</w:t>
            </w:r>
          </w:p>
        </w:tc>
        <w:tc>
          <w:tcPr>
            <w:tcW w:w="717" w:type="dxa"/>
            <w:tcBorders>
              <w:top w:val="single" w:sz="4" w:space="0" w:color="auto"/>
              <w:left w:val="single" w:sz="4" w:space="0" w:color="auto"/>
              <w:bottom w:val="single" w:sz="4" w:space="0" w:color="auto"/>
              <w:right w:val="single" w:sz="4" w:space="0" w:color="auto"/>
            </w:tcBorders>
          </w:tcPr>
          <w:p w14:paraId="6DDA9313" w14:textId="6C7E1D39" w:rsidR="0093443E" w:rsidRPr="00A00B9B" w:rsidRDefault="009660DA" w:rsidP="009660DA">
            <w:pPr>
              <w:spacing w:before="60" w:after="40" w:line="288" w:lineRule="auto"/>
              <w:ind w:firstLine="0"/>
              <w:jc w:val="right"/>
              <w:rPr>
                <w:rFonts w:cs="Tahoma"/>
                <w:sz w:val="18"/>
                <w:szCs w:val="18"/>
              </w:rPr>
            </w:pPr>
            <w:r>
              <w:rPr>
                <w:rFonts w:cs="Tahoma"/>
                <w:sz w:val="18"/>
                <w:szCs w:val="18"/>
              </w:rPr>
              <w:t>204</w:t>
            </w:r>
          </w:p>
        </w:tc>
        <w:tc>
          <w:tcPr>
            <w:tcW w:w="716" w:type="dxa"/>
            <w:tcBorders>
              <w:top w:val="single" w:sz="4" w:space="0" w:color="auto"/>
              <w:left w:val="single" w:sz="4" w:space="0" w:color="auto"/>
              <w:bottom w:val="single" w:sz="4" w:space="0" w:color="auto"/>
              <w:right w:val="single" w:sz="4" w:space="0" w:color="auto"/>
            </w:tcBorders>
          </w:tcPr>
          <w:p w14:paraId="75492414" w14:textId="03409298" w:rsidR="0093443E" w:rsidRPr="00A00B9B" w:rsidRDefault="009660DA" w:rsidP="009660DA">
            <w:pPr>
              <w:spacing w:before="60" w:after="40" w:line="288" w:lineRule="auto"/>
              <w:ind w:firstLine="0"/>
              <w:jc w:val="right"/>
              <w:rPr>
                <w:rFonts w:cs="Tahoma"/>
                <w:sz w:val="18"/>
                <w:szCs w:val="18"/>
              </w:rPr>
            </w:pPr>
            <w:r>
              <w:rPr>
                <w:rFonts w:cs="Tahoma"/>
                <w:sz w:val="18"/>
                <w:szCs w:val="18"/>
              </w:rPr>
              <w:t>204</w:t>
            </w:r>
          </w:p>
        </w:tc>
        <w:tc>
          <w:tcPr>
            <w:tcW w:w="716" w:type="dxa"/>
            <w:tcBorders>
              <w:top w:val="single" w:sz="4" w:space="0" w:color="auto"/>
              <w:left w:val="single" w:sz="4" w:space="0" w:color="auto"/>
              <w:bottom w:val="single" w:sz="4" w:space="0" w:color="auto"/>
              <w:right w:val="single" w:sz="4" w:space="0" w:color="auto"/>
            </w:tcBorders>
          </w:tcPr>
          <w:p w14:paraId="11FA0DED" w14:textId="127AC325" w:rsidR="0093443E" w:rsidRPr="00A00B9B" w:rsidRDefault="00346181" w:rsidP="009660DA">
            <w:pPr>
              <w:spacing w:before="60" w:after="40" w:line="288" w:lineRule="auto"/>
              <w:ind w:firstLine="0"/>
              <w:jc w:val="right"/>
              <w:rPr>
                <w:rFonts w:cs="Tahoma"/>
                <w:sz w:val="18"/>
                <w:szCs w:val="18"/>
              </w:rPr>
            </w:pPr>
            <w:r>
              <w:rPr>
                <w:rFonts w:cs="Tahoma"/>
                <w:sz w:val="18"/>
                <w:szCs w:val="18"/>
              </w:rPr>
              <w:t>199</w:t>
            </w:r>
          </w:p>
        </w:tc>
        <w:tc>
          <w:tcPr>
            <w:tcW w:w="717" w:type="dxa"/>
            <w:tcBorders>
              <w:top w:val="single" w:sz="4" w:space="0" w:color="auto"/>
              <w:left w:val="single" w:sz="4" w:space="0" w:color="auto"/>
              <w:bottom w:val="single" w:sz="4" w:space="0" w:color="auto"/>
              <w:right w:val="single" w:sz="4" w:space="0" w:color="auto"/>
            </w:tcBorders>
          </w:tcPr>
          <w:p w14:paraId="40F4FDE9" w14:textId="7CA963DB" w:rsidR="0093443E" w:rsidRPr="00A00B9B" w:rsidRDefault="00346181" w:rsidP="009660DA">
            <w:pPr>
              <w:spacing w:before="60" w:after="40" w:line="288" w:lineRule="auto"/>
              <w:ind w:firstLine="0"/>
              <w:jc w:val="right"/>
              <w:rPr>
                <w:rFonts w:cs="Tahoma"/>
                <w:sz w:val="18"/>
                <w:szCs w:val="18"/>
              </w:rPr>
            </w:pPr>
            <w:r>
              <w:rPr>
                <w:rFonts w:cs="Tahoma"/>
                <w:sz w:val="18"/>
                <w:szCs w:val="18"/>
              </w:rPr>
              <w:t>199</w:t>
            </w:r>
          </w:p>
        </w:tc>
        <w:tc>
          <w:tcPr>
            <w:tcW w:w="716" w:type="dxa"/>
            <w:tcBorders>
              <w:top w:val="single" w:sz="4" w:space="0" w:color="auto"/>
              <w:left w:val="single" w:sz="4" w:space="0" w:color="auto"/>
              <w:bottom w:val="single" w:sz="4" w:space="0" w:color="auto"/>
              <w:right w:val="single" w:sz="4" w:space="0" w:color="auto"/>
            </w:tcBorders>
          </w:tcPr>
          <w:p w14:paraId="11BDB20F" w14:textId="703A6EA5" w:rsidR="0093443E" w:rsidRPr="00A00B9B" w:rsidRDefault="00346181" w:rsidP="009660DA">
            <w:pPr>
              <w:spacing w:before="60" w:after="40" w:line="288" w:lineRule="auto"/>
              <w:ind w:firstLine="0"/>
              <w:jc w:val="right"/>
              <w:rPr>
                <w:rFonts w:cs="Tahoma"/>
                <w:sz w:val="18"/>
                <w:szCs w:val="18"/>
              </w:rPr>
            </w:pPr>
            <w:r>
              <w:rPr>
                <w:rFonts w:cs="Tahoma"/>
                <w:sz w:val="18"/>
                <w:szCs w:val="18"/>
              </w:rPr>
              <w:t>199</w:t>
            </w:r>
          </w:p>
        </w:tc>
        <w:tc>
          <w:tcPr>
            <w:tcW w:w="716" w:type="dxa"/>
            <w:tcBorders>
              <w:top w:val="single" w:sz="4" w:space="0" w:color="auto"/>
              <w:left w:val="single" w:sz="4" w:space="0" w:color="auto"/>
              <w:bottom w:val="single" w:sz="4" w:space="0" w:color="auto"/>
              <w:right w:val="single" w:sz="4" w:space="0" w:color="auto"/>
            </w:tcBorders>
          </w:tcPr>
          <w:p w14:paraId="43D07148" w14:textId="3A8E49D4" w:rsidR="0093443E" w:rsidRPr="00A00B9B" w:rsidRDefault="00346181" w:rsidP="009660DA">
            <w:pPr>
              <w:spacing w:before="60" w:after="40" w:line="288" w:lineRule="auto"/>
              <w:ind w:firstLine="0"/>
              <w:jc w:val="right"/>
              <w:rPr>
                <w:rFonts w:cs="Tahoma"/>
                <w:sz w:val="18"/>
                <w:szCs w:val="18"/>
              </w:rPr>
            </w:pPr>
            <w:r>
              <w:rPr>
                <w:rFonts w:cs="Tahoma"/>
                <w:sz w:val="18"/>
                <w:szCs w:val="18"/>
              </w:rPr>
              <w:t>199</w:t>
            </w:r>
          </w:p>
        </w:tc>
        <w:tc>
          <w:tcPr>
            <w:tcW w:w="717" w:type="dxa"/>
            <w:tcBorders>
              <w:top w:val="single" w:sz="4" w:space="0" w:color="auto"/>
              <w:left w:val="single" w:sz="4" w:space="0" w:color="auto"/>
              <w:bottom w:val="single" w:sz="4" w:space="0" w:color="auto"/>
              <w:right w:val="single" w:sz="4" w:space="0" w:color="auto"/>
            </w:tcBorders>
          </w:tcPr>
          <w:p w14:paraId="356497D5" w14:textId="06064D93" w:rsidR="0093443E" w:rsidRPr="00A00B9B" w:rsidRDefault="00346181" w:rsidP="009660DA">
            <w:pPr>
              <w:spacing w:before="60" w:after="40" w:line="288" w:lineRule="auto"/>
              <w:ind w:firstLine="0"/>
              <w:jc w:val="right"/>
              <w:rPr>
                <w:rFonts w:cs="Tahoma"/>
                <w:sz w:val="18"/>
                <w:szCs w:val="18"/>
              </w:rPr>
            </w:pPr>
            <w:r>
              <w:rPr>
                <w:rFonts w:cs="Tahoma"/>
                <w:sz w:val="18"/>
                <w:szCs w:val="18"/>
              </w:rPr>
              <w:t>199</w:t>
            </w:r>
          </w:p>
        </w:tc>
      </w:tr>
      <w:tr w:rsidR="00984E01" w:rsidRPr="00A00B9B" w14:paraId="06D9C5D4" w14:textId="77777777" w:rsidTr="00984E01">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4CD9B63" w14:textId="42AEEDC1" w:rsidR="00984E01" w:rsidRPr="00A00B9B" w:rsidRDefault="00984E01" w:rsidP="009660DA">
            <w:pPr>
              <w:spacing w:before="60" w:after="40" w:line="288" w:lineRule="auto"/>
              <w:ind w:firstLine="0"/>
              <w:jc w:val="center"/>
              <w:rPr>
                <w:rFonts w:cs="Tahoma"/>
                <w:sz w:val="18"/>
                <w:szCs w:val="18"/>
              </w:rPr>
            </w:pPr>
            <w:r w:rsidRPr="00A00B9B">
              <w:rPr>
                <w:rFonts w:cs="Tahoma"/>
                <w:sz w:val="18"/>
                <w:szCs w:val="18"/>
              </w:rPr>
              <w:t>6</w:t>
            </w:r>
          </w:p>
        </w:tc>
        <w:tc>
          <w:tcPr>
            <w:tcW w:w="1985" w:type="dxa"/>
            <w:tcBorders>
              <w:top w:val="single" w:sz="4" w:space="0" w:color="auto"/>
              <w:left w:val="single" w:sz="4" w:space="0" w:color="auto"/>
              <w:bottom w:val="single" w:sz="4" w:space="0" w:color="auto"/>
              <w:right w:val="single" w:sz="4" w:space="0" w:color="auto"/>
            </w:tcBorders>
            <w:vAlign w:val="center"/>
          </w:tcPr>
          <w:p w14:paraId="0ECF2685" w14:textId="0CFA9943" w:rsidR="00984E01" w:rsidRPr="00A00B9B" w:rsidRDefault="00984E01" w:rsidP="009660DA">
            <w:pPr>
              <w:spacing w:before="60" w:after="40" w:line="288" w:lineRule="auto"/>
              <w:ind w:firstLine="0"/>
              <w:jc w:val="left"/>
              <w:rPr>
                <w:rFonts w:cs="Tahoma"/>
                <w:sz w:val="18"/>
                <w:szCs w:val="18"/>
              </w:rPr>
            </w:pPr>
            <w:r w:rsidRPr="00A00B9B">
              <w:rPr>
                <w:rFonts w:cs="Tahoma"/>
                <w:sz w:val="18"/>
                <w:szCs w:val="18"/>
              </w:rPr>
              <w:t>Zeroemisyjne</w:t>
            </w:r>
          </w:p>
        </w:tc>
        <w:tc>
          <w:tcPr>
            <w:tcW w:w="716" w:type="dxa"/>
            <w:tcBorders>
              <w:top w:val="single" w:sz="4" w:space="0" w:color="auto"/>
              <w:left w:val="single" w:sz="4" w:space="0" w:color="auto"/>
              <w:bottom w:val="single" w:sz="4" w:space="0" w:color="auto"/>
              <w:right w:val="single" w:sz="4" w:space="0" w:color="auto"/>
            </w:tcBorders>
            <w:vAlign w:val="center"/>
          </w:tcPr>
          <w:p w14:paraId="3C05720A" w14:textId="3BEA6140" w:rsidR="00984E01" w:rsidRPr="00A00B9B" w:rsidRDefault="009660DA" w:rsidP="009660DA">
            <w:pPr>
              <w:spacing w:before="60" w:after="40" w:line="288" w:lineRule="auto"/>
              <w:ind w:firstLine="0"/>
              <w:jc w:val="right"/>
              <w:rPr>
                <w:rFonts w:cs="Tahoma"/>
                <w:sz w:val="18"/>
                <w:szCs w:val="18"/>
              </w:rPr>
            </w:pPr>
            <w:r>
              <w:rPr>
                <w:rFonts w:cs="Tahoma"/>
                <w:sz w:val="18"/>
                <w:szCs w:val="18"/>
              </w:rPr>
              <w:t>1</w:t>
            </w:r>
            <w:r w:rsidR="00984E01"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37F4CC8A" w14:textId="25B6A0A7" w:rsidR="00984E01" w:rsidRPr="00A00B9B" w:rsidRDefault="009660DA" w:rsidP="009660DA">
            <w:pPr>
              <w:spacing w:before="60" w:after="40" w:line="288" w:lineRule="auto"/>
              <w:ind w:firstLine="0"/>
              <w:jc w:val="right"/>
              <w:rPr>
                <w:rFonts w:cs="Tahoma"/>
                <w:sz w:val="18"/>
                <w:szCs w:val="18"/>
              </w:rPr>
            </w:pPr>
            <w:r>
              <w:rPr>
                <w:rFonts w:cs="Tahoma"/>
                <w:sz w:val="18"/>
                <w:szCs w:val="18"/>
              </w:rPr>
              <w:t>1</w:t>
            </w:r>
            <w:r w:rsidR="00984E01"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45579AFB" w14:textId="4A80DB7E"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7" w:type="dxa"/>
            <w:tcBorders>
              <w:top w:val="single" w:sz="4" w:space="0" w:color="auto"/>
              <w:left w:val="single" w:sz="4" w:space="0" w:color="auto"/>
              <w:bottom w:val="single" w:sz="4" w:space="0" w:color="auto"/>
              <w:right w:val="single" w:sz="4" w:space="0" w:color="auto"/>
            </w:tcBorders>
            <w:vAlign w:val="center"/>
          </w:tcPr>
          <w:p w14:paraId="4CE168A6" w14:textId="606CF42B"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6" w:type="dxa"/>
            <w:tcBorders>
              <w:top w:val="single" w:sz="4" w:space="0" w:color="auto"/>
              <w:left w:val="single" w:sz="4" w:space="0" w:color="auto"/>
              <w:bottom w:val="single" w:sz="4" w:space="0" w:color="auto"/>
              <w:right w:val="single" w:sz="4" w:space="0" w:color="auto"/>
            </w:tcBorders>
            <w:vAlign w:val="center"/>
          </w:tcPr>
          <w:p w14:paraId="7E787D7F" w14:textId="00D84932"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6" w:type="dxa"/>
            <w:tcBorders>
              <w:top w:val="single" w:sz="4" w:space="0" w:color="auto"/>
              <w:left w:val="single" w:sz="4" w:space="0" w:color="auto"/>
              <w:bottom w:val="single" w:sz="4" w:space="0" w:color="auto"/>
              <w:right w:val="single" w:sz="4" w:space="0" w:color="auto"/>
            </w:tcBorders>
            <w:vAlign w:val="center"/>
          </w:tcPr>
          <w:p w14:paraId="6F735F21" w14:textId="41BC2921"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7" w:type="dxa"/>
            <w:tcBorders>
              <w:top w:val="single" w:sz="4" w:space="0" w:color="auto"/>
              <w:left w:val="single" w:sz="4" w:space="0" w:color="auto"/>
              <w:bottom w:val="single" w:sz="4" w:space="0" w:color="auto"/>
              <w:right w:val="single" w:sz="4" w:space="0" w:color="auto"/>
            </w:tcBorders>
            <w:vAlign w:val="center"/>
          </w:tcPr>
          <w:p w14:paraId="381567B4" w14:textId="306943F1" w:rsidR="00984E01" w:rsidRPr="00A00B9B" w:rsidRDefault="009660DA" w:rsidP="009660DA">
            <w:pPr>
              <w:spacing w:before="60" w:after="40" w:line="288" w:lineRule="auto"/>
              <w:ind w:firstLine="0"/>
              <w:jc w:val="right"/>
              <w:rPr>
                <w:rFonts w:cs="Tahoma"/>
                <w:sz w:val="18"/>
                <w:szCs w:val="18"/>
              </w:rPr>
            </w:pPr>
            <w:r>
              <w:rPr>
                <w:rFonts w:cs="Tahoma"/>
                <w:sz w:val="18"/>
                <w:szCs w:val="18"/>
              </w:rPr>
              <w:t>12</w:t>
            </w:r>
          </w:p>
        </w:tc>
        <w:tc>
          <w:tcPr>
            <w:tcW w:w="716" w:type="dxa"/>
            <w:tcBorders>
              <w:top w:val="single" w:sz="4" w:space="0" w:color="auto"/>
              <w:left w:val="single" w:sz="4" w:space="0" w:color="auto"/>
              <w:bottom w:val="single" w:sz="4" w:space="0" w:color="auto"/>
              <w:right w:val="single" w:sz="4" w:space="0" w:color="auto"/>
            </w:tcBorders>
            <w:vAlign w:val="center"/>
          </w:tcPr>
          <w:p w14:paraId="283841D4" w14:textId="290D5CA9" w:rsidR="00984E01" w:rsidRPr="00A00B9B" w:rsidRDefault="009660DA" w:rsidP="009660DA">
            <w:pPr>
              <w:spacing w:before="60" w:after="40" w:line="288" w:lineRule="auto"/>
              <w:ind w:firstLine="0"/>
              <w:jc w:val="right"/>
              <w:rPr>
                <w:rFonts w:cs="Tahoma"/>
                <w:sz w:val="18"/>
                <w:szCs w:val="18"/>
              </w:rPr>
            </w:pPr>
            <w:r>
              <w:rPr>
                <w:rFonts w:cs="Tahoma"/>
                <w:sz w:val="18"/>
                <w:szCs w:val="18"/>
              </w:rPr>
              <w:t>16</w:t>
            </w:r>
          </w:p>
        </w:tc>
        <w:tc>
          <w:tcPr>
            <w:tcW w:w="716" w:type="dxa"/>
            <w:tcBorders>
              <w:top w:val="single" w:sz="4" w:space="0" w:color="auto"/>
              <w:left w:val="single" w:sz="4" w:space="0" w:color="auto"/>
              <w:bottom w:val="single" w:sz="4" w:space="0" w:color="auto"/>
              <w:right w:val="single" w:sz="4" w:space="0" w:color="auto"/>
            </w:tcBorders>
            <w:vAlign w:val="center"/>
          </w:tcPr>
          <w:p w14:paraId="114228E7" w14:textId="776EA5F1" w:rsidR="00984E01" w:rsidRPr="00A00B9B" w:rsidRDefault="009660DA" w:rsidP="009660DA">
            <w:pPr>
              <w:spacing w:before="60" w:after="40" w:line="288" w:lineRule="auto"/>
              <w:ind w:firstLine="0"/>
              <w:jc w:val="right"/>
              <w:rPr>
                <w:rFonts w:cs="Tahoma"/>
                <w:sz w:val="18"/>
                <w:szCs w:val="18"/>
              </w:rPr>
            </w:pPr>
            <w:r>
              <w:rPr>
                <w:rFonts w:cs="Tahoma"/>
                <w:sz w:val="18"/>
                <w:szCs w:val="18"/>
              </w:rPr>
              <w:t>16</w:t>
            </w:r>
          </w:p>
        </w:tc>
        <w:tc>
          <w:tcPr>
            <w:tcW w:w="717" w:type="dxa"/>
            <w:tcBorders>
              <w:top w:val="single" w:sz="4" w:space="0" w:color="auto"/>
              <w:left w:val="single" w:sz="4" w:space="0" w:color="auto"/>
              <w:bottom w:val="single" w:sz="4" w:space="0" w:color="auto"/>
              <w:right w:val="single" w:sz="4" w:space="0" w:color="auto"/>
            </w:tcBorders>
            <w:vAlign w:val="center"/>
          </w:tcPr>
          <w:p w14:paraId="3227D2F3" w14:textId="0E774B3A" w:rsidR="00984E01" w:rsidRPr="00A00B9B" w:rsidRDefault="009660DA" w:rsidP="009660DA">
            <w:pPr>
              <w:spacing w:before="60" w:after="40" w:line="288" w:lineRule="auto"/>
              <w:ind w:firstLine="0"/>
              <w:jc w:val="right"/>
              <w:rPr>
                <w:rFonts w:cs="Tahoma"/>
                <w:sz w:val="18"/>
                <w:szCs w:val="18"/>
              </w:rPr>
            </w:pPr>
            <w:r>
              <w:rPr>
                <w:rFonts w:cs="Tahoma"/>
                <w:sz w:val="18"/>
                <w:szCs w:val="18"/>
              </w:rPr>
              <w:t>16</w:t>
            </w:r>
          </w:p>
        </w:tc>
        <w:tc>
          <w:tcPr>
            <w:tcW w:w="716" w:type="dxa"/>
            <w:tcBorders>
              <w:top w:val="single" w:sz="4" w:space="0" w:color="auto"/>
              <w:left w:val="single" w:sz="4" w:space="0" w:color="auto"/>
              <w:bottom w:val="single" w:sz="4" w:space="0" w:color="auto"/>
              <w:right w:val="single" w:sz="4" w:space="0" w:color="auto"/>
            </w:tcBorders>
            <w:vAlign w:val="center"/>
          </w:tcPr>
          <w:p w14:paraId="3CD4947C" w14:textId="6227D7E6" w:rsidR="00984E01" w:rsidRPr="00A00B9B" w:rsidRDefault="009660DA" w:rsidP="009660DA">
            <w:pPr>
              <w:spacing w:before="60" w:after="40" w:line="288" w:lineRule="auto"/>
              <w:ind w:firstLine="0"/>
              <w:jc w:val="right"/>
              <w:rPr>
                <w:rFonts w:cs="Tahoma"/>
                <w:sz w:val="18"/>
                <w:szCs w:val="18"/>
              </w:rPr>
            </w:pPr>
            <w:r>
              <w:rPr>
                <w:rFonts w:cs="Tahoma"/>
                <w:sz w:val="18"/>
                <w:szCs w:val="18"/>
              </w:rPr>
              <w:t>16</w:t>
            </w:r>
          </w:p>
        </w:tc>
        <w:tc>
          <w:tcPr>
            <w:tcW w:w="716" w:type="dxa"/>
            <w:tcBorders>
              <w:top w:val="single" w:sz="4" w:space="0" w:color="auto"/>
              <w:left w:val="single" w:sz="4" w:space="0" w:color="auto"/>
              <w:bottom w:val="single" w:sz="4" w:space="0" w:color="auto"/>
              <w:right w:val="single" w:sz="4" w:space="0" w:color="auto"/>
            </w:tcBorders>
            <w:vAlign w:val="center"/>
          </w:tcPr>
          <w:p w14:paraId="42513B94" w14:textId="5CE1D894" w:rsidR="00984E01" w:rsidRPr="00A00B9B" w:rsidRDefault="00346181" w:rsidP="009660DA">
            <w:pPr>
              <w:spacing w:before="60" w:after="40" w:line="288" w:lineRule="auto"/>
              <w:ind w:firstLine="0"/>
              <w:jc w:val="right"/>
              <w:rPr>
                <w:rFonts w:cs="Tahoma"/>
                <w:sz w:val="18"/>
                <w:szCs w:val="18"/>
              </w:rPr>
            </w:pPr>
            <w:r>
              <w:rPr>
                <w:rFonts w:cs="Tahoma"/>
                <w:sz w:val="18"/>
                <w:szCs w:val="18"/>
              </w:rPr>
              <w:t>22</w:t>
            </w:r>
          </w:p>
        </w:tc>
        <w:tc>
          <w:tcPr>
            <w:tcW w:w="717" w:type="dxa"/>
            <w:tcBorders>
              <w:top w:val="single" w:sz="4" w:space="0" w:color="auto"/>
              <w:left w:val="single" w:sz="4" w:space="0" w:color="auto"/>
              <w:bottom w:val="single" w:sz="4" w:space="0" w:color="auto"/>
              <w:right w:val="single" w:sz="4" w:space="0" w:color="auto"/>
            </w:tcBorders>
            <w:vAlign w:val="center"/>
          </w:tcPr>
          <w:p w14:paraId="41677123" w14:textId="492FBDF3" w:rsidR="00984E01" w:rsidRPr="00A00B9B" w:rsidRDefault="00346181" w:rsidP="009660DA">
            <w:pPr>
              <w:spacing w:before="60" w:after="40" w:line="288" w:lineRule="auto"/>
              <w:ind w:firstLine="0"/>
              <w:jc w:val="right"/>
              <w:rPr>
                <w:rFonts w:cs="Tahoma"/>
                <w:sz w:val="18"/>
                <w:szCs w:val="18"/>
              </w:rPr>
            </w:pPr>
            <w:r>
              <w:rPr>
                <w:rFonts w:cs="Tahoma"/>
                <w:sz w:val="18"/>
                <w:szCs w:val="18"/>
              </w:rPr>
              <w:t>22</w:t>
            </w:r>
          </w:p>
        </w:tc>
        <w:tc>
          <w:tcPr>
            <w:tcW w:w="716" w:type="dxa"/>
            <w:tcBorders>
              <w:top w:val="single" w:sz="4" w:space="0" w:color="auto"/>
              <w:left w:val="single" w:sz="4" w:space="0" w:color="auto"/>
              <w:bottom w:val="single" w:sz="4" w:space="0" w:color="auto"/>
              <w:right w:val="single" w:sz="4" w:space="0" w:color="auto"/>
            </w:tcBorders>
            <w:vAlign w:val="center"/>
          </w:tcPr>
          <w:p w14:paraId="386C136C" w14:textId="04136993" w:rsidR="00984E01" w:rsidRPr="00A00B9B" w:rsidRDefault="00346181" w:rsidP="009660DA">
            <w:pPr>
              <w:spacing w:before="60" w:after="40" w:line="288" w:lineRule="auto"/>
              <w:ind w:firstLine="0"/>
              <w:jc w:val="right"/>
              <w:rPr>
                <w:rFonts w:cs="Tahoma"/>
                <w:sz w:val="18"/>
                <w:szCs w:val="18"/>
              </w:rPr>
            </w:pPr>
            <w:r>
              <w:rPr>
                <w:rFonts w:cs="Tahoma"/>
                <w:sz w:val="18"/>
                <w:szCs w:val="18"/>
              </w:rPr>
              <w:t>22</w:t>
            </w:r>
          </w:p>
        </w:tc>
        <w:tc>
          <w:tcPr>
            <w:tcW w:w="716" w:type="dxa"/>
            <w:tcBorders>
              <w:top w:val="single" w:sz="4" w:space="0" w:color="auto"/>
              <w:left w:val="single" w:sz="4" w:space="0" w:color="auto"/>
              <w:bottom w:val="single" w:sz="4" w:space="0" w:color="auto"/>
              <w:right w:val="single" w:sz="4" w:space="0" w:color="auto"/>
            </w:tcBorders>
            <w:vAlign w:val="center"/>
          </w:tcPr>
          <w:p w14:paraId="187E72CA" w14:textId="7D194D2F" w:rsidR="00984E01" w:rsidRPr="00A00B9B" w:rsidRDefault="00346181" w:rsidP="009660DA">
            <w:pPr>
              <w:spacing w:before="60" w:after="40" w:line="288" w:lineRule="auto"/>
              <w:ind w:firstLine="0"/>
              <w:jc w:val="right"/>
              <w:rPr>
                <w:rFonts w:cs="Tahoma"/>
                <w:sz w:val="18"/>
                <w:szCs w:val="18"/>
              </w:rPr>
            </w:pPr>
            <w:r>
              <w:rPr>
                <w:rFonts w:cs="Tahoma"/>
                <w:sz w:val="18"/>
                <w:szCs w:val="18"/>
              </w:rPr>
              <w:t>22</w:t>
            </w:r>
          </w:p>
        </w:tc>
        <w:tc>
          <w:tcPr>
            <w:tcW w:w="717" w:type="dxa"/>
            <w:tcBorders>
              <w:top w:val="single" w:sz="4" w:space="0" w:color="auto"/>
              <w:left w:val="single" w:sz="4" w:space="0" w:color="auto"/>
              <w:bottom w:val="single" w:sz="4" w:space="0" w:color="auto"/>
              <w:right w:val="single" w:sz="4" w:space="0" w:color="auto"/>
            </w:tcBorders>
            <w:vAlign w:val="center"/>
          </w:tcPr>
          <w:p w14:paraId="2531E98E" w14:textId="429B81DA" w:rsidR="00984E01" w:rsidRPr="00A00B9B" w:rsidRDefault="00346181" w:rsidP="009660DA">
            <w:pPr>
              <w:spacing w:before="60" w:after="40" w:line="288" w:lineRule="auto"/>
              <w:ind w:firstLine="0"/>
              <w:jc w:val="right"/>
              <w:rPr>
                <w:rFonts w:cs="Tahoma"/>
                <w:sz w:val="18"/>
                <w:szCs w:val="18"/>
              </w:rPr>
            </w:pPr>
            <w:r>
              <w:rPr>
                <w:rFonts w:cs="Tahoma"/>
                <w:sz w:val="18"/>
                <w:szCs w:val="18"/>
              </w:rPr>
              <w:t>22</w:t>
            </w:r>
          </w:p>
        </w:tc>
      </w:tr>
      <w:tr w:rsidR="00984E01" w:rsidRPr="00A00B9B" w14:paraId="49EA0C33" w14:textId="77777777" w:rsidTr="00984E01">
        <w:trPr>
          <w:cantSplit/>
          <w:jc w:val="center"/>
        </w:trPr>
        <w:tc>
          <w:tcPr>
            <w:tcW w:w="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87164D" w14:textId="01E131D0" w:rsidR="00984E01" w:rsidRPr="00A00B9B" w:rsidRDefault="00984E01" w:rsidP="009660DA">
            <w:pPr>
              <w:spacing w:before="60" w:after="40" w:line="288" w:lineRule="auto"/>
              <w:ind w:firstLine="0"/>
              <w:jc w:val="center"/>
              <w:rPr>
                <w:rFonts w:cs="Tahoma"/>
                <w:i/>
                <w:sz w:val="18"/>
                <w:szCs w:val="18"/>
              </w:rPr>
            </w:pPr>
            <w:r w:rsidRPr="00A00B9B">
              <w:rPr>
                <w:rFonts w:cs="Tahoma"/>
                <w:i/>
                <w:sz w:val="18"/>
                <w:szCs w:val="18"/>
              </w:rPr>
              <w:t>6a</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6F8255" w14:textId="48C9B9A6" w:rsidR="00984E01" w:rsidRPr="00A00B9B" w:rsidRDefault="00984E01" w:rsidP="009660DA">
            <w:pPr>
              <w:spacing w:before="60" w:after="40" w:line="288" w:lineRule="auto"/>
              <w:ind w:firstLine="0"/>
              <w:jc w:val="left"/>
              <w:rPr>
                <w:rFonts w:cs="Tahoma"/>
                <w:i/>
                <w:sz w:val="18"/>
                <w:szCs w:val="18"/>
              </w:rPr>
            </w:pPr>
            <w:r w:rsidRPr="00A00B9B">
              <w:rPr>
                <w:rFonts w:cs="Tahoma"/>
                <w:i/>
                <w:sz w:val="18"/>
                <w:szCs w:val="18"/>
              </w:rPr>
              <w:t>Udział we flocie [%]</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E7C22F" w14:textId="4303B4A6" w:rsidR="00984E01" w:rsidRPr="00A00B9B" w:rsidRDefault="009660DA" w:rsidP="009660DA">
            <w:pPr>
              <w:spacing w:before="60" w:after="40" w:line="288" w:lineRule="auto"/>
              <w:ind w:firstLine="0"/>
              <w:jc w:val="right"/>
              <w:rPr>
                <w:rFonts w:cs="Tahoma"/>
                <w:i/>
                <w:sz w:val="18"/>
                <w:szCs w:val="18"/>
              </w:rPr>
            </w:pPr>
            <w:r>
              <w:rPr>
                <w:rFonts w:cs="Tahoma"/>
                <w:i/>
                <w:sz w:val="18"/>
                <w:szCs w:val="18"/>
              </w:rPr>
              <w:t>4,4</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114D9A" w14:textId="62D1700B" w:rsidR="00984E01" w:rsidRPr="00A00B9B" w:rsidRDefault="00346181" w:rsidP="009660DA">
            <w:pPr>
              <w:spacing w:before="60" w:after="40" w:line="288" w:lineRule="auto"/>
              <w:ind w:firstLine="0"/>
              <w:jc w:val="right"/>
              <w:rPr>
                <w:rFonts w:cs="Tahoma"/>
                <w:i/>
                <w:sz w:val="18"/>
                <w:szCs w:val="18"/>
              </w:rPr>
            </w:pPr>
            <w:r>
              <w:rPr>
                <w:rFonts w:cs="Tahoma"/>
                <w:i/>
                <w:sz w:val="18"/>
                <w:szCs w:val="18"/>
              </w:rPr>
              <w:t>4,5</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DB068E" w14:textId="17C44CC3" w:rsidR="00984E01" w:rsidRPr="00A00B9B" w:rsidRDefault="00346181" w:rsidP="009660DA">
            <w:pPr>
              <w:spacing w:before="60" w:after="40" w:line="288" w:lineRule="auto"/>
              <w:ind w:firstLine="0"/>
              <w:jc w:val="right"/>
              <w:rPr>
                <w:rFonts w:cs="Tahoma"/>
                <w:i/>
                <w:sz w:val="18"/>
                <w:szCs w:val="18"/>
              </w:rPr>
            </w:pPr>
            <w:r>
              <w:rPr>
                <w:rFonts w:cs="Tahoma"/>
                <w:i/>
                <w:sz w:val="18"/>
                <w:szCs w:val="18"/>
              </w:rPr>
              <w:t>5,5</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9747DB" w14:textId="60C1847E" w:rsidR="00984E01" w:rsidRPr="00A00B9B" w:rsidRDefault="00346181" w:rsidP="009660DA">
            <w:pPr>
              <w:spacing w:before="60" w:after="40" w:line="288" w:lineRule="auto"/>
              <w:ind w:firstLine="0"/>
              <w:jc w:val="right"/>
              <w:rPr>
                <w:rFonts w:cs="Tahoma"/>
                <w:i/>
                <w:sz w:val="18"/>
                <w:szCs w:val="18"/>
              </w:rPr>
            </w:pPr>
            <w:r>
              <w:rPr>
                <w:rFonts w:cs="Tahoma"/>
                <w:i/>
                <w:sz w:val="18"/>
                <w:szCs w:val="18"/>
              </w:rPr>
              <w:t>5,5</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AC8754" w14:textId="7B04C3B1" w:rsidR="00984E01" w:rsidRPr="00A00B9B" w:rsidRDefault="00346181" w:rsidP="009660DA">
            <w:pPr>
              <w:spacing w:before="60" w:after="40" w:line="288" w:lineRule="auto"/>
              <w:ind w:firstLine="0"/>
              <w:jc w:val="right"/>
              <w:rPr>
                <w:rFonts w:cs="Tahoma"/>
                <w:i/>
                <w:sz w:val="18"/>
                <w:szCs w:val="18"/>
              </w:rPr>
            </w:pPr>
            <w:r>
              <w:rPr>
                <w:rFonts w:cs="Tahoma"/>
                <w:i/>
                <w:sz w:val="18"/>
                <w:szCs w:val="18"/>
              </w:rPr>
              <w:t>5,5</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D09B80" w14:textId="00D4490D" w:rsidR="00984E01" w:rsidRPr="00A00B9B" w:rsidRDefault="00346181" w:rsidP="009660DA">
            <w:pPr>
              <w:spacing w:before="60" w:after="40" w:line="288" w:lineRule="auto"/>
              <w:ind w:firstLine="0"/>
              <w:jc w:val="right"/>
              <w:rPr>
                <w:rFonts w:cs="Tahoma"/>
                <w:i/>
                <w:sz w:val="18"/>
                <w:szCs w:val="18"/>
              </w:rPr>
            </w:pPr>
            <w:r>
              <w:rPr>
                <w:rFonts w:cs="Tahoma"/>
                <w:i/>
                <w:sz w:val="18"/>
                <w:szCs w:val="18"/>
              </w:rPr>
              <w:t>5,5</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EA4C40" w14:textId="6B0332FD" w:rsidR="00984E01" w:rsidRPr="00A00B9B" w:rsidRDefault="00346181" w:rsidP="009660DA">
            <w:pPr>
              <w:spacing w:before="60" w:after="40" w:line="288" w:lineRule="auto"/>
              <w:ind w:firstLine="0"/>
              <w:jc w:val="right"/>
              <w:rPr>
                <w:rFonts w:cs="Tahoma"/>
                <w:i/>
                <w:sz w:val="18"/>
                <w:szCs w:val="18"/>
              </w:rPr>
            </w:pPr>
            <w:r>
              <w:rPr>
                <w:rFonts w:cs="Tahoma"/>
                <w:i/>
                <w:sz w:val="18"/>
                <w:szCs w:val="18"/>
              </w:rPr>
              <w:t>5,5</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7C096B" w14:textId="74C807BF" w:rsidR="00984E01" w:rsidRPr="00A00B9B" w:rsidRDefault="00346181" w:rsidP="009660DA">
            <w:pPr>
              <w:spacing w:before="60" w:after="40" w:line="288" w:lineRule="auto"/>
              <w:ind w:firstLine="0"/>
              <w:jc w:val="right"/>
              <w:rPr>
                <w:rFonts w:cs="Tahoma"/>
                <w:i/>
                <w:sz w:val="18"/>
                <w:szCs w:val="18"/>
              </w:rPr>
            </w:pPr>
            <w:r>
              <w:rPr>
                <w:rFonts w:cs="Tahoma"/>
                <w:i/>
                <w:sz w:val="18"/>
                <w:szCs w:val="18"/>
              </w:rPr>
              <w:t>7,3</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82235E" w14:textId="38DE2F16" w:rsidR="00984E01" w:rsidRPr="00A00B9B" w:rsidRDefault="00346181" w:rsidP="009660DA">
            <w:pPr>
              <w:spacing w:before="60" w:after="40" w:line="288" w:lineRule="auto"/>
              <w:ind w:firstLine="0"/>
              <w:jc w:val="right"/>
              <w:rPr>
                <w:rFonts w:cs="Tahoma"/>
                <w:i/>
                <w:sz w:val="18"/>
                <w:szCs w:val="18"/>
              </w:rPr>
            </w:pPr>
            <w:r>
              <w:rPr>
                <w:rFonts w:cs="Tahoma"/>
                <w:i/>
                <w:sz w:val="18"/>
                <w:szCs w:val="18"/>
              </w:rPr>
              <w:t>7,3</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938A4B" w14:textId="3EC12CD8" w:rsidR="00984E01" w:rsidRPr="00A00B9B" w:rsidRDefault="00346181" w:rsidP="009660DA">
            <w:pPr>
              <w:spacing w:before="60" w:after="40" w:line="288" w:lineRule="auto"/>
              <w:ind w:firstLine="0"/>
              <w:jc w:val="right"/>
              <w:rPr>
                <w:rFonts w:cs="Tahoma"/>
                <w:i/>
                <w:sz w:val="18"/>
                <w:szCs w:val="18"/>
              </w:rPr>
            </w:pPr>
            <w:r>
              <w:rPr>
                <w:rFonts w:cs="Tahoma"/>
                <w:i/>
                <w:sz w:val="18"/>
                <w:szCs w:val="18"/>
              </w:rPr>
              <w:t>7,3</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2D1B1C" w14:textId="13E229BF" w:rsidR="00984E01" w:rsidRPr="00A00B9B" w:rsidRDefault="00346181" w:rsidP="009660DA">
            <w:pPr>
              <w:spacing w:before="60" w:after="40" w:line="288" w:lineRule="auto"/>
              <w:ind w:firstLine="0"/>
              <w:jc w:val="right"/>
              <w:rPr>
                <w:rFonts w:cs="Tahoma"/>
                <w:i/>
                <w:sz w:val="18"/>
                <w:szCs w:val="18"/>
              </w:rPr>
            </w:pPr>
            <w:r>
              <w:rPr>
                <w:rFonts w:cs="Tahoma"/>
                <w:i/>
                <w:sz w:val="18"/>
                <w:szCs w:val="18"/>
              </w:rPr>
              <w:t>7,3</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760665" w14:textId="66683E9B" w:rsidR="00984E01" w:rsidRPr="00A00B9B" w:rsidRDefault="00346181" w:rsidP="009660DA">
            <w:pPr>
              <w:spacing w:before="60" w:after="40" w:line="288" w:lineRule="auto"/>
              <w:ind w:firstLine="0"/>
              <w:jc w:val="right"/>
              <w:rPr>
                <w:rFonts w:cs="Tahoma"/>
                <w:i/>
                <w:sz w:val="18"/>
                <w:szCs w:val="18"/>
              </w:rPr>
            </w:pPr>
            <w:r>
              <w:rPr>
                <w:rFonts w:cs="Tahoma"/>
                <w:i/>
                <w:sz w:val="18"/>
                <w:szCs w:val="18"/>
              </w:rPr>
              <w:t>10,0</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E02908" w14:textId="48369F51" w:rsidR="00984E01" w:rsidRPr="00A00B9B" w:rsidRDefault="00346181" w:rsidP="009660DA">
            <w:pPr>
              <w:spacing w:before="60" w:after="40" w:line="288" w:lineRule="auto"/>
              <w:ind w:firstLine="0"/>
              <w:jc w:val="right"/>
              <w:rPr>
                <w:rFonts w:cs="Tahoma"/>
                <w:i/>
                <w:sz w:val="18"/>
                <w:szCs w:val="18"/>
              </w:rPr>
            </w:pPr>
            <w:r>
              <w:rPr>
                <w:rFonts w:cs="Tahoma"/>
                <w:i/>
                <w:sz w:val="18"/>
                <w:szCs w:val="18"/>
              </w:rPr>
              <w:t>10,0</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92F7AA" w14:textId="728ACC8D" w:rsidR="00984E01" w:rsidRPr="00A00B9B" w:rsidRDefault="00346181" w:rsidP="009660DA">
            <w:pPr>
              <w:spacing w:before="60" w:after="40" w:line="288" w:lineRule="auto"/>
              <w:ind w:firstLine="0"/>
              <w:jc w:val="right"/>
              <w:rPr>
                <w:rFonts w:cs="Tahoma"/>
                <w:i/>
                <w:sz w:val="18"/>
                <w:szCs w:val="18"/>
              </w:rPr>
            </w:pPr>
            <w:r>
              <w:rPr>
                <w:rFonts w:cs="Tahoma"/>
                <w:i/>
                <w:sz w:val="18"/>
                <w:szCs w:val="18"/>
              </w:rPr>
              <w:t>10,0</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1E1D7D" w14:textId="51D62D2A" w:rsidR="00984E01" w:rsidRPr="00A00B9B" w:rsidRDefault="00346181" w:rsidP="009660DA">
            <w:pPr>
              <w:spacing w:before="60" w:after="40" w:line="288" w:lineRule="auto"/>
              <w:ind w:firstLine="0"/>
              <w:jc w:val="right"/>
              <w:rPr>
                <w:rFonts w:cs="Tahoma"/>
                <w:i/>
                <w:sz w:val="18"/>
                <w:szCs w:val="18"/>
              </w:rPr>
            </w:pPr>
            <w:r>
              <w:rPr>
                <w:rFonts w:cs="Tahoma"/>
                <w:i/>
                <w:sz w:val="18"/>
                <w:szCs w:val="18"/>
              </w:rPr>
              <w:t>10,0</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3413D7" w14:textId="208F8C7C" w:rsidR="00984E01" w:rsidRPr="00A00B9B" w:rsidRDefault="00346181" w:rsidP="009660DA">
            <w:pPr>
              <w:spacing w:before="60" w:after="40" w:line="288" w:lineRule="auto"/>
              <w:ind w:firstLine="0"/>
              <w:jc w:val="right"/>
              <w:rPr>
                <w:rFonts w:cs="Tahoma"/>
                <w:i/>
                <w:sz w:val="18"/>
                <w:szCs w:val="18"/>
              </w:rPr>
            </w:pPr>
            <w:r>
              <w:rPr>
                <w:rFonts w:cs="Tahoma"/>
                <w:i/>
                <w:sz w:val="18"/>
                <w:szCs w:val="18"/>
              </w:rPr>
              <w:t>10,0</w:t>
            </w:r>
          </w:p>
        </w:tc>
      </w:tr>
      <w:tr w:rsidR="00FA7A70" w:rsidRPr="00A00B9B" w14:paraId="10A299D9" w14:textId="77777777" w:rsidTr="00984E01">
        <w:trPr>
          <w:cantSplit/>
          <w:jc w:val="center"/>
        </w:trPr>
        <w:tc>
          <w:tcPr>
            <w:tcW w:w="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E2EC5A" w14:textId="2DD87EEA" w:rsidR="00FA7A70" w:rsidRPr="00A00B9B" w:rsidRDefault="00FA7A70" w:rsidP="009660DA">
            <w:pPr>
              <w:spacing w:before="60" w:after="40" w:line="288" w:lineRule="auto"/>
              <w:ind w:firstLine="0"/>
              <w:jc w:val="center"/>
              <w:rPr>
                <w:rFonts w:cs="Tahoma"/>
                <w:i/>
                <w:sz w:val="18"/>
                <w:szCs w:val="18"/>
              </w:rPr>
            </w:pPr>
            <w:r w:rsidRPr="00A00B9B">
              <w:rPr>
                <w:rFonts w:cs="Tahoma"/>
                <w:i/>
                <w:sz w:val="18"/>
                <w:szCs w:val="18"/>
              </w:rPr>
              <w:t>7</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91FAC8" w14:textId="6C9D5A29" w:rsidR="00FA7A70" w:rsidRPr="00A00B9B" w:rsidRDefault="00FA7A70" w:rsidP="009660DA">
            <w:pPr>
              <w:spacing w:before="60" w:after="40" w:line="288" w:lineRule="auto"/>
              <w:ind w:firstLine="0"/>
              <w:jc w:val="left"/>
              <w:rPr>
                <w:rFonts w:cs="Tahoma"/>
                <w:i/>
                <w:sz w:val="18"/>
                <w:szCs w:val="18"/>
              </w:rPr>
            </w:pPr>
            <w:r w:rsidRPr="00A00B9B">
              <w:rPr>
                <w:rFonts w:cs="Tahoma"/>
                <w:i/>
                <w:sz w:val="18"/>
                <w:szCs w:val="18"/>
              </w:rPr>
              <w:t>Średni wiek floty [lat]</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4EAC6F" w14:textId="3E0D3DEC" w:rsidR="00FA7A70" w:rsidRPr="00FA7A70" w:rsidRDefault="00346181" w:rsidP="009660DA">
            <w:pPr>
              <w:spacing w:before="60" w:after="40" w:line="288" w:lineRule="auto"/>
              <w:ind w:firstLine="0"/>
              <w:jc w:val="right"/>
              <w:rPr>
                <w:rFonts w:cs="Tahoma"/>
                <w:i/>
                <w:sz w:val="18"/>
                <w:szCs w:val="18"/>
              </w:rPr>
            </w:pPr>
            <w:r>
              <w:rPr>
                <w:rFonts w:cs="Tahoma"/>
                <w:i/>
                <w:sz w:val="18"/>
                <w:szCs w:val="18"/>
              </w:rPr>
              <w:t>6,2</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3A201B" w14:textId="1D0D6E83" w:rsidR="00FA7A70" w:rsidRPr="00FA7A70" w:rsidRDefault="00346181" w:rsidP="009660DA">
            <w:pPr>
              <w:spacing w:before="60" w:after="40" w:line="288" w:lineRule="auto"/>
              <w:ind w:firstLine="0"/>
              <w:jc w:val="right"/>
              <w:rPr>
                <w:rFonts w:cs="Tahoma"/>
                <w:i/>
                <w:sz w:val="18"/>
                <w:szCs w:val="18"/>
              </w:rPr>
            </w:pPr>
            <w:r>
              <w:rPr>
                <w:rFonts w:cs="Tahoma"/>
                <w:i/>
                <w:sz w:val="18"/>
                <w:szCs w:val="18"/>
              </w:rPr>
              <w:t>7,2</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EE4FFF" w14:textId="27556105" w:rsidR="00FA7A70" w:rsidRPr="00FA7A70" w:rsidRDefault="00346181" w:rsidP="009660DA">
            <w:pPr>
              <w:spacing w:before="60" w:after="40" w:line="288" w:lineRule="auto"/>
              <w:ind w:firstLine="0"/>
              <w:jc w:val="right"/>
              <w:rPr>
                <w:rFonts w:cs="Tahoma"/>
                <w:i/>
                <w:sz w:val="18"/>
                <w:szCs w:val="18"/>
              </w:rPr>
            </w:pPr>
            <w:r>
              <w:rPr>
                <w:rFonts w:cs="Tahoma"/>
                <w:i/>
                <w:sz w:val="18"/>
                <w:szCs w:val="18"/>
              </w:rPr>
              <w:t>7,9</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7FDF93" w14:textId="1177D6F5" w:rsidR="00FA7A70" w:rsidRPr="00FA7A70" w:rsidRDefault="00346181" w:rsidP="009660DA">
            <w:pPr>
              <w:spacing w:before="60" w:after="40" w:line="288" w:lineRule="auto"/>
              <w:ind w:firstLine="0"/>
              <w:jc w:val="right"/>
              <w:rPr>
                <w:rFonts w:cs="Tahoma"/>
                <w:i/>
                <w:sz w:val="18"/>
                <w:szCs w:val="18"/>
              </w:rPr>
            </w:pPr>
            <w:r>
              <w:rPr>
                <w:rFonts w:cs="Tahoma"/>
                <w:i/>
                <w:sz w:val="18"/>
                <w:szCs w:val="18"/>
              </w:rPr>
              <w:t>7,3</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B0E0A5" w14:textId="3D7E3C30" w:rsidR="00FA7A70" w:rsidRPr="00FA7A70" w:rsidRDefault="00346181" w:rsidP="009660DA">
            <w:pPr>
              <w:spacing w:before="60" w:after="40" w:line="288" w:lineRule="auto"/>
              <w:ind w:firstLine="0"/>
              <w:jc w:val="right"/>
              <w:rPr>
                <w:rFonts w:cs="Tahoma"/>
                <w:i/>
                <w:sz w:val="18"/>
                <w:szCs w:val="18"/>
              </w:rPr>
            </w:pPr>
            <w:r>
              <w:rPr>
                <w:rFonts w:cs="Tahoma"/>
                <w:i/>
                <w:sz w:val="18"/>
                <w:szCs w:val="18"/>
              </w:rPr>
              <w:t>7,8</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A6F668" w14:textId="2ED7C658" w:rsidR="00FA7A70" w:rsidRPr="00FA7A70" w:rsidRDefault="00346181" w:rsidP="009660DA">
            <w:pPr>
              <w:spacing w:before="60" w:after="40" w:line="288" w:lineRule="auto"/>
              <w:ind w:firstLine="0"/>
              <w:jc w:val="right"/>
              <w:rPr>
                <w:rFonts w:cs="Tahoma"/>
                <w:i/>
                <w:sz w:val="18"/>
                <w:szCs w:val="18"/>
              </w:rPr>
            </w:pPr>
            <w:r>
              <w:rPr>
                <w:rFonts w:cs="Tahoma"/>
                <w:i/>
                <w:sz w:val="18"/>
                <w:szCs w:val="18"/>
              </w:rPr>
              <w:t>8,7</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47ACCD" w14:textId="26E0EDB2" w:rsidR="00FA7A70" w:rsidRPr="00FA7A70" w:rsidRDefault="00346181" w:rsidP="009660DA">
            <w:pPr>
              <w:spacing w:before="60" w:after="40" w:line="288" w:lineRule="auto"/>
              <w:ind w:firstLine="0"/>
              <w:jc w:val="right"/>
              <w:rPr>
                <w:rFonts w:cs="Tahoma"/>
                <w:i/>
                <w:sz w:val="18"/>
                <w:szCs w:val="18"/>
              </w:rPr>
            </w:pPr>
            <w:r>
              <w:rPr>
                <w:rFonts w:cs="Tahoma"/>
                <w:i/>
                <w:sz w:val="18"/>
                <w:szCs w:val="18"/>
              </w:rPr>
              <w:t>9,0</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BD1713" w14:textId="1E0B8355" w:rsidR="00FA7A70" w:rsidRPr="00FA7A70" w:rsidRDefault="00346181" w:rsidP="009660DA">
            <w:pPr>
              <w:spacing w:before="60" w:after="40" w:line="288" w:lineRule="auto"/>
              <w:ind w:firstLine="0"/>
              <w:jc w:val="right"/>
              <w:rPr>
                <w:rFonts w:cs="Tahoma"/>
                <w:i/>
                <w:sz w:val="18"/>
                <w:szCs w:val="18"/>
              </w:rPr>
            </w:pPr>
            <w:r>
              <w:rPr>
                <w:rFonts w:cs="Tahoma"/>
                <w:i/>
                <w:sz w:val="18"/>
                <w:szCs w:val="18"/>
              </w:rPr>
              <w:t>8,0</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2B359B" w14:textId="3ABA1A2A" w:rsidR="00FA7A70" w:rsidRPr="00FA7A70" w:rsidRDefault="00346181" w:rsidP="009660DA">
            <w:pPr>
              <w:spacing w:before="60" w:after="40" w:line="288" w:lineRule="auto"/>
              <w:ind w:firstLine="0"/>
              <w:jc w:val="right"/>
              <w:rPr>
                <w:rFonts w:cs="Tahoma"/>
                <w:i/>
                <w:sz w:val="18"/>
                <w:szCs w:val="18"/>
              </w:rPr>
            </w:pPr>
            <w:r>
              <w:rPr>
                <w:rFonts w:cs="Tahoma"/>
                <w:i/>
                <w:sz w:val="18"/>
                <w:szCs w:val="18"/>
              </w:rPr>
              <w:t>6,5</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B43EF7" w14:textId="108A7F46" w:rsidR="00FA7A70" w:rsidRPr="00FA7A70" w:rsidRDefault="00346181" w:rsidP="009660DA">
            <w:pPr>
              <w:spacing w:before="60" w:after="40" w:line="288" w:lineRule="auto"/>
              <w:ind w:firstLine="0"/>
              <w:jc w:val="right"/>
              <w:rPr>
                <w:rFonts w:cs="Tahoma"/>
                <w:i/>
                <w:sz w:val="18"/>
                <w:szCs w:val="18"/>
              </w:rPr>
            </w:pPr>
            <w:r>
              <w:rPr>
                <w:rFonts w:cs="Tahoma"/>
                <w:i/>
                <w:sz w:val="18"/>
                <w:szCs w:val="18"/>
              </w:rPr>
              <w:t>7,5</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E08AC1" w14:textId="2C4154E2" w:rsidR="00FA7A70" w:rsidRPr="00FA7A70" w:rsidRDefault="00346181" w:rsidP="009660DA">
            <w:pPr>
              <w:spacing w:before="60" w:after="40" w:line="288" w:lineRule="auto"/>
              <w:ind w:firstLine="0"/>
              <w:jc w:val="right"/>
              <w:rPr>
                <w:rFonts w:cs="Tahoma"/>
                <w:i/>
                <w:sz w:val="18"/>
                <w:szCs w:val="18"/>
              </w:rPr>
            </w:pPr>
            <w:r>
              <w:rPr>
                <w:rFonts w:cs="Tahoma"/>
                <w:i/>
                <w:sz w:val="18"/>
                <w:szCs w:val="18"/>
              </w:rPr>
              <w:t>8,2</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38063A" w14:textId="61621B45" w:rsidR="00FA7A70" w:rsidRPr="00FA7A70" w:rsidRDefault="00346181" w:rsidP="009660DA">
            <w:pPr>
              <w:spacing w:before="60" w:after="40" w:line="288" w:lineRule="auto"/>
              <w:ind w:firstLine="0"/>
              <w:jc w:val="right"/>
              <w:rPr>
                <w:rFonts w:cs="Tahoma"/>
                <w:i/>
                <w:sz w:val="18"/>
                <w:szCs w:val="18"/>
              </w:rPr>
            </w:pPr>
            <w:r>
              <w:rPr>
                <w:rFonts w:cs="Tahoma"/>
                <w:i/>
                <w:sz w:val="18"/>
                <w:szCs w:val="18"/>
              </w:rPr>
              <w:t>9,0</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39910" w14:textId="0BBD169D" w:rsidR="00FA7A70" w:rsidRPr="00FA7A70" w:rsidRDefault="00346181" w:rsidP="009660DA">
            <w:pPr>
              <w:spacing w:before="60" w:after="40" w:line="288" w:lineRule="auto"/>
              <w:ind w:firstLine="0"/>
              <w:jc w:val="right"/>
              <w:rPr>
                <w:rFonts w:cs="Tahoma"/>
                <w:i/>
                <w:sz w:val="18"/>
                <w:szCs w:val="18"/>
              </w:rPr>
            </w:pPr>
            <w:r>
              <w:rPr>
                <w:rFonts w:cs="Tahoma"/>
                <w:i/>
                <w:sz w:val="18"/>
                <w:szCs w:val="18"/>
              </w:rPr>
              <w:t>9,3</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23EB47" w14:textId="701931C4" w:rsidR="00FA7A70" w:rsidRPr="00FA7A70" w:rsidRDefault="00346181" w:rsidP="009660DA">
            <w:pPr>
              <w:spacing w:before="60" w:after="40" w:line="288" w:lineRule="auto"/>
              <w:ind w:firstLine="0"/>
              <w:jc w:val="right"/>
              <w:rPr>
                <w:rFonts w:cs="Tahoma"/>
                <w:i/>
                <w:sz w:val="18"/>
                <w:szCs w:val="18"/>
              </w:rPr>
            </w:pPr>
            <w:r>
              <w:rPr>
                <w:rFonts w:cs="Tahoma"/>
                <w:i/>
                <w:sz w:val="18"/>
                <w:szCs w:val="18"/>
              </w:rPr>
              <w:t>9,3</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D89577" w14:textId="119716E7" w:rsidR="00FA7A70" w:rsidRPr="00FA7A70" w:rsidRDefault="00346181" w:rsidP="009660DA">
            <w:pPr>
              <w:spacing w:before="60" w:after="40" w:line="288" w:lineRule="auto"/>
              <w:ind w:firstLine="0"/>
              <w:jc w:val="right"/>
              <w:rPr>
                <w:rFonts w:cs="Tahoma"/>
                <w:i/>
                <w:sz w:val="18"/>
                <w:szCs w:val="18"/>
              </w:rPr>
            </w:pPr>
            <w:r>
              <w:rPr>
                <w:rFonts w:cs="Tahoma"/>
                <w:i/>
                <w:sz w:val="18"/>
                <w:szCs w:val="18"/>
              </w:rPr>
              <w:t>9,2</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05F55C" w14:textId="6C566891" w:rsidR="00FA7A70" w:rsidRPr="00FA7A70" w:rsidRDefault="00346181" w:rsidP="009660DA">
            <w:pPr>
              <w:spacing w:before="60" w:after="40" w:line="288" w:lineRule="auto"/>
              <w:ind w:firstLine="0"/>
              <w:jc w:val="right"/>
              <w:rPr>
                <w:rFonts w:cs="Tahoma"/>
                <w:i/>
                <w:sz w:val="18"/>
                <w:szCs w:val="18"/>
              </w:rPr>
            </w:pPr>
            <w:r>
              <w:rPr>
                <w:rFonts w:cs="Tahoma"/>
                <w:i/>
                <w:sz w:val="18"/>
                <w:szCs w:val="18"/>
              </w:rPr>
              <w:t>8,9</w:t>
            </w:r>
          </w:p>
        </w:tc>
      </w:tr>
    </w:tbl>
    <w:p w14:paraId="48F4E1FD" w14:textId="4FF22ADD" w:rsidR="00A75564" w:rsidRPr="00A00B9B" w:rsidRDefault="00A75564" w:rsidP="009660DA">
      <w:pPr>
        <w:spacing w:before="120" w:after="240"/>
        <w:ind w:firstLine="0"/>
        <w:jc w:val="left"/>
        <w:rPr>
          <w:rFonts w:cs="Tahoma"/>
          <w:sz w:val="20"/>
          <w:szCs w:val="20"/>
        </w:rPr>
      </w:pPr>
      <w:r w:rsidRPr="00A00B9B">
        <w:rPr>
          <w:rFonts w:cs="Tahoma"/>
          <w:sz w:val="20"/>
          <w:szCs w:val="20"/>
        </w:rPr>
        <w:t xml:space="preserve">Źródło: opracowanie własne na podstawie danych </w:t>
      </w:r>
      <w:r w:rsidR="00C73F5E">
        <w:rPr>
          <w:rFonts w:cs="Tahoma"/>
          <w:sz w:val="20"/>
          <w:szCs w:val="20"/>
        </w:rPr>
        <w:t>MPK</w:t>
      </w:r>
      <w:r w:rsidR="006F3550">
        <w:rPr>
          <w:rFonts w:cs="Tahoma"/>
          <w:sz w:val="20"/>
          <w:szCs w:val="20"/>
        </w:rPr>
        <w:t>-Rzeszów</w:t>
      </w:r>
      <w:r w:rsidR="00C73F5E">
        <w:rPr>
          <w:rFonts w:cs="Tahoma"/>
          <w:sz w:val="20"/>
          <w:szCs w:val="20"/>
        </w:rPr>
        <w:t xml:space="preserve"> </w:t>
      </w:r>
      <w:r w:rsidR="00CE5A5C" w:rsidRPr="00A00B9B">
        <w:rPr>
          <w:rFonts w:cs="Tahoma"/>
          <w:sz w:val="20"/>
          <w:szCs w:val="20"/>
        </w:rPr>
        <w:t>s</w:t>
      </w:r>
      <w:r w:rsidR="00702405" w:rsidRPr="00A00B9B">
        <w:rPr>
          <w:rFonts w:cs="Tahoma"/>
          <w:sz w:val="20"/>
          <w:szCs w:val="20"/>
        </w:rPr>
        <w:t>p. z o.o.</w:t>
      </w:r>
    </w:p>
    <w:p w14:paraId="26E32C63" w14:textId="742A8FDA" w:rsidR="005C5BE9" w:rsidRPr="00A00B9B" w:rsidRDefault="005C5BE9" w:rsidP="009660DA">
      <w:pPr>
        <w:spacing w:line="240" w:lineRule="auto"/>
        <w:ind w:firstLine="0"/>
        <w:jc w:val="left"/>
        <w:rPr>
          <w:rFonts w:cs="Tahoma"/>
          <w:sz w:val="20"/>
          <w:szCs w:val="20"/>
        </w:rPr>
      </w:pPr>
      <w:r w:rsidRPr="00A00B9B">
        <w:rPr>
          <w:rFonts w:cs="Tahoma"/>
          <w:sz w:val="20"/>
          <w:szCs w:val="20"/>
        </w:rPr>
        <w:br w:type="page"/>
      </w:r>
    </w:p>
    <w:p w14:paraId="14463E7A" w14:textId="7C0B8309" w:rsidR="005C5BE9" w:rsidRPr="00A00B9B" w:rsidRDefault="005C5BE9" w:rsidP="00346181">
      <w:pPr>
        <w:pStyle w:val="Legenda"/>
        <w:keepNext/>
        <w:spacing w:before="240" w:after="0"/>
        <w:ind w:firstLine="0"/>
        <w:jc w:val="left"/>
        <w:rPr>
          <w:color w:val="000000"/>
          <w:sz w:val="22"/>
          <w:szCs w:val="22"/>
        </w:rPr>
      </w:pPr>
      <w:r w:rsidRPr="00A00B9B">
        <w:rPr>
          <w:color w:val="000000"/>
          <w:sz w:val="22"/>
          <w:szCs w:val="22"/>
        </w:rPr>
        <w:lastRenderedPageBreak/>
        <w:t xml:space="preserve">Tab. </w:t>
      </w:r>
      <w:r w:rsidRPr="00A00B9B">
        <w:rPr>
          <w:color w:val="000000"/>
          <w:sz w:val="22"/>
          <w:szCs w:val="22"/>
        </w:rPr>
        <w:fldChar w:fldCharType="begin"/>
      </w:r>
      <w:r w:rsidRPr="00A00B9B">
        <w:rPr>
          <w:color w:val="000000"/>
          <w:sz w:val="22"/>
          <w:szCs w:val="22"/>
        </w:rPr>
        <w:instrText xml:space="preserve"> SEQ Tab. \* ARABIC </w:instrText>
      </w:r>
      <w:r w:rsidRPr="00A00B9B">
        <w:rPr>
          <w:color w:val="000000"/>
          <w:sz w:val="22"/>
          <w:szCs w:val="22"/>
        </w:rPr>
        <w:fldChar w:fldCharType="separate"/>
      </w:r>
      <w:r w:rsidR="004605BC">
        <w:rPr>
          <w:noProof/>
          <w:color w:val="000000"/>
          <w:sz w:val="22"/>
          <w:szCs w:val="22"/>
        </w:rPr>
        <w:t>6</w:t>
      </w:r>
      <w:r w:rsidRPr="00A00B9B">
        <w:rPr>
          <w:color w:val="000000"/>
          <w:sz w:val="22"/>
          <w:szCs w:val="22"/>
        </w:rPr>
        <w:fldChar w:fldCharType="end"/>
      </w:r>
      <w:r w:rsidRPr="00A00B9B">
        <w:rPr>
          <w:color w:val="000000"/>
          <w:sz w:val="22"/>
          <w:szCs w:val="22"/>
        </w:rPr>
        <w:t xml:space="preserve">. Harmonogram wymiany taboru </w:t>
      </w:r>
      <w:r w:rsidR="00C73F5E">
        <w:rPr>
          <w:color w:val="000000"/>
          <w:sz w:val="22"/>
          <w:szCs w:val="22"/>
        </w:rPr>
        <w:t>rzeszowskie</w:t>
      </w:r>
      <w:r w:rsidR="00AE0C28">
        <w:rPr>
          <w:color w:val="000000"/>
          <w:sz w:val="22"/>
          <w:szCs w:val="22"/>
        </w:rPr>
        <w:t>j</w:t>
      </w:r>
      <w:r w:rsidR="00AE61D8">
        <w:rPr>
          <w:color w:val="000000"/>
          <w:sz w:val="22"/>
          <w:szCs w:val="22"/>
        </w:rPr>
        <w:t xml:space="preserve"> </w:t>
      </w:r>
      <w:r w:rsidRPr="00A00B9B">
        <w:rPr>
          <w:color w:val="000000"/>
          <w:sz w:val="22"/>
          <w:szCs w:val="22"/>
        </w:rPr>
        <w:t>komunikacji miejskiej w</w:t>
      </w:r>
      <w:r w:rsidR="00FD55D3" w:rsidRPr="00A00B9B">
        <w:rPr>
          <w:color w:val="000000"/>
          <w:sz w:val="22"/>
          <w:szCs w:val="22"/>
        </w:rPr>
        <w:t xml:space="preserve"> latach 2021-2036</w:t>
      </w:r>
      <w:r w:rsidR="00786BBC" w:rsidRPr="00A00B9B">
        <w:rPr>
          <w:color w:val="000000"/>
          <w:sz w:val="22"/>
          <w:szCs w:val="22"/>
        </w:rPr>
        <w:t xml:space="preserve"> </w:t>
      </w:r>
      <w:r w:rsidR="00CE5A5C" w:rsidRPr="00A00B9B">
        <w:rPr>
          <w:color w:val="000000"/>
          <w:sz w:val="22"/>
          <w:szCs w:val="22"/>
        </w:rPr>
        <w:t>w wari</w:t>
      </w:r>
      <w:r w:rsidR="000F6DBA" w:rsidRPr="00A00B9B">
        <w:rPr>
          <w:color w:val="000000"/>
          <w:sz w:val="22"/>
          <w:szCs w:val="22"/>
        </w:rPr>
        <w:t>ancie</w:t>
      </w:r>
      <w:r w:rsidRPr="00A00B9B">
        <w:rPr>
          <w:color w:val="000000"/>
          <w:sz w:val="22"/>
          <w:szCs w:val="22"/>
        </w:rPr>
        <w:t xml:space="preserve"> </w:t>
      </w:r>
      <w:r w:rsidR="00CE5A5C" w:rsidRPr="00A00B9B">
        <w:rPr>
          <w:color w:val="000000"/>
          <w:sz w:val="22"/>
          <w:szCs w:val="22"/>
        </w:rPr>
        <w:t>elektrycznym</w:t>
      </w:r>
    </w:p>
    <w:tbl>
      <w:tblPr>
        <w:tblW w:w="140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59"/>
        <w:gridCol w:w="1985"/>
        <w:gridCol w:w="716"/>
        <w:gridCol w:w="716"/>
        <w:gridCol w:w="716"/>
        <w:gridCol w:w="717"/>
        <w:gridCol w:w="716"/>
        <w:gridCol w:w="716"/>
        <w:gridCol w:w="717"/>
        <w:gridCol w:w="716"/>
        <w:gridCol w:w="716"/>
        <w:gridCol w:w="717"/>
        <w:gridCol w:w="716"/>
        <w:gridCol w:w="716"/>
        <w:gridCol w:w="717"/>
        <w:gridCol w:w="716"/>
        <w:gridCol w:w="716"/>
        <w:gridCol w:w="717"/>
      </w:tblGrid>
      <w:tr w:rsidR="005C5BE9" w:rsidRPr="00A00B9B" w14:paraId="4B000D1E" w14:textId="77777777" w:rsidTr="00786BBC">
        <w:trPr>
          <w:cantSplit/>
          <w:tblHeader/>
          <w:jc w:val="center"/>
        </w:trPr>
        <w:tc>
          <w:tcPr>
            <w:tcW w:w="559" w:type="dxa"/>
            <w:vMerge w:val="restart"/>
            <w:shd w:val="clear" w:color="auto" w:fill="FFFF99"/>
            <w:vAlign w:val="center"/>
          </w:tcPr>
          <w:p w14:paraId="65D78ADC" w14:textId="77777777" w:rsidR="005C5BE9" w:rsidRPr="00A00B9B" w:rsidRDefault="005C5BE9" w:rsidP="00346181">
            <w:pPr>
              <w:keepNext/>
              <w:spacing w:before="60" w:after="40" w:line="288" w:lineRule="auto"/>
              <w:ind w:firstLine="0"/>
              <w:jc w:val="center"/>
              <w:rPr>
                <w:rFonts w:cs="Tahoma"/>
                <w:b/>
                <w:sz w:val="18"/>
                <w:szCs w:val="18"/>
              </w:rPr>
            </w:pPr>
            <w:r w:rsidRPr="00A00B9B">
              <w:rPr>
                <w:rFonts w:cs="Tahoma"/>
                <w:b/>
                <w:sz w:val="18"/>
                <w:szCs w:val="18"/>
              </w:rPr>
              <w:t>Lp.</w:t>
            </w:r>
          </w:p>
        </w:tc>
        <w:tc>
          <w:tcPr>
            <w:tcW w:w="1985" w:type="dxa"/>
            <w:vMerge w:val="restart"/>
            <w:shd w:val="clear" w:color="auto" w:fill="FFFF99"/>
            <w:vAlign w:val="center"/>
          </w:tcPr>
          <w:p w14:paraId="18F71123" w14:textId="77777777" w:rsidR="005C5BE9" w:rsidRPr="00A00B9B" w:rsidRDefault="005C5BE9" w:rsidP="00346181">
            <w:pPr>
              <w:keepNext/>
              <w:spacing w:before="60" w:after="40" w:line="288" w:lineRule="auto"/>
              <w:ind w:firstLine="0"/>
              <w:jc w:val="center"/>
              <w:rPr>
                <w:rFonts w:cs="Tahoma"/>
                <w:b/>
                <w:sz w:val="18"/>
                <w:szCs w:val="18"/>
              </w:rPr>
            </w:pPr>
            <w:r w:rsidRPr="00A00B9B">
              <w:rPr>
                <w:rFonts w:cs="Tahoma"/>
                <w:b/>
                <w:sz w:val="18"/>
                <w:szCs w:val="18"/>
              </w:rPr>
              <w:t>Typ taboru</w:t>
            </w:r>
            <w:r w:rsidRPr="00A00B9B">
              <w:rPr>
                <w:rFonts w:cs="Tahoma"/>
                <w:b/>
                <w:sz w:val="18"/>
                <w:szCs w:val="18"/>
              </w:rPr>
              <w:br/>
              <w:t>– napęd</w:t>
            </w:r>
          </w:p>
        </w:tc>
        <w:tc>
          <w:tcPr>
            <w:tcW w:w="11461" w:type="dxa"/>
            <w:gridSpan w:val="16"/>
            <w:shd w:val="clear" w:color="auto" w:fill="FFFF99"/>
            <w:vAlign w:val="center"/>
          </w:tcPr>
          <w:p w14:paraId="59591ED1" w14:textId="77777777" w:rsidR="005C5BE9" w:rsidRPr="00A00B9B" w:rsidRDefault="005C5BE9" w:rsidP="00346181">
            <w:pPr>
              <w:keepNext/>
              <w:spacing w:before="60" w:after="40" w:line="288" w:lineRule="auto"/>
              <w:ind w:firstLine="0"/>
              <w:jc w:val="center"/>
              <w:rPr>
                <w:rFonts w:cs="Tahoma"/>
                <w:b/>
                <w:sz w:val="18"/>
                <w:szCs w:val="18"/>
              </w:rPr>
            </w:pPr>
            <w:r w:rsidRPr="00A00B9B">
              <w:rPr>
                <w:rFonts w:cs="Tahoma"/>
                <w:b/>
                <w:sz w:val="18"/>
                <w:szCs w:val="18"/>
              </w:rPr>
              <w:t>Rozpatrywany rok</w:t>
            </w:r>
          </w:p>
        </w:tc>
      </w:tr>
      <w:tr w:rsidR="000F6DBA" w:rsidRPr="00A00B9B" w14:paraId="09B39E75" w14:textId="77777777" w:rsidTr="000F6DBA">
        <w:trPr>
          <w:cantSplit/>
          <w:tblHeader/>
          <w:jc w:val="center"/>
        </w:trPr>
        <w:tc>
          <w:tcPr>
            <w:tcW w:w="559" w:type="dxa"/>
            <w:vMerge/>
            <w:shd w:val="clear" w:color="auto" w:fill="FFFF99"/>
            <w:vAlign w:val="center"/>
          </w:tcPr>
          <w:p w14:paraId="5C0425E4" w14:textId="77777777" w:rsidR="000F6DBA" w:rsidRPr="00A00B9B" w:rsidRDefault="000F6DBA" w:rsidP="00346181">
            <w:pPr>
              <w:keepNext/>
              <w:spacing w:before="60" w:after="40" w:line="288" w:lineRule="auto"/>
              <w:ind w:firstLine="0"/>
              <w:jc w:val="center"/>
              <w:rPr>
                <w:rFonts w:cs="Tahoma"/>
                <w:b/>
                <w:sz w:val="18"/>
                <w:szCs w:val="18"/>
              </w:rPr>
            </w:pPr>
          </w:p>
        </w:tc>
        <w:tc>
          <w:tcPr>
            <w:tcW w:w="1985" w:type="dxa"/>
            <w:vMerge/>
            <w:shd w:val="clear" w:color="auto" w:fill="FFFF99"/>
            <w:vAlign w:val="center"/>
          </w:tcPr>
          <w:p w14:paraId="262E8E8C" w14:textId="77777777" w:rsidR="000F6DBA" w:rsidRPr="00A00B9B" w:rsidRDefault="000F6DBA" w:rsidP="00346181">
            <w:pPr>
              <w:keepNext/>
              <w:spacing w:before="60" w:after="40" w:line="288" w:lineRule="auto"/>
              <w:ind w:firstLine="0"/>
              <w:jc w:val="center"/>
              <w:rPr>
                <w:rFonts w:cs="Tahoma"/>
                <w:b/>
                <w:sz w:val="18"/>
                <w:szCs w:val="18"/>
              </w:rPr>
            </w:pPr>
          </w:p>
        </w:tc>
        <w:tc>
          <w:tcPr>
            <w:tcW w:w="716" w:type="dxa"/>
            <w:shd w:val="clear" w:color="auto" w:fill="FFFF99"/>
            <w:vAlign w:val="center"/>
          </w:tcPr>
          <w:p w14:paraId="631F47DB" w14:textId="0755E4A2"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2021</w:t>
            </w:r>
          </w:p>
        </w:tc>
        <w:tc>
          <w:tcPr>
            <w:tcW w:w="716" w:type="dxa"/>
            <w:shd w:val="clear" w:color="auto" w:fill="FFFF99"/>
            <w:vAlign w:val="center"/>
          </w:tcPr>
          <w:p w14:paraId="421482D6" w14:textId="3C0C4254"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2022</w:t>
            </w:r>
          </w:p>
        </w:tc>
        <w:tc>
          <w:tcPr>
            <w:tcW w:w="716" w:type="dxa"/>
            <w:shd w:val="clear" w:color="auto" w:fill="FFFF99"/>
            <w:vAlign w:val="center"/>
          </w:tcPr>
          <w:p w14:paraId="27EC2343" w14:textId="2704DCC1"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2023</w:t>
            </w:r>
          </w:p>
        </w:tc>
        <w:tc>
          <w:tcPr>
            <w:tcW w:w="717" w:type="dxa"/>
            <w:shd w:val="clear" w:color="auto" w:fill="FFFF99"/>
            <w:vAlign w:val="center"/>
          </w:tcPr>
          <w:p w14:paraId="29117AD0" w14:textId="07604BC5"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2024</w:t>
            </w:r>
          </w:p>
        </w:tc>
        <w:tc>
          <w:tcPr>
            <w:tcW w:w="716" w:type="dxa"/>
            <w:shd w:val="clear" w:color="auto" w:fill="FFFF99"/>
            <w:vAlign w:val="center"/>
          </w:tcPr>
          <w:p w14:paraId="1EA13D41" w14:textId="12A77443"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2025</w:t>
            </w:r>
          </w:p>
        </w:tc>
        <w:tc>
          <w:tcPr>
            <w:tcW w:w="716" w:type="dxa"/>
            <w:shd w:val="clear" w:color="auto" w:fill="FFFF99"/>
            <w:vAlign w:val="center"/>
          </w:tcPr>
          <w:p w14:paraId="2AB7A93A" w14:textId="25CFE2B2"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2026</w:t>
            </w:r>
          </w:p>
        </w:tc>
        <w:tc>
          <w:tcPr>
            <w:tcW w:w="717" w:type="dxa"/>
            <w:shd w:val="clear" w:color="auto" w:fill="FFFF99"/>
            <w:vAlign w:val="center"/>
          </w:tcPr>
          <w:p w14:paraId="62E3DBE7" w14:textId="1E192A8C"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2027</w:t>
            </w:r>
          </w:p>
        </w:tc>
        <w:tc>
          <w:tcPr>
            <w:tcW w:w="716" w:type="dxa"/>
            <w:shd w:val="clear" w:color="auto" w:fill="FFFF99"/>
            <w:vAlign w:val="center"/>
          </w:tcPr>
          <w:p w14:paraId="5A7811D8" w14:textId="03C26FD7"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2028</w:t>
            </w:r>
          </w:p>
        </w:tc>
        <w:tc>
          <w:tcPr>
            <w:tcW w:w="716" w:type="dxa"/>
            <w:shd w:val="clear" w:color="auto" w:fill="FFFF99"/>
            <w:vAlign w:val="center"/>
          </w:tcPr>
          <w:p w14:paraId="4B517F02" w14:textId="72F32E54"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2029</w:t>
            </w:r>
          </w:p>
        </w:tc>
        <w:tc>
          <w:tcPr>
            <w:tcW w:w="717" w:type="dxa"/>
            <w:shd w:val="clear" w:color="auto" w:fill="FFFF99"/>
            <w:vAlign w:val="center"/>
          </w:tcPr>
          <w:p w14:paraId="10824D04" w14:textId="59B73685"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2030</w:t>
            </w:r>
          </w:p>
        </w:tc>
        <w:tc>
          <w:tcPr>
            <w:tcW w:w="716" w:type="dxa"/>
            <w:shd w:val="clear" w:color="auto" w:fill="FFFF99"/>
            <w:vAlign w:val="center"/>
          </w:tcPr>
          <w:p w14:paraId="71D14B65" w14:textId="544E3C94"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2031</w:t>
            </w:r>
          </w:p>
        </w:tc>
        <w:tc>
          <w:tcPr>
            <w:tcW w:w="716" w:type="dxa"/>
            <w:shd w:val="clear" w:color="auto" w:fill="FFFF99"/>
            <w:vAlign w:val="center"/>
          </w:tcPr>
          <w:p w14:paraId="054663B2" w14:textId="61F6EF19"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2032</w:t>
            </w:r>
          </w:p>
        </w:tc>
        <w:tc>
          <w:tcPr>
            <w:tcW w:w="717" w:type="dxa"/>
            <w:shd w:val="clear" w:color="auto" w:fill="FFFF99"/>
            <w:vAlign w:val="center"/>
          </w:tcPr>
          <w:p w14:paraId="786B5CD5" w14:textId="7582DBB5"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2033</w:t>
            </w:r>
          </w:p>
        </w:tc>
        <w:tc>
          <w:tcPr>
            <w:tcW w:w="716" w:type="dxa"/>
            <w:shd w:val="clear" w:color="auto" w:fill="FFFF99"/>
            <w:vAlign w:val="center"/>
          </w:tcPr>
          <w:p w14:paraId="49D547EC" w14:textId="311986C5"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2034</w:t>
            </w:r>
          </w:p>
        </w:tc>
        <w:tc>
          <w:tcPr>
            <w:tcW w:w="716" w:type="dxa"/>
            <w:shd w:val="clear" w:color="auto" w:fill="FFFF99"/>
            <w:vAlign w:val="center"/>
          </w:tcPr>
          <w:p w14:paraId="53D7E111" w14:textId="77777777"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2035</w:t>
            </w:r>
          </w:p>
        </w:tc>
        <w:tc>
          <w:tcPr>
            <w:tcW w:w="717" w:type="dxa"/>
            <w:shd w:val="clear" w:color="auto" w:fill="FFFF99"/>
            <w:vAlign w:val="center"/>
          </w:tcPr>
          <w:p w14:paraId="1634FBFC" w14:textId="43AD5E9E" w:rsidR="000F6DBA" w:rsidRPr="00A00B9B" w:rsidRDefault="000F6DBA" w:rsidP="00346181">
            <w:pPr>
              <w:keepNext/>
              <w:spacing w:before="60" w:after="40" w:line="288" w:lineRule="auto"/>
              <w:ind w:firstLine="0"/>
              <w:jc w:val="center"/>
              <w:rPr>
                <w:rFonts w:cs="Tahoma"/>
                <w:b/>
                <w:sz w:val="18"/>
                <w:szCs w:val="18"/>
              </w:rPr>
            </w:pPr>
            <w:r w:rsidRPr="00A00B9B">
              <w:rPr>
                <w:rFonts w:cs="Tahoma"/>
                <w:b/>
                <w:sz w:val="18"/>
                <w:szCs w:val="18"/>
              </w:rPr>
              <w:t>2036</w:t>
            </w:r>
          </w:p>
        </w:tc>
      </w:tr>
      <w:tr w:rsidR="005C5BE9" w:rsidRPr="00A00B9B" w14:paraId="323A853D" w14:textId="77777777" w:rsidTr="00786BBC">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4AD2B2EA" w14:textId="77777777" w:rsidR="005C5BE9" w:rsidRPr="00A00B9B" w:rsidRDefault="005C5BE9" w:rsidP="00346181">
            <w:pPr>
              <w:spacing w:before="60" w:after="40" w:line="288" w:lineRule="auto"/>
              <w:ind w:firstLine="0"/>
              <w:jc w:val="center"/>
              <w:rPr>
                <w:rFonts w:cs="Tahoma"/>
                <w:b/>
                <w:sz w:val="18"/>
                <w:szCs w:val="18"/>
              </w:rPr>
            </w:pPr>
            <w:r w:rsidRPr="00A00B9B">
              <w:rPr>
                <w:rFonts w:cs="Tahoma"/>
                <w:b/>
                <w:sz w:val="18"/>
                <w:szCs w:val="18"/>
              </w:rPr>
              <w:t>1</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10268EA2" w14:textId="77777777" w:rsidR="005C5BE9" w:rsidRPr="00A00B9B" w:rsidRDefault="005C5BE9" w:rsidP="00346181">
            <w:pPr>
              <w:spacing w:before="60" w:after="40" w:line="288" w:lineRule="auto"/>
              <w:ind w:firstLine="0"/>
              <w:jc w:val="left"/>
              <w:rPr>
                <w:rFonts w:cs="Tahoma"/>
                <w:b/>
                <w:sz w:val="18"/>
                <w:szCs w:val="18"/>
              </w:rPr>
            </w:pPr>
            <w:r w:rsidRPr="00A00B9B">
              <w:rPr>
                <w:rFonts w:cs="Tahoma"/>
                <w:b/>
                <w:sz w:val="18"/>
                <w:szCs w:val="18"/>
              </w:rPr>
              <w:t xml:space="preserve">Autobusy ON </w:t>
            </w:r>
          </w:p>
        </w:tc>
      </w:tr>
      <w:tr w:rsidR="00346181" w:rsidRPr="00A00B9B" w14:paraId="30370D71"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0A164B55" w14:textId="77777777" w:rsidR="00346181" w:rsidRPr="00A00B9B" w:rsidRDefault="00346181" w:rsidP="00346181">
            <w:pPr>
              <w:spacing w:before="60" w:after="40" w:line="288" w:lineRule="auto"/>
              <w:ind w:firstLine="0"/>
              <w:jc w:val="center"/>
              <w:rPr>
                <w:rFonts w:cs="Tahoma"/>
                <w:sz w:val="18"/>
                <w:szCs w:val="18"/>
              </w:rPr>
            </w:pPr>
            <w:r w:rsidRPr="00A00B9B">
              <w:rPr>
                <w:rFonts w:cs="Tahoma"/>
                <w:sz w:val="18"/>
                <w:szCs w:val="18"/>
              </w:rPr>
              <w:t>1a</w:t>
            </w:r>
          </w:p>
        </w:tc>
        <w:tc>
          <w:tcPr>
            <w:tcW w:w="1985" w:type="dxa"/>
            <w:tcBorders>
              <w:top w:val="single" w:sz="4" w:space="0" w:color="auto"/>
              <w:left w:val="single" w:sz="4" w:space="0" w:color="auto"/>
              <w:bottom w:val="single" w:sz="4" w:space="0" w:color="auto"/>
              <w:right w:val="single" w:sz="4" w:space="0" w:color="auto"/>
            </w:tcBorders>
            <w:vAlign w:val="center"/>
          </w:tcPr>
          <w:p w14:paraId="1454AB03" w14:textId="77777777" w:rsidR="00346181" w:rsidRPr="00A00B9B" w:rsidRDefault="00346181" w:rsidP="00346181">
            <w:pPr>
              <w:spacing w:before="60" w:after="40" w:line="288" w:lineRule="auto"/>
              <w:ind w:firstLine="0"/>
              <w:jc w:val="left"/>
              <w:rPr>
                <w:rFonts w:cs="Tahoma"/>
                <w:sz w:val="18"/>
                <w:szCs w:val="18"/>
              </w:rPr>
            </w:pPr>
            <w:r w:rsidRPr="00A00B9B">
              <w:rPr>
                <w:rFonts w:cs="Tahoma"/>
                <w:sz w:val="18"/>
                <w:szCs w:val="18"/>
              </w:rPr>
              <w:t>Zakup/wycofanie</w:t>
            </w:r>
          </w:p>
        </w:tc>
        <w:tc>
          <w:tcPr>
            <w:tcW w:w="716" w:type="dxa"/>
            <w:tcBorders>
              <w:top w:val="single" w:sz="4" w:space="0" w:color="auto"/>
              <w:left w:val="single" w:sz="4" w:space="0" w:color="auto"/>
              <w:bottom w:val="single" w:sz="4" w:space="0" w:color="auto"/>
              <w:right w:val="single" w:sz="4" w:space="0" w:color="auto"/>
            </w:tcBorders>
            <w:vAlign w:val="center"/>
          </w:tcPr>
          <w:p w14:paraId="0F314F3C" w14:textId="5E1EA55E" w:rsidR="00346181" w:rsidRPr="00FA7A70" w:rsidRDefault="00346181" w:rsidP="00346181">
            <w:pPr>
              <w:spacing w:before="60" w:after="40" w:line="288" w:lineRule="auto"/>
              <w:ind w:firstLine="0"/>
              <w:jc w:val="right"/>
              <w:rPr>
                <w:rFonts w:cs="Tahoma"/>
                <w:sz w:val="18"/>
                <w:szCs w:val="18"/>
              </w:rPr>
            </w:pPr>
            <w:r>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1B96CA9" w14:textId="1946E2AE" w:rsidR="00346181" w:rsidRPr="00FA7A70" w:rsidRDefault="00346181" w:rsidP="00346181">
            <w:pPr>
              <w:spacing w:before="60" w:after="40" w:line="288" w:lineRule="auto"/>
              <w:ind w:firstLine="0"/>
              <w:jc w:val="right"/>
              <w:rPr>
                <w:rFonts w:cs="Tahoma"/>
                <w:sz w:val="18"/>
                <w:szCs w:val="18"/>
              </w:rPr>
            </w:pPr>
            <w:r>
              <w:rPr>
                <w:rFonts w:cs="Tahoma"/>
                <w:sz w:val="18"/>
                <w:szCs w:val="18"/>
              </w:rPr>
              <w:t>-/5</w:t>
            </w:r>
          </w:p>
        </w:tc>
        <w:tc>
          <w:tcPr>
            <w:tcW w:w="716" w:type="dxa"/>
            <w:tcBorders>
              <w:top w:val="single" w:sz="4" w:space="0" w:color="auto"/>
              <w:left w:val="single" w:sz="4" w:space="0" w:color="auto"/>
              <w:bottom w:val="single" w:sz="4" w:space="0" w:color="auto"/>
              <w:right w:val="single" w:sz="4" w:space="0" w:color="auto"/>
            </w:tcBorders>
          </w:tcPr>
          <w:p w14:paraId="718A949D" w14:textId="094A21C3" w:rsidR="00346181" w:rsidRPr="00FA7A70" w:rsidRDefault="00346181" w:rsidP="00346181">
            <w:pPr>
              <w:spacing w:before="60" w:after="40" w:line="288" w:lineRule="auto"/>
              <w:ind w:firstLine="0"/>
              <w:jc w:val="right"/>
              <w:rPr>
                <w:rFonts w:cs="Tahoma"/>
                <w:sz w:val="18"/>
                <w:szCs w:val="18"/>
              </w:rPr>
            </w:pPr>
            <w:r>
              <w:rPr>
                <w:rFonts w:cs="Tahoma"/>
                <w:sz w:val="18"/>
                <w:szCs w:val="18"/>
              </w:rPr>
              <w:t>-</w:t>
            </w:r>
            <w:r w:rsidRPr="00FA7A70">
              <w:rPr>
                <w:rFonts w:cs="Tahoma"/>
                <w:sz w:val="18"/>
                <w:szCs w:val="18"/>
              </w:rPr>
              <w:t>/</w:t>
            </w:r>
            <w:r>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6C7449BD" w14:textId="0408FEAF" w:rsidR="00346181" w:rsidRPr="00FA7A70" w:rsidRDefault="00346181" w:rsidP="00346181">
            <w:pPr>
              <w:spacing w:before="60" w:after="40" w:line="288" w:lineRule="auto"/>
              <w:ind w:firstLine="0"/>
              <w:jc w:val="right"/>
              <w:rPr>
                <w:rFonts w:cs="Tahoma"/>
                <w:sz w:val="18"/>
                <w:szCs w:val="18"/>
              </w:rPr>
            </w:pPr>
            <w:r>
              <w:rPr>
                <w:rFonts w:cs="Tahoma"/>
                <w:sz w:val="18"/>
                <w:szCs w:val="18"/>
              </w:rPr>
              <w:t>-/22</w:t>
            </w:r>
          </w:p>
        </w:tc>
        <w:tc>
          <w:tcPr>
            <w:tcW w:w="716" w:type="dxa"/>
            <w:tcBorders>
              <w:top w:val="single" w:sz="4" w:space="0" w:color="auto"/>
              <w:left w:val="single" w:sz="4" w:space="0" w:color="auto"/>
              <w:bottom w:val="single" w:sz="4" w:space="0" w:color="auto"/>
              <w:right w:val="single" w:sz="4" w:space="0" w:color="auto"/>
            </w:tcBorders>
          </w:tcPr>
          <w:p w14:paraId="443DB77E" w14:textId="348591A9" w:rsidR="00346181" w:rsidRPr="00FA7A70" w:rsidRDefault="00346181" w:rsidP="00346181">
            <w:pPr>
              <w:spacing w:before="60" w:after="40" w:line="288" w:lineRule="auto"/>
              <w:ind w:firstLine="0"/>
              <w:jc w:val="right"/>
              <w:rPr>
                <w:rFonts w:cs="Tahoma"/>
                <w:sz w:val="18"/>
                <w:szCs w:val="18"/>
              </w:rPr>
            </w:pPr>
            <w:r>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tcPr>
          <w:p w14:paraId="0EB542E7" w14:textId="2386B580" w:rsidR="00346181" w:rsidRPr="00FA7A70" w:rsidRDefault="00346181" w:rsidP="00346181">
            <w:pPr>
              <w:spacing w:before="60" w:after="40" w:line="288" w:lineRule="auto"/>
              <w:ind w:firstLine="0"/>
              <w:jc w:val="right"/>
              <w:rPr>
                <w:rFonts w:cs="Tahoma"/>
                <w:sz w:val="18"/>
                <w:szCs w:val="18"/>
              </w:rPr>
            </w:pPr>
            <w:r>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5AD4617F" w14:textId="1954EBA9" w:rsidR="00346181" w:rsidRPr="00FA7A70" w:rsidRDefault="00346181" w:rsidP="00346181">
            <w:pPr>
              <w:spacing w:before="60" w:after="40" w:line="288" w:lineRule="auto"/>
              <w:ind w:firstLine="0"/>
              <w:jc w:val="right"/>
              <w:rPr>
                <w:rFonts w:cs="Tahoma"/>
                <w:sz w:val="18"/>
                <w:szCs w:val="18"/>
              </w:rPr>
            </w:pPr>
            <w:r>
              <w:rPr>
                <w:rFonts w:cs="Tahoma"/>
                <w:sz w:val="18"/>
                <w:szCs w:val="18"/>
              </w:rPr>
              <w:t>-/10</w:t>
            </w:r>
          </w:p>
        </w:tc>
        <w:tc>
          <w:tcPr>
            <w:tcW w:w="716" w:type="dxa"/>
            <w:tcBorders>
              <w:top w:val="single" w:sz="4" w:space="0" w:color="auto"/>
              <w:left w:val="single" w:sz="4" w:space="0" w:color="auto"/>
              <w:bottom w:val="single" w:sz="4" w:space="0" w:color="auto"/>
              <w:right w:val="single" w:sz="4" w:space="0" w:color="auto"/>
            </w:tcBorders>
          </w:tcPr>
          <w:p w14:paraId="20AD2D37" w14:textId="6AAFB6F5" w:rsidR="00346181" w:rsidRPr="00FA7A70" w:rsidRDefault="00456597" w:rsidP="00346181">
            <w:pPr>
              <w:spacing w:before="60" w:after="40" w:line="288" w:lineRule="auto"/>
              <w:ind w:firstLine="0"/>
              <w:jc w:val="right"/>
              <w:rPr>
                <w:rFonts w:cs="Tahoma"/>
                <w:sz w:val="18"/>
                <w:szCs w:val="18"/>
              </w:rPr>
            </w:pPr>
            <w:r>
              <w:rPr>
                <w:rFonts w:cs="Tahoma"/>
                <w:sz w:val="18"/>
                <w:szCs w:val="18"/>
              </w:rPr>
              <w:t>-/1</w:t>
            </w:r>
            <w:r w:rsidR="00346181">
              <w:rPr>
                <w:rFonts w:cs="Tahoma"/>
                <w:sz w:val="18"/>
                <w:szCs w:val="18"/>
              </w:rPr>
              <w:t>5</w:t>
            </w:r>
          </w:p>
        </w:tc>
        <w:tc>
          <w:tcPr>
            <w:tcW w:w="716" w:type="dxa"/>
            <w:tcBorders>
              <w:top w:val="single" w:sz="4" w:space="0" w:color="auto"/>
              <w:left w:val="single" w:sz="4" w:space="0" w:color="auto"/>
              <w:bottom w:val="single" w:sz="4" w:space="0" w:color="auto"/>
              <w:right w:val="single" w:sz="4" w:space="0" w:color="auto"/>
            </w:tcBorders>
          </w:tcPr>
          <w:p w14:paraId="2EAC55EC" w14:textId="7AF30696" w:rsidR="00346181" w:rsidRPr="00FA7A70" w:rsidRDefault="00346181" w:rsidP="00346181">
            <w:pPr>
              <w:spacing w:before="60" w:after="40" w:line="288" w:lineRule="auto"/>
              <w:ind w:firstLine="0"/>
              <w:jc w:val="right"/>
              <w:rPr>
                <w:rFonts w:cs="Tahoma"/>
                <w:sz w:val="18"/>
                <w:szCs w:val="18"/>
              </w:rPr>
            </w:pPr>
            <w:r w:rsidRPr="00FA7A70">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24690864" w14:textId="25E68E8F" w:rsidR="00346181" w:rsidRPr="00FA7A70" w:rsidRDefault="00346181" w:rsidP="00346181">
            <w:pPr>
              <w:spacing w:before="60" w:after="40" w:line="288" w:lineRule="auto"/>
              <w:ind w:firstLine="0"/>
              <w:jc w:val="right"/>
              <w:rPr>
                <w:rFonts w:cs="Tahoma"/>
                <w:sz w:val="18"/>
                <w:szCs w:val="18"/>
              </w:rPr>
            </w:pPr>
            <w:r>
              <w:rPr>
                <w:rFonts w:cs="Tahoma"/>
                <w:sz w:val="18"/>
                <w:szCs w:val="18"/>
              </w:rPr>
              <w:t>5/5</w:t>
            </w:r>
          </w:p>
        </w:tc>
        <w:tc>
          <w:tcPr>
            <w:tcW w:w="716" w:type="dxa"/>
            <w:tcBorders>
              <w:top w:val="single" w:sz="4" w:space="0" w:color="auto"/>
              <w:left w:val="single" w:sz="4" w:space="0" w:color="auto"/>
              <w:bottom w:val="single" w:sz="4" w:space="0" w:color="auto"/>
              <w:right w:val="single" w:sz="4" w:space="0" w:color="auto"/>
            </w:tcBorders>
          </w:tcPr>
          <w:p w14:paraId="6C73AD02" w14:textId="748C2803" w:rsidR="00346181" w:rsidRPr="00FA7A70" w:rsidRDefault="00346181" w:rsidP="00346181">
            <w:pPr>
              <w:spacing w:before="60" w:after="40" w:line="288" w:lineRule="auto"/>
              <w:ind w:firstLine="0"/>
              <w:jc w:val="right"/>
              <w:rPr>
                <w:rFonts w:cs="Tahoma"/>
                <w:sz w:val="18"/>
                <w:szCs w:val="18"/>
              </w:rPr>
            </w:pPr>
            <w:r>
              <w:rPr>
                <w:rFonts w:cs="Tahoma"/>
                <w:sz w:val="18"/>
                <w:szCs w:val="18"/>
              </w:rPr>
              <w:t>2/1</w:t>
            </w:r>
          </w:p>
        </w:tc>
        <w:tc>
          <w:tcPr>
            <w:tcW w:w="716" w:type="dxa"/>
            <w:tcBorders>
              <w:top w:val="single" w:sz="4" w:space="0" w:color="auto"/>
              <w:left w:val="single" w:sz="4" w:space="0" w:color="auto"/>
              <w:bottom w:val="single" w:sz="4" w:space="0" w:color="auto"/>
              <w:right w:val="single" w:sz="4" w:space="0" w:color="auto"/>
            </w:tcBorders>
          </w:tcPr>
          <w:p w14:paraId="2CC106E9" w14:textId="42AB91E4" w:rsidR="00346181" w:rsidRPr="00FA7A70" w:rsidRDefault="00346181" w:rsidP="00346181">
            <w:pPr>
              <w:spacing w:before="60" w:after="40" w:line="288" w:lineRule="auto"/>
              <w:ind w:firstLine="0"/>
              <w:jc w:val="right"/>
              <w:rPr>
                <w:rFonts w:cs="Tahoma"/>
                <w:sz w:val="18"/>
                <w:szCs w:val="18"/>
              </w:rPr>
            </w:pPr>
            <w:r>
              <w:rPr>
                <w:rFonts w:cs="Tahoma"/>
                <w:sz w:val="18"/>
                <w:szCs w:val="18"/>
              </w:rPr>
              <w:t>5</w:t>
            </w:r>
            <w:r w:rsidRPr="00FA7A70">
              <w:rPr>
                <w:rFonts w:cs="Tahoma"/>
                <w:sz w:val="18"/>
                <w:szCs w:val="18"/>
              </w:rPr>
              <w:t>/</w:t>
            </w:r>
            <w:r>
              <w:rPr>
                <w:rFonts w:cs="Tahoma"/>
                <w:sz w:val="18"/>
                <w:szCs w:val="18"/>
              </w:rPr>
              <w:t>10</w:t>
            </w:r>
          </w:p>
        </w:tc>
        <w:tc>
          <w:tcPr>
            <w:tcW w:w="717" w:type="dxa"/>
            <w:tcBorders>
              <w:top w:val="single" w:sz="4" w:space="0" w:color="auto"/>
              <w:left w:val="single" w:sz="4" w:space="0" w:color="auto"/>
              <w:bottom w:val="single" w:sz="4" w:space="0" w:color="auto"/>
              <w:right w:val="single" w:sz="4" w:space="0" w:color="auto"/>
            </w:tcBorders>
          </w:tcPr>
          <w:p w14:paraId="0432E2C1" w14:textId="2791DEED" w:rsidR="00346181" w:rsidRPr="00FA7A70" w:rsidRDefault="00346181" w:rsidP="00346181">
            <w:pPr>
              <w:spacing w:before="60" w:after="40" w:line="288" w:lineRule="auto"/>
              <w:ind w:firstLine="0"/>
              <w:jc w:val="right"/>
              <w:rPr>
                <w:rFonts w:cs="Tahoma"/>
                <w:sz w:val="18"/>
                <w:szCs w:val="18"/>
              </w:rPr>
            </w:pPr>
            <w:r w:rsidRPr="00FA7A70">
              <w:rPr>
                <w:rFonts w:cs="Tahoma"/>
                <w:sz w:val="18"/>
                <w:szCs w:val="18"/>
              </w:rPr>
              <w:t>1</w:t>
            </w:r>
            <w:r>
              <w:rPr>
                <w:rFonts w:cs="Tahoma"/>
                <w:sz w:val="18"/>
                <w:szCs w:val="18"/>
              </w:rPr>
              <w:t>5</w:t>
            </w:r>
            <w:r w:rsidRPr="00FA7A70">
              <w:rPr>
                <w:rFonts w:cs="Tahoma"/>
                <w:sz w:val="18"/>
                <w:szCs w:val="18"/>
              </w:rPr>
              <w:t>/1</w:t>
            </w:r>
            <w:r>
              <w:rPr>
                <w:rFonts w:cs="Tahoma"/>
                <w:sz w:val="18"/>
                <w:szCs w:val="18"/>
              </w:rPr>
              <w:t>5</w:t>
            </w:r>
          </w:p>
        </w:tc>
        <w:tc>
          <w:tcPr>
            <w:tcW w:w="716" w:type="dxa"/>
            <w:tcBorders>
              <w:top w:val="single" w:sz="4" w:space="0" w:color="auto"/>
              <w:left w:val="single" w:sz="4" w:space="0" w:color="auto"/>
              <w:bottom w:val="single" w:sz="4" w:space="0" w:color="auto"/>
              <w:right w:val="single" w:sz="4" w:space="0" w:color="auto"/>
            </w:tcBorders>
          </w:tcPr>
          <w:p w14:paraId="2F31ABE1" w14:textId="08CAFBBE" w:rsidR="00346181" w:rsidRPr="00FA7A70" w:rsidRDefault="00346181" w:rsidP="00346181">
            <w:pPr>
              <w:spacing w:before="60" w:after="40" w:line="288" w:lineRule="auto"/>
              <w:ind w:firstLine="0"/>
              <w:jc w:val="right"/>
              <w:rPr>
                <w:rFonts w:cs="Tahoma"/>
                <w:sz w:val="18"/>
                <w:szCs w:val="18"/>
              </w:rPr>
            </w:pPr>
            <w:r>
              <w:rPr>
                <w:rFonts w:cs="Tahoma"/>
                <w:sz w:val="18"/>
                <w:szCs w:val="18"/>
              </w:rPr>
              <w:t>15/15</w:t>
            </w:r>
          </w:p>
        </w:tc>
        <w:tc>
          <w:tcPr>
            <w:tcW w:w="716" w:type="dxa"/>
            <w:tcBorders>
              <w:top w:val="single" w:sz="4" w:space="0" w:color="auto"/>
              <w:left w:val="single" w:sz="4" w:space="0" w:color="auto"/>
              <w:bottom w:val="single" w:sz="4" w:space="0" w:color="auto"/>
              <w:right w:val="single" w:sz="4" w:space="0" w:color="auto"/>
            </w:tcBorders>
          </w:tcPr>
          <w:p w14:paraId="0EF82CBC" w14:textId="1BB5C169" w:rsidR="00346181" w:rsidRPr="00FA7A70" w:rsidRDefault="00346181" w:rsidP="00346181">
            <w:pPr>
              <w:spacing w:before="60" w:after="40" w:line="288" w:lineRule="auto"/>
              <w:ind w:firstLine="0"/>
              <w:jc w:val="right"/>
              <w:rPr>
                <w:rFonts w:cs="Tahoma"/>
                <w:sz w:val="18"/>
                <w:szCs w:val="18"/>
              </w:rPr>
            </w:pPr>
            <w:r w:rsidRPr="00FA7A70">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1F9B9F32" w14:textId="1DEDB862" w:rsidR="00346181" w:rsidRPr="00FA7A70" w:rsidRDefault="00346181" w:rsidP="00346181">
            <w:pPr>
              <w:spacing w:before="60" w:after="40" w:line="288" w:lineRule="auto"/>
              <w:ind w:firstLine="0"/>
              <w:jc w:val="right"/>
              <w:rPr>
                <w:rFonts w:cs="Tahoma"/>
                <w:sz w:val="18"/>
                <w:szCs w:val="18"/>
              </w:rPr>
            </w:pPr>
            <w:r w:rsidRPr="00FA7A70">
              <w:rPr>
                <w:rFonts w:cs="Tahoma"/>
                <w:sz w:val="18"/>
                <w:szCs w:val="18"/>
              </w:rPr>
              <w:t>-/-</w:t>
            </w:r>
          </w:p>
        </w:tc>
      </w:tr>
      <w:tr w:rsidR="00346181" w:rsidRPr="00A00B9B" w14:paraId="5A44B609"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4B0B7E71" w14:textId="77777777" w:rsidR="00346181" w:rsidRPr="00A00B9B" w:rsidRDefault="00346181" w:rsidP="00346181">
            <w:pPr>
              <w:spacing w:before="60" w:after="40" w:line="288" w:lineRule="auto"/>
              <w:ind w:firstLine="0"/>
              <w:jc w:val="center"/>
              <w:rPr>
                <w:rFonts w:cs="Tahoma"/>
                <w:sz w:val="18"/>
                <w:szCs w:val="18"/>
              </w:rPr>
            </w:pPr>
            <w:r w:rsidRPr="00A00B9B">
              <w:rPr>
                <w:rFonts w:cs="Tahoma"/>
                <w:sz w:val="18"/>
                <w:szCs w:val="18"/>
              </w:rPr>
              <w:t>1b</w:t>
            </w:r>
          </w:p>
        </w:tc>
        <w:tc>
          <w:tcPr>
            <w:tcW w:w="1985" w:type="dxa"/>
            <w:tcBorders>
              <w:top w:val="single" w:sz="4" w:space="0" w:color="auto"/>
              <w:left w:val="single" w:sz="4" w:space="0" w:color="auto"/>
              <w:bottom w:val="single" w:sz="4" w:space="0" w:color="auto"/>
              <w:right w:val="single" w:sz="4" w:space="0" w:color="auto"/>
            </w:tcBorders>
            <w:vAlign w:val="center"/>
          </w:tcPr>
          <w:p w14:paraId="12FE9F74" w14:textId="77777777" w:rsidR="00346181" w:rsidRPr="00A00B9B" w:rsidRDefault="00346181" w:rsidP="00346181">
            <w:pPr>
              <w:spacing w:before="60" w:after="40" w:line="288" w:lineRule="auto"/>
              <w:ind w:firstLine="0"/>
              <w:jc w:val="left"/>
              <w:rPr>
                <w:rFonts w:cs="Tahoma"/>
                <w:sz w:val="18"/>
                <w:szCs w:val="18"/>
              </w:rPr>
            </w:pPr>
            <w:r w:rsidRPr="00A00B9B">
              <w:rPr>
                <w:rFonts w:cs="Tahoma"/>
                <w:sz w:val="18"/>
                <w:szCs w:val="18"/>
              </w:rPr>
              <w:t xml:space="preserve">Stan na koniec roku </w:t>
            </w:r>
          </w:p>
        </w:tc>
        <w:tc>
          <w:tcPr>
            <w:tcW w:w="716" w:type="dxa"/>
            <w:tcBorders>
              <w:top w:val="single" w:sz="4" w:space="0" w:color="auto"/>
              <w:left w:val="single" w:sz="4" w:space="0" w:color="auto"/>
              <w:bottom w:val="single" w:sz="4" w:space="0" w:color="auto"/>
              <w:right w:val="single" w:sz="4" w:space="0" w:color="auto"/>
            </w:tcBorders>
            <w:vAlign w:val="center"/>
          </w:tcPr>
          <w:p w14:paraId="4D37D5EB" w14:textId="4FE420E6" w:rsidR="00346181" w:rsidRPr="00A00B9B" w:rsidRDefault="00346181" w:rsidP="00346181">
            <w:pPr>
              <w:spacing w:before="60" w:after="40" w:line="288" w:lineRule="auto"/>
              <w:ind w:firstLine="0"/>
              <w:jc w:val="right"/>
              <w:rPr>
                <w:rFonts w:cs="Tahoma"/>
                <w:sz w:val="18"/>
                <w:szCs w:val="18"/>
              </w:rPr>
            </w:pPr>
            <w:r>
              <w:rPr>
                <w:rFonts w:cs="Tahoma"/>
                <w:sz w:val="18"/>
                <w:szCs w:val="18"/>
              </w:rPr>
              <w:t>98</w:t>
            </w:r>
          </w:p>
        </w:tc>
        <w:tc>
          <w:tcPr>
            <w:tcW w:w="716" w:type="dxa"/>
            <w:tcBorders>
              <w:top w:val="single" w:sz="4" w:space="0" w:color="auto"/>
              <w:left w:val="single" w:sz="4" w:space="0" w:color="auto"/>
              <w:bottom w:val="single" w:sz="4" w:space="0" w:color="auto"/>
              <w:right w:val="single" w:sz="4" w:space="0" w:color="auto"/>
            </w:tcBorders>
          </w:tcPr>
          <w:p w14:paraId="72167BB9" w14:textId="084033A9" w:rsidR="00346181" w:rsidRPr="00A00B9B" w:rsidRDefault="00346181" w:rsidP="00346181">
            <w:pPr>
              <w:spacing w:before="60" w:after="40" w:line="288" w:lineRule="auto"/>
              <w:ind w:firstLine="0"/>
              <w:jc w:val="right"/>
              <w:rPr>
                <w:rFonts w:cs="Tahoma"/>
                <w:sz w:val="18"/>
                <w:szCs w:val="18"/>
              </w:rPr>
            </w:pPr>
            <w:r>
              <w:rPr>
                <w:rFonts w:cs="Tahoma"/>
                <w:sz w:val="18"/>
                <w:szCs w:val="18"/>
              </w:rPr>
              <w:t>9</w:t>
            </w:r>
            <w:r w:rsidRPr="001A6EFE">
              <w:rPr>
                <w:rFonts w:cs="Tahoma"/>
                <w:sz w:val="18"/>
                <w:szCs w:val="18"/>
              </w:rPr>
              <w:t>3</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39562DD" w14:textId="07A71012" w:rsidR="00346181" w:rsidRPr="00A00B9B" w:rsidRDefault="00346181" w:rsidP="00346181">
            <w:pPr>
              <w:spacing w:before="60" w:after="40" w:line="288" w:lineRule="auto"/>
              <w:ind w:firstLine="0"/>
              <w:jc w:val="right"/>
              <w:rPr>
                <w:rFonts w:cs="Tahoma"/>
                <w:sz w:val="18"/>
                <w:szCs w:val="18"/>
              </w:rPr>
            </w:pPr>
            <w:r>
              <w:rPr>
                <w:rFonts w:cs="Tahoma"/>
                <w:sz w:val="18"/>
                <w:szCs w:val="18"/>
              </w:rPr>
              <w:t>93</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74FE9F75" w14:textId="00FF3BBA" w:rsidR="00346181" w:rsidRPr="00A00B9B" w:rsidRDefault="00346181" w:rsidP="00346181">
            <w:pPr>
              <w:spacing w:before="60" w:after="40" w:line="288" w:lineRule="auto"/>
              <w:ind w:firstLine="0"/>
              <w:jc w:val="right"/>
              <w:rPr>
                <w:rFonts w:cs="Tahoma"/>
                <w:sz w:val="18"/>
                <w:szCs w:val="18"/>
              </w:rPr>
            </w:pPr>
            <w:r>
              <w:rPr>
                <w:rFonts w:cs="Tahoma"/>
                <w:sz w:val="18"/>
                <w:szCs w:val="18"/>
              </w:rPr>
              <w:t>71</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7385046" w14:textId="2B4BB8EF" w:rsidR="00346181" w:rsidRPr="00A00B9B" w:rsidRDefault="00346181" w:rsidP="00346181">
            <w:pPr>
              <w:spacing w:before="60" w:after="40" w:line="288" w:lineRule="auto"/>
              <w:ind w:firstLine="0"/>
              <w:jc w:val="right"/>
              <w:rPr>
                <w:rFonts w:cs="Tahoma"/>
                <w:sz w:val="18"/>
                <w:szCs w:val="18"/>
              </w:rPr>
            </w:pPr>
            <w:r>
              <w:rPr>
                <w:rFonts w:cs="Tahoma"/>
                <w:sz w:val="18"/>
                <w:szCs w:val="18"/>
              </w:rPr>
              <w:t>71</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766C8889" w14:textId="58F6B991" w:rsidR="00346181" w:rsidRPr="00A00B9B" w:rsidRDefault="00346181" w:rsidP="00346181">
            <w:pPr>
              <w:spacing w:before="60" w:after="40" w:line="288" w:lineRule="auto"/>
              <w:ind w:firstLine="0"/>
              <w:jc w:val="right"/>
              <w:rPr>
                <w:rFonts w:cs="Tahoma"/>
                <w:sz w:val="18"/>
                <w:szCs w:val="18"/>
              </w:rPr>
            </w:pPr>
            <w:r>
              <w:rPr>
                <w:rFonts w:cs="Tahoma"/>
                <w:sz w:val="18"/>
                <w:szCs w:val="18"/>
              </w:rPr>
              <w:t>71</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3CBEDA51" w14:textId="11C73B38" w:rsidR="00346181" w:rsidRPr="00A00B9B" w:rsidRDefault="00346181" w:rsidP="00346181">
            <w:pPr>
              <w:spacing w:before="60" w:after="40" w:line="288" w:lineRule="auto"/>
              <w:ind w:firstLine="0"/>
              <w:jc w:val="right"/>
              <w:rPr>
                <w:rFonts w:cs="Tahoma"/>
                <w:sz w:val="18"/>
                <w:szCs w:val="18"/>
              </w:rPr>
            </w:pPr>
            <w:r>
              <w:rPr>
                <w:rFonts w:cs="Tahoma"/>
                <w:sz w:val="18"/>
                <w:szCs w:val="18"/>
              </w:rPr>
              <w:t>61</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0CA3AA8" w14:textId="23FE4B4D" w:rsidR="00346181" w:rsidRPr="00A00B9B" w:rsidRDefault="00456597" w:rsidP="00346181">
            <w:pPr>
              <w:spacing w:before="60" w:after="40" w:line="288" w:lineRule="auto"/>
              <w:ind w:firstLine="0"/>
              <w:jc w:val="right"/>
              <w:rPr>
                <w:rFonts w:cs="Tahoma"/>
                <w:sz w:val="18"/>
                <w:szCs w:val="18"/>
              </w:rPr>
            </w:pPr>
            <w:r>
              <w:rPr>
                <w:rFonts w:cs="Tahoma"/>
                <w:sz w:val="18"/>
                <w:szCs w:val="18"/>
              </w:rPr>
              <w:t>46</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93901B7" w14:textId="2457A6B2" w:rsidR="00346181" w:rsidRPr="00A00B9B" w:rsidRDefault="00456597" w:rsidP="00346181">
            <w:pPr>
              <w:spacing w:before="60" w:after="40" w:line="288" w:lineRule="auto"/>
              <w:ind w:firstLine="0"/>
              <w:jc w:val="right"/>
              <w:rPr>
                <w:rFonts w:cs="Tahoma"/>
                <w:sz w:val="18"/>
                <w:szCs w:val="18"/>
              </w:rPr>
            </w:pPr>
            <w:r>
              <w:rPr>
                <w:rFonts w:cs="Tahoma"/>
                <w:sz w:val="18"/>
                <w:szCs w:val="18"/>
              </w:rPr>
              <w:t>46</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4B03BCA5" w14:textId="052444FB" w:rsidR="00346181" w:rsidRPr="00A00B9B" w:rsidRDefault="00456597" w:rsidP="00346181">
            <w:pPr>
              <w:spacing w:before="60" w:after="40" w:line="288" w:lineRule="auto"/>
              <w:ind w:firstLine="0"/>
              <w:jc w:val="right"/>
              <w:rPr>
                <w:rFonts w:cs="Tahoma"/>
                <w:sz w:val="18"/>
                <w:szCs w:val="18"/>
              </w:rPr>
            </w:pPr>
            <w:r>
              <w:rPr>
                <w:rFonts w:cs="Tahoma"/>
                <w:sz w:val="18"/>
                <w:szCs w:val="18"/>
              </w:rPr>
              <w:t>46</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968F236" w14:textId="0021EA89" w:rsidR="00346181" w:rsidRPr="00A00B9B" w:rsidRDefault="00456597" w:rsidP="00346181">
            <w:pPr>
              <w:spacing w:before="60" w:after="40" w:line="288" w:lineRule="auto"/>
              <w:ind w:firstLine="0"/>
              <w:jc w:val="right"/>
              <w:rPr>
                <w:rFonts w:cs="Tahoma"/>
                <w:sz w:val="18"/>
                <w:szCs w:val="18"/>
              </w:rPr>
            </w:pPr>
            <w:r>
              <w:rPr>
                <w:rFonts w:cs="Tahoma"/>
                <w:sz w:val="18"/>
                <w:szCs w:val="18"/>
              </w:rPr>
              <w:t>47</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7A20ED83" w14:textId="5050242E" w:rsidR="00346181" w:rsidRPr="00A00B9B" w:rsidRDefault="00456597" w:rsidP="00346181">
            <w:pPr>
              <w:spacing w:before="60" w:after="40" w:line="288" w:lineRule="auto"/>
              <w:ind w:firstLine="0"/>
              <w:jc w:val="right"/>
              <w:rPr>
                <w:rFonts w:cs="Tahoma"/>
                <w:sz w:val="18"/>
                <w:szCs w:val="18"/>
              </w:rPr>
            </w:pPr>
            <w:r>
              <w:rPr>
                <w:rFonts w:cs="Tahoma"/>
                <w:sz w:val="18"/>
                <w:szCs w:val="18"/>
              </w:rPr>
              <w:t>42</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5C44AA02" w14:textId="09E62159" w:rsidR="00346181" w:rsidRPr="00A00B9B" w:rsidRDefault="00456597" w:rsidP="00346181">
            <w:pPr>
              <w:spacing w:before="60" w:after="40" w:line="288" w:lineRule="auto"/>
              <w:ind w:firstLine="0"/>
              <w:jc w:val="right"/>
              <w:rPr>
                <w:rFonts w:cs="Tahoma"/>
                <w:sz w:val="18"/>
                <w:szCs w:val="18"/>
              </w:rPr>
            </w:pPr>
            <w:r>
              <w:rPr>
                <w:rFonts w:cs="Tahoma"/>
                <w:sz w:val="18"/>
                <w:szCs w:val="18"/>
              </w:rPr>
              <w:t>42</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513AEC76" w14:textId="1CB63CDB" w:rsidR="00346181" w:rsidRPr="00A00B9B" w:rsidRDefault="00456597" w:rsidP="00346181">
            <w:pPr>
              <w:spacing w:before="60" w:after="40" w:line="288" w:lineRule="auto"/>
              <w:ind w:firstLine="0"/>
              <w:jc w:val="right"/>
              <w:rPr>
                <w:rFonts w:cs="Tahoma"/>
                <w:sz w:val="18"/>
                <w:szCs w:val="18"/>
              </w:rPr>
            </w:pPr>
            <w:r>
              <w:rPr>
                <w:rFonts w:cs="Tahoma"/>
                <w:sz w:val="18"/>
                <w:szCs w:val="18"/>
              </w:rPr>
              <w:t>42</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1828D8F" w14:textId="3D461542" w:rsidR="00346181" w:rsidRPr="00A00B9B" w:rsidRDefault="00456597" w:rsidP="00346181">
            <w:pPr>
              <w:spacing w:before="60" w:after="40" w:line="288" w:lineRule="auto"/>
              <w:ind w:firstLine="0"/>
              <w:jc w:val="right"/>
              <w:rPr>
                <w:rFonts w:cs="Tahoma"/>
                <w:sz w:val="18"/>
                <w:szCs w:val="18"/>
              </w:rPr>
            </w:pPr>
            <w:r>
              <w:rPr>
                <w:rFonts w:cs="Tahoma"/>
                <w:sz w:val="18"/>
                <w:szCs w:val="18"/>
              </w:rPr>
              <w:t>42</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5C8E4D9F" w14:textId="00FB4564" w:rsidR="00346181" w:rsidRPr="00A00B9B" w:rsidRDefault="00456597" w:rsidP="00346181">
            <w:pPr>
              <w:spacing w:before="60" w:after="40" w:line="288" w:lineRule="auto"/>
              <w:ind w:firstLine="0"/>
              <w:jc w:val="right"/>
              <w:rPr>
                <w:rFonts w:cs="Tahoma"/>
                <w:sz w:val="18"/>
                <w:szCs w:val="18"/>
              </w:rPr>
            </w:pPr>
            <w:r>
              <w:rPr>
                <w:rFonts w:cs="Tahoma"/>
                <w:sz w:val="18"/>
                <w:szCs w:val="18"/>
              </w:rPr>
              <w:t>42</w:t>
            </w:r>
          </w:p>
        </w:tc>
      </w:tr>
      <w:tr w:rsidR="00346181" w:rsidRPr="00A00B9B" w14:paraId="6C035660" w14:textId="77777777" w:rsidTr="00786BBC">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190858FB" w14:textId="77777777" w:rsidR="00346181" w:rsidRPr="00A00B9B" w:rsidRDefault="00346181" w:rsidP="00346181">
            <w:pPr>
              <w:spacing w:before="60" w:after="40" w:line="288" w:lineRule="auto"/>
              <w:ind w:firstLine="0"/>
              <w:jc w:val="center"/>
              <w:rPr>
                <w:rFonts w:cs="Tahoma"/>
                <w:b/>
                <w:sz w:val="18"/>
                <w:szCs w:val="18"/>
              </w:rPr>
            </w:pPr>
            <w:r w:rsidRPr="00A00B9B">
              <w:rPr>
                <w:rFonts w:cs="Tahoma"/>
                <w:b/>
                <w:sz w:val="18"/>
                <w:szCs w:val="18"/>
              </w:rPr>
              <w:t>2</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704A4343" w14:textId="70308B19" w:rsidR="00346181" w:rsidRPr="00A00B9B" w:rsidRDefault="00346181" w:rsidP="00346181">
            <w:pPr>
              <w:spacing w:before="60" w:after="40" w:line="288" w:lineRule="auto"/>
              <w:ind w:firstLine="0"/>
              <w:jc w:val="left"/>
              <w:rPr>
                <w:rFonts w:cs="Tahoma"/>
                <w:b/>
                <w:sz w:val="18"/>
                <w:szCs w:val="18"/>
              </w:rPr>
            </w:pPr>
            <w:r w:rsidRPr="00A00B9B">
              <w:rPr>
                <w:rFonts w:cs="Tahoma"/>
                <w:b/>
                <w:sz w:val="18"/>
                <w:szCs w:val="18"/>
              </w:rPr>
              <w:t xml:space="preserve">Autobusy </w:t>
            </w:r>
            <w:r>
              <w:rPr>
                <w:rFonts w:cs="Tahoma"/>
                <w:b/>
                <w:sz w:val="18"/>
                <w:szCs w:val="18"/>
              </w:rPr>
              <w:t>CNG</w:t>
            </w:r>
          </w:p>
        </w:tc>
      </w:tr>
      <w:tr w:rsidR="00346181" w:rsidRPr="00A00B9B" w14:paraId="7AA89BC3" w14:textId="77777777" w:rsidTr="000F6DBA">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7159696" w14:textId="77777777" w:rsidR="00346181" w:rsidRPr="00A00B9B" w:rsidRDefault="00346181" w:rsidP="00346181">
            <w:pPr>
              <w:spacing w:before="60" w:after="40" w:line="288" w:lineRule="auto"/>
              <w:ind w:firstLine="0"/>
              <w:jc w:val="center"/>
              <w:rPr>
                <w:rFonts w:cs="Tahoma"/>
                <w:sz w:val="18"/>
                <w:szCs w:val="18"/>
              </w:rPr>
            </w:pPr>
            <w:r w:rsidRPr="00A00B9B">
              <w:rPr>
                <w:rFonts w:cs="Tahoma"/>
                <w:sz w:val="18"/>
                <w:szCs w:val="18"/>
              </w:rPr>
              <w:t>2a</w:t>
            </w:r>
          </w:p>
        </w:tc>
        <w:tc>
          <w:tcPr>
            <w:tcW w:w="1985" w:type="dxa"/>
            <w:tcBorders>
              <w:top w:val="single" w:sz="4" w:space="0" w:color="auto"/>
              <w:left w:val="single" w:sz="4" w:space="0" w:color="auto"/>
              <w:bottom w:val="single" w:sz="4" w:space="0" w:color="auto"/>
              <w:right w:val="single" w:sz="4" w:space="0" w:color="auto"/>
            </w:tcBorders>
            <w:vAlign w:val="center"/>
          </w:tcPr>
          <w:p w14:paraId="723EE01E" w14:textId="77777777" w:rsidR="00346181" w:rsidRPr="00A00B9B" w:rsidRDefault="00346181" w:rsidP="00346181">
            <w:pPr>
              <w:spacing w:before="60" w:after="40" w:line="288" w:lineRule="auto"/>
              <w:ind w:firstLine="0"/>
              <w:jc w:val="left"/>
              <w:rPr>
                <w:rFonts w:cs="Tahoma"/>
                <w:sz w:val="18"/>
                <w:szCs w:val="18"/>
              </w:rPr>
            </w:pPr>
            <w:r w:rsidRPr="00A00B9B">
              <w:rPr>
                <w:rFonts w:cs="Tahoma"/>
                <w:sz w:val="18"/>
                <w:szCs w:val="18"/>
              </w:rPr>
              <w:t>Zakup/wycofanie</w:t>
            </w:r>
          </w:p>
        </w:tc>
        <w:tc>
          <w:tcPr>
            <w:tcW w:w="716" w:type="dxa"/>
            <w:tcBorders>
              <w:top w:val="single" w:sz="4" w:space="0" w:color="auto"/>
              <w:left w:val="single" w:sz="4" w:space="0" w:color="auto"/>
              <w:bottom w:val="single" w:sz="4" w:space="0" w:color="auto"/>
              <w:right w:val="single" w:sz="4" w:space="0" w:color="auto"/>
            </w:tcBorders>
            <w:vAlign w:val="center"/>
          </w:tcPr>
          <w:p w14:paraId="7128C0C1" w14:textId="62AA17E1" w:rsidR="00346181" w:rsidRPr="00A00B9B" w:rsidRDefault="00346181" w:rsidP="00346181">
            <w:pPr>
              <w:spacing w:before="60" w:after="40" w:line="288" w:lineRule="auto"/>
              <w:ind w:firstLine="0"/>
              <w:jc w:val="right"/>
              <w:rPr>
                <w:rFonts w:cs="Tahoma"/>
                <w:sz w:val="18"/>
                <w:szCs w:val="18"/>
              </w:rPr>
            </w:pPr>
            <w:r>
              <w:rPr>
                <w:rFonts w:cs="Tahoma"/>
                <w:sz w:val="18"/>
                <w:szCs w:val="18"/>
              </w:rPr>
              <w:t>-</w:t>
            </w: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43778EA5" w14:textId="18EF71DF"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5CA82462" w14:textId="7CFAA97E" w:rsidR="00346181" w:rsidRPr="00A00B9B" w:rsidRDefault="00346181" w:rsidP="00346181">
            <w:pPr>
              <w:spacing w:before="60" w:after="40" w:line="288" w:lineRule="auto"/>
              <w:ind w:firstLine="0"/>
              <w:jc w:val="right"/>
              <w:rPr>
                <w:rFonts w:cs="Tahoma"/>
                <w:sz w:val="18"/>
                <w:szCs w:val="18"/>
              </w:rPr>
            </w:pPr>
            <w:r>
              <w:rPr>
                <w:rFonts w:cs="Tahoma"/>
                <w:sz w:val="18"/>
                <w:szCs w:val="18"/>
              </w:rPr>
              <w:t>18</w:t>
            </w:r>
            <w:r w:rsidRPr="00A00B9B">
              <w:rPr>
                <w:rFonts w:cs="Tahoma"/>
                <w:sz w:val="18"/>
                <w:szCs w:val="18"/>
              </w:rPr>
              <w:t>/</w:t>
            </w:r>
            <w:r>
              <w:rPr>
                <w:rFonts w:cs="Tahoma"/>
                <w:sz w:val="18"/>
                <w:szCs w:val="18"/>
              </w:rPr>
              <w:t>21</w:t>
            </w:r>
          </w:p>
        </w:tc>
        <w:tc>
          <w:tcPr>
            <w:tcW w:w="717" w:type="dxa"/>
            <w:tcBorders>
              <w:top w:val="single" w:sz="4" w:space="0" w:color="auto"/>
              <w:left w:val="single" w:sz="4" w:space="0" w:color="auto"/>
              <w:bottom w:val="single" w:sz="4" w:space="0" w:color="auto"/>
              <w:right w:val="single" w:sz="4" w:space="0" w:color="auto"/>
            </w:tcBorders>
            <w:vAlign w:val="center"/>
          </w:tcPr>
          <w:p w14:paraId="3988B8A4" w14:textId="0D4FE9EB" w:rsidR="00346181" w:rsidRPr="00A00B9B" w:rsidRDefault="00346181" w:rsidP="00346181">
            <w:pPr>
              <w:spacing w:before="60" w:after="40" w:line="288" w:lineRule="auto"/>
              <w:ind w:firstLine="0"/>
              <w:jc w:val="right"/>
              <w:rPr>
                <w:rFonts w:cs="Tahoma"/>
                <w:sz w:val="18"/>
                <w:szCs w:val="18"/>
              </w:rPr>
            </w:pPr>
            <w:r>
              <w:rPr>
                <w:rFonts w:cs="Tahoma"/>
                <w:sz w:val="18"/>
                <w:szCs w:val="18"/>
              </w:rPr>
              <w:t>-/6</w:t>
            </w:r>
          </w:p>
        </w:tc>
        <w:tc>
          <w:tcPr>
            <w:tcW w:w="716" w:type="dxa"/>
            <w:tcBorders>
              <w:top w:val="single" w:sz="4" w:space="0" w:color="auto"/>
              <w:left w:val="single" w:sz="4" w:space="0" w:color="auto"/>
              <w:bottom w:val="single" w:sz="4" w:space="0" w:color="auto"/>
              <w:right w:val="single" w:sz="4" w:space="0" w:color="auto"/>
            </w:tcBorders>
            <w:vAlign w:val="center"/>
          </w:tcPr>
          <w:p w14:paraId="4D203AC7" w14:textId="21DDA7C0"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687BBDE8" w14:textId="7669AB7D"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6E315069" w14:textId="0997A776" w:rsidR="00346181" w:rsidRPr="00A00B9B" w:rsidRDefault="00346181" w:rsidP="00346181">
            <w:pPr>
              <w:spacing w:before="60" w:after="40" w:line="288" w:lineRule="auto"/>
              <w:ind w:firstLine="0"/>
              <w:jc w:val="right"/>
              <w:rPr>
                <w:rFonts w:cs="Tahoma"/>
                <w:sz w:val="18"/>
                <w:szCs w:val="18"/>
              </w:rPr>
            </w:pPr>
            <w:r>
              <w:rPr>
                <w:rFonts w:cs="Tahoma"/>
                <w:sz w:val="18"/>
                <w:szCs w:val="18"/>
              </w:rPr>
              <w:t>8/20</w:t>
            </w:r>
          </w:p>
        </w:tc>
        <w:tc>
          <w:tcPr>
            <w:tcW w:w="716" w:type="dxa"/>
            <w:tcBorders>
              <w:top w:val="single" w:sz="4" w:space="0" w:color="auto"/>
              <w:left w:val="single" w:sz="4" w:space="0" w:color="auto"/>
              <w:bottom w:val="single" w:sz="4" w:space="0" w:color="auto"/>
              <w:right w:val="single" w:sz="4" w:space="0" w:color="auto"/>
            </w:tcBorders>
            <w:vAlign w:val="center"/>
          </w:tcPr>
          <w:p w14:paraId="74E6B1E5" w14:textId="01A8D1F4" w:rsidR="00346181" w:rsidRPr="00A00B9B" w:rsidRDefault="00456597" w:rsidP="00346181">
            <w:pPr>
              <w:spacing w:before="60" w:after="40" w:line="288" w:lineRule="auto"/>
              <w:ind w:firstLine="0"/>
              <w:jc w:val="right"/>
              <w:rPr>
                <w:rFonts w:cs="Tahoma"/>
                <w:sz w:val="18"/>
                <w:szCs w:val="18"/>
              </w:rPr>
            </w:pPr>
            <w:r>
              <w:rPr>
                <w:rFonts w:cs="Tahoma"/>
                <w:sz w:val="18"/>
                <w:szCs w:val="18"/>
              </w:rPr>
              <w:t>21</w:t>
            </w:r>
            <w:r w:rsidR="00346181">
              <w:rPr>
                <w:rFonts w:cs="Tahoma"/>
                <w:sz w:val="18"/>
                <w:szCs w:val="18"/>
              </w:rPr>
              <w:t>/10</w:t>
            </w:r>
          </w:p>
        </w:tc>
        <w:tc>
          <w:tcPr>
            <w:tcW w:w="716" w:type="dxa"/>
            <w:tcBorders>
              <w:top w:val="single" w:sz="4" w:space="0" w:color="auto"/>
              <w:left w:val="single" w:sz="4" w:space="0" w:color="auto"/>
              <w:bottom w:val="single" w:sz="4" w:space="0" w:color="auto"/>
              <w:right w:val="single" w:sz="4" w:space="0" w:color="auto"/>
            </w:tcBorders>
            <w:vAlign w:val="center"/>
          </w:tcPr>
          <w:p w14:paraId="514391CE" w14:textId="2A61D07A"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283D702B" w14:textId="3D77F25B"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5804DD6A" w14:textId="430A2056"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r>
              <w:rPr>
                <w:rFonts w:cs="Tahoma"/>
                <w:sz w:val="18"/>
                <w:szCs w:val="18"/>
              </w:rPr>
              <w:t>1</w:t>
            </w:r>
          </w:p>
        </w:tc>
        <w:tc>
          <w:tcPr>
            <w:tcW w:w="716" w:type="dxa"/>
            <w:tcBorders>
              <w:top w:val="single" w:sz="4" w:space="0" w:color="auto"/>
              <w:left w:val="single" w:sz="4" w:space="0" w:color="auto"/>
              <w:bottom w:val="single" w:sz="4" w:space="0" w:color="auto"/>
              <w:right w:val="single" w:sz="4" w:space="0" w:color="auto"/>
            </w:tcBorders>
            <w:vAlign w:val="center"/>
          </w:tcPr>
          <w:p w14:paraId="4DAF0366" w14:textId="41E561FB"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4E223C5E" w14:textId="70FC423E"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1272B399" w14:textId="706977F0" w:rsidR="00346181" w:rsidRPr="00A00B9B" w:rsidRDefault="00346181" w:rsidP="00346181">
            <w:pPr>
              <w:spacing w:before="60" w:after="40" w:line="288" w:lineRule="auto"/>
              <w:ind w:firstLine="0"/>
              <w:jc w:val="right"/>
              <w:rPr>
                <w:rFonts w:cs="Tahoma"/>
                <w:sz w:val="18"/>
                <w:szCs w:val="18"/>
              </w:rPr>
            </w:pPr>
            <w:r>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D4C495B" w14:textId="27253014" w:rsidR="00346181" w:rsidRPr="00A00B9B" w:rsidRDefault="00346181" w:rsidP="00346181">
            <w:pPr>
              <w:spacing w:before="60" w:after="40" w:line="288" w:lineRule="auto"/>
              <w:ind w:firstLine="0"/>
              <w:jc w:val="right"/>
              <w:rPr>
                <w:rFonts w:cs="Tahoma"/>
                <w:sz w:val="18"/>
                <w:szCs w:val="18"/>
              </w:rPr>
            </w:pPr>
            <w:r>
              <w:rPr>
                <w:rFonts w:cs="Tahoma"/>
                <w:sz w:val="18"/>
                <w:szCs w:val="18"/>
              </w:rPr>
              <w:t>20/20</w:t>
            </w:r>
          </w:p>
        </w:tc>
        <w:tc>
          <w:tcPr>
            <w:tcW w:w="717" w:type="dxa"/>
            <w:tcBorders>
              <w:top w:val="single" w:sz="4" w:space="0" w:color="auto"/>
              <w:left w:val="single" w:sz="4" w:space="0" w:color="auto"/>
              <w:bottom w:val="single" w:sz="4" w:space="0" w:color="auto"/>
              <w:right w:val="single" w:sz="4" w:space="0" w:color="auto"/>
            </w:tcBorders>
            <w:vAlign w:val="center"/>
          </w:tcPr>
          <w:p w14:paraId="5560B911" w14:textId="463635D3" w:rsidR="00346181" w:rsidRPr="00A00B9B" w:rsidRDefault="00346181" w:rsidP="00346181">
            <w:pPr>
              <w:spacing w:before="60" w:after="40" w:line="288" w:lineRule="auto"/>
              <w:ind w:firstLine="0"/>
              <w:jc w:val="right"/>
              <w:rPr>
                <w:rFonts w:cs="Tahoma"/>
                <w:sz w:val="18"/>
                <w:szCs w:val="18"/>
              </w:rPr>
            </w:pPr>
            <w:r>
              <w:rPr>
                <w:rFonts w:cs="Tahoma"/>
                <w:sz w:val="18"/>
                <w:szCs w:val="18"/>
              </w:rPr>
              <w:t>20/20</w:t>
            </w:r>
          </w:p>
        </w:tc>
      </w:tr>
      <w:tr w:rsidR="00346181" w:rsidRPr="00A00B9B" w14:paraId="66710151" w14:textId="77777777" w:rsidTr="000F6DBA">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16C78D5" w14:textId="77777777" w:rsidR="00346181" w:rsidRPr="00A00B9B" w:rsidRDefault="00346181" w:rsidP="00346181">
            <w:pPr>
              <w:spacing w:before="60" w:after="40" w:line="288" w:lineRule="auto"/>
              <w:ind w:firstLine="0"/>
              <w:jc w:val="center"/>
              <w:rPr>
                <w:rFonts w:cs="Tahoma"/>
                <w:sz w:val="18"/>
                <w:szCs w:val="18"/>
              </w:rPr>
            </w:pPr>
            <w:r w:rsidRPr="00A00B9B">
              <w:rPr>
                <w:rFonts w:cs="Tahoma"/>
                <w:sz w:val="18"/>
                <w:szCs w:val="18"/>
              </w:rPr>
              <w:t>2b</w:t>
            </w:r>
          </w:p>
        </w:tc>
        <w:tc>
          <w:tcPr>
            <w:tcW w:w="1985" w:type="dxa"/>
            <w:tcBorders>
              <w:top w:val="single" w:sz="4" w:space="0" w:color="auto"/>
              <w:left w:val="single" w:sz="4" w:space="0" w:color="auto"/>
              <w:bottom w:val="single" w:sz="4" w:space="0" w:color="auto"/>
              <w:right w:val="single" w:sz="4" w:space="0" w:color="auto"/>
            </w:tcBorders>
            <w:vAlign w:val="center"/>
          </w:tcPr>
          <w:p w14:paraId="296459EC" w14:textId="77777777" w:rsidR="00346181" w:rsidRPr="00A00B9B" w:rsidRDefault="00346181" w:rsidP="00346181">
            <w:pPr>
              <w:spacing w:before="60" w:after="40" w:line="288" w:lineRule="auto"/>
              <w:ind w:firstLine="0"/>
              <w:jc w:val="left"/>
              <w:rPr>
                <w:rFonts w:cs="Tahoma"/>
                <w:sz w:val="18"/>
                <w:szCs w:val="18"/>
              </w:rPr>
            </w:pPr>
            <w:r w:rsidRPr="00A00B9B">
              <w:rPr>
                <w:rFonts w:cs="Tahoma"/>
                <w:sz w:val="18"/>
                <w:szCs w:val="18"/>
              </w:rPr>
              <w:t>Stan na koniec roku</w:t>
            </w:r>
          </w:p>
        </w:tc>
        <w:tc>
          <w:tcPr>
            <w:tcW w:w="716" w:type="dxa"/>
            <w:tcBorders>
              <w:top w:val="single" w:sz="4" w:space="0" w:color="auto"/>
              <w:left w:val="single" w:sz="4" w:space="0" w:color="auto"/>
              <w:bottom w:val="single" w:sz="4" w:space="0" w:color="auto"/>
              <w:right w:val="single" w:sz="4" w:space="0" w:color="auto"/>
            </w:tcBorders>
            <w:vAlign w:val="center"/>
          </w:tcPr>
          <w:p w14:paraId="09DA84B6" w14:textId="42AE60A1" w:rsidR="00346181" w:rsidRPr="00A00B9B" w:rsidRDefault="00346181" w:rsidP="00346181">
            <w:pPr>
              <w:spacing w:before="60" w:after="40" w:line="288" w:lineRule="auto"/>
              <w:ind w:firstLine="0"/>
              <w:jc w:val="right"/>
              <w:rPr>
                <w:rFonts w:cs="Tahoma"/>
                <w:sz w:val="18"/>
                <w:szCs w:val="18"/>
              </w:rPr>
            </w:pPr>
            <w:r>
              <w:rPr>
                <w:rFonts w:cs="Tahoma"/>
                <w:sz w:val="18"/>
                <w:szCs w:val="18"/>
              </w:rPr>
              <w:t>118</w:t>
            </w:r>
          </w:p>
        </w:tc>
        <w:tc>
          <w:tcPr>
            <w:tcW w:w="716" w:type="dxa"/>
            <w:tcBorders>
              <w:top w:val="single" w:sz="4" w:space="0" w:color="auto"/>
              <w:left w:val="single" w:sz="4" w:space="0" w:color="auto"/>
              <w:bottom w:val="single" w:sz="4" w:space="0" w:color="auto"/>
              <w:right w:val="single" w:sz="4" w:space="0" w:color="auto"/>
            </w:tcBorders>
          </w:tcPr>
          <w:p w14:paraId="1F21E2A8" w14:textId="2CDDB525" w:rsidR="00346181" w:rsidRPr="00A00B9B" w:rsidRDefault="00346181" w:rsidP="00346181">
            <w:pPr>
              <w:spacing w:before="60" w:after="40" w:line="288" w:lineRule="auto"/>
              <w:ind w:firstLine="0"/>
              <w:jc w:val="right"/>
              <w:rPr>
                <w:rFonts w:cs="Tahoma"/>
                <w:sz w:val="18"/>
                <w:szCs w:val="18"/>
              </w:rPr>
            </w:pPr>
            <w:r>
              <w:rPr>
                <w:rFonts w:cs="Tahoma"/>
                <w:sz w:val="18"/>
                <w:szCs w:val="18"/>
              </w:rPr>
              <w:t>118</w:t>
            </w:r>
          </w:p>
        </w:tc>
        <w:tc>
          <w:tcPr>
            <w:tcW w:w="716" w:type="dxa"/>
            <w:tcBorders>
              <w:top w:val="single" w:sz="4" w:space="0" w:color="auto"/>
              <w:left w:val="single" w:sz="4" w:space="0" w:color="auto"/>
              <w:bottom w:val="single" w:sz="4" w:space="0" w:color="auto"/>
              <w:right w:val="single" w:sz="4" w:space="0" w:color="auto"/>
            </w:tcBorders>
          </w:tcPr>
          <w:p w14:paraId="720104C5" w14:textId="1E505727" w:rsidR="00346181" w:rsidRPr="00A00B9B" w:rsidRDefault="00346181" w:rsidP="00346181">
            <w:pPr>
              <w:spacing w:before="60" w:after="40" w:line="288" w:lineRule="auto"/>
              <w:ind w:firstLine="0"/>
              <w:jc w:val="right"/>
              <w:rPr>
                <w:rFonts w:cs="Tahoma"/>
                <w:sz w:val="18"/>
                <w:szCs w:val="18"/>
              </w:rPr>
            </w:pPr>
            <w:r>
              <w:rPr>
                <w:rFonts w:cs="Tahoma"/>
                <w:sz w:val="18"/>
                <w:szCs w:val="18"/>
              </w:rPr>
              <w:t>115</w:t>
            </w:r>
          </w:p>
        </w:tc>
        <w:tc>
          <w:tcPr>
            <w:tcW w:w="717" w:type="dxa"/>
            <w:tcBorders>
              <w:top w:val="single" w:sz="4" w:space="0" w:color="auto"/>
              <w:left w:val="single" w:sz="4" w:space="0" w:color="auto"/>
              <w:bottom w:val="single" w:sz="4" w:space="0" w:color="auto"/>
              <w:right w:val="single" w:sz="4" w:space="0" w:color="auto"/>
            </w:tcBorders>
          </w:tcPr>
          <w:p w14:paraId="2C20ED2F" w14:textId="4B9EE3B8" w:rsidR="00346181" w:rsidRPr="00A00B9B" w:rsidRDefault="00346181" w:rsidP="00346181">
            <w:pPr>
              <w:spacing w:before="60" w:after="40" w:line="288" w:lineRule="auto"/>
              <w:ind w:firstLine="0"/>
              <w:jc w:val="right"/>
              <w:rPr>
                <w:rFonts w:cs="Tahoma"/>
                <w:sz w:val="18"/>
                <w:szCs w:val="18"/>
              </w:rPr>
            </w:pPr>
            <w:r>
              <w:rPr>
                <w:rFonts w:cs="Tahoma"/>
                <w:sz w:val="18"/>
                <w:szCs w:val="18"/>
              </w:rPr>
              <w:t>109</w:t>
            </w:r>
          </w:p>
        </w:tc>
        <w:tc>
          <w:tcPr>
            <w:tcW w:w="716" w:type="dxa"/>
            <w:tcBorders>
              <w:top w:val="single" w:sz="4" w:space="0" w:color="auto"/>
              <w:left w:val="single" w:sz="4" w:space="0" w:color="auto"/>
              <w:bottom w:val="single" w:sz="4" w:space="0" w:color="auto"/>
              <w:right w:val="single" w:sz="4" w:space="0" w:color="auto"/>
            </w:tcBorders>
          </w:tcPr>
          <w:p w14:paraId="0637E20B" w14:textId="61C62328" w:rsidR="00346181" w:rsidRPr="00A00B9B" w:rsidRDefault="00346181" w:rsidP="00346181">
            <w:pPr>
              <w:spacing w:before="60" w:after="40" w:line="288" w:lineRule="auto"/>
              <w:ind w:firstLine="0"/>
              <w:jc w:val="right"/>
              <w:rPr>
                <w:rFonts w:cs="Tahoma"/>
                <w:sz w:val="18"/>
                <w:szCs w:val="18"/>
              </w:rPr>
            </w:pPr>
            <w:r>
              <w:rPr>
                <w:rFonts w:cs="Tahoma"/>
                <w:sz w:val="18"/>
                <w:szCs w:val="18"/>
              </w:rPr>
              <w:t>109</w:t>
            </w:r>
          </w:p>
        </w:tc>
        <w:tc>
          <w:tcPr>
            <w:tcW w:w="716" w:type="dxa"/>
            <w:tcBorders>
              <w:top w:val="single" w:sz="4" w:space="0" w:color="auto"/>
              <w:left w:val="single" w:sz="4" w:space="0" w:color="auto"/>
              <w:bottom w:val="single" w:sz="4" w:space="0" w:color="auto"/>
              <w:right w:val="single" w:sz="4" w:space="0" w:color="auto"/>
            </w:tcBorders>
          </w:tcPr>
          <w:p w14:paraId="28E77BCA" w14:textId="2D44AB1F" w:rsidR="00346181" w:rsidRPr="00A00B9B" w:rsidRDefault="00346181" w:rsidP="00346181">
            <w:pPr>
              <w:spacing w:before="60" w:after="40" w:line="288" w:lineRule="auto"/>
              <w:ind w:firstLine="0"/>
              <w:jc w:val="right"/>
              <w:rPr>
                <w:rFonts w:cs="Tahoma"/>
                <w:sz w:val="18"/>
                <w:szCs w:val="18"/>
              </w:rPr>
            </w:pPr>
            <w:r>
              <w:rPr>
                <w:rFonts w:cs="Tahoma"/>
                <w:sz w:val="18"/>
                <w:szCs w:val="18"/>
              </w:rPr>
              <w:t>109</w:t>
            </w:r>
          </w:p>
        </w:tc>
        <w:tc>
          <w:tcPr>
            <w:tcW w:w="717" w:type="dxa"/>
            <w:tcBorders>
              <w:top w:val="single" w:sz="4" w:space="0" w:color="auto"/>
              <w:left w:val="single" w:sz="4" w:space="0" w:color="auto"/>
              <w:bottom w:val="single" w:sz="4" w:space="0" w:color="auto"/>
              <w:right w:val="single" w:sz="4" w:space="0" w:color="auto"/>
            </w:tcBorders>
          </w:tcPr>
          <w:p w14:paraId="5384CC46" w14:textId="23925F98" w:rsidR="00346181" w:rsidRPr="00A00B9B" w:rsidRDefault="00346181" w:rsidP="00346181">
            <w:pPr>
              <w:spacing w:before="60" w:after="40" w:line="288" w:lineRule="auto"/>
              <w:ind w:firstLine="0"/>
              <w:jc w:val="right"/>
              <w:rPr>
                <w:rFonts w:cs="Tahoma"/>
                <w:sz w:val="18"/>
                <w:szCs w:val="18"/>
              </w:rPr>
            </w:pPr>
            <w:r>
              <w:rPr>
                <w:rFonts w:cs="Tahoma"/>
                <w:sz w:val="18"/>
                <w:szCs w:val="18"/>
              </w:rPr>
              <w:t>97</w:t>
            </w:r>
          </w:p>
        </w:tc>
        <w:tc>
          <w:tcPr>
            <w:tcW w:w="716" w:type="dxa"/>
            <w:tcBorders>
              <w:top w:val="single" w:sz="4" w:space="0" w:color="auto"/>
              <w:left w:val="single" w:sz="4" w:space="0" w:color="auto"/>
              <w:bottom w:val="single" w:sz="4" w:space="0" w:color="auto"/>
              <w:right w:val="single" w:sz="4" w:space="0" w:color="auto"/>
            </w:tcBorders>
          </w:tcPr>
          <w:p w14:paraId="289D75BE" w14:textId="2983AD9C" w:rsidR="00346181" w:rsidRPr="00A00B9B" w:rsidRDefault="00456597" w:rsidP="00346181">
            <w:pPr>
              <w:spacing w:before="60" w:after="40" w:line="288" w:lineRule="auto"/>
              <w:ind w:firstLine="0"/>
              <w:jc w:val="right"/>
              <w:rPr>
                <w:rFonts w:cs="Tahoma"/>
                <w:sz w:val="18"/>
                <w:szCs w:val="18"/>
              </w:rPr>
            </w:pPr>
            <w:r>
              <w:rPr>
                <w:rFonts w:cs="Tahoma"/>
                <w:sz w:val="18"/>
                <w:szCs w:val="18"/>
              </w:rPr>
              <w:t>108</w:t>
            </w:r>
          </w:p>
        </w:tc>
        <w:tc>
          <w:tcPr>
            <w:tcW w:w="716" w:type="dxa"/>
            <w:tcBorders>
              <w:top w:val="single" w:sz="4" w:space="0" w:color="auto"/>
              <w:left w:val="single" w:sz="4" w:space="0" w:color="auto"/>
              <w:bottom w:val="single" w:sz="4" w:space="0" w:color="auto"/>
              <w:right w:val="single" w:sz="4" w:space="0" w:color="auto"/>
            </w:tcBorders>
          </w:tcPr>
          <w:p w14:paraId="3BBACB79" w14:textId="6994E606" w:rsidR="00346181" w:rsidRPr="00A00B9B" w:rsidRDefault="00456597" w:rsidP="00346181">
            <w:pPr>
              <w:spacing w:before="60" w:after="40" w:line="288" w:lineRule="auto"/>
              <w:ind w:firstLine="0"/>
              <w:jc w:val="right"/>
              <w:rPr>
                <w:rFonts w:cs="Tahoma"/>
                <w:sz w:val="18"/>
                <w:szCs w:val="18"/>
              </w:rPr>
            </w:pPr>
            <w:r>
              <w:rPr>
                <w:rFonts w:cs="Tahoma"/>
                <w:sz w:val="18"/>
                <w:szCs w:val="18"/>
              </w:rPr>
              <w:t>108</w:t>
            </w:r>
          </w:p>
        </w:tc>
        <w:tc>
          <w:tcPr>
            <w:tcW w:w="717" w:type="dxa"/>
            <w:tcBorders>
              <w:top w:val="single" w:sz="4" w:space="0" w:color="auto"/>
              <w:left w:val="single" w:sz="4" w:space="0" w:color="auto"/>
              <w:bottom w:val="single" w:sz="4" w:space="0" w:color="auto"/>
              <w:right w:val="single" w:sz="4" w:space="0" w:color="auto"/>
            </w:tcBorders>
          </w:tcPr>
          <w:p w14:paraId="081CA572" w14:textId="7E11EF0C" w:rsidR="00346181" w:rsidRPr="00A00B9B" w:rsidRDefault="00456597" w:rsidP="00346181">
            <w:pPr>
              <w:spacing w:before="60" w:after="40" w:line="288" w:lineRule="auto"/>
              <w:ind w:firstLine="0"/>
              <w:jc w:val="right"/>
              <w:rPr>
                <w:rFonts w:cs="Tahoma"/>
                <w:sz w:val="18"/>
                <w:szCs w:val="18"/>
              </w:rPr>
            </w:pPr>
            <w:r>
              <w:rPr>
                <w:rFonts w:cs="Tahoma"/>
                <w:sz w:val="18"/>
                <w:szCs w:val="18"/>
              </w:rPr>
              <w:t>108</w:t>
            </w:r>
          </w:p>
        </w:tc>
        <w:tc>
          <w:tcPr>
            <w:tcW w:w="716" w:type="dxa"/>
            <w:tcBorders>
              <w:top w:val="single" w:sz="4" w:space="0" w:color="auto"/>
              <w:left w:val="single" w:sz="4" w:space="0" w:color="auto"/>
              <w:bottom w:val="single" w:sz="4" w:space="0" w:color="auto"/>
              <w:right w:val="single" w:sz="4" w:space="0" w:color="auto"/>
            </w:tcBorders>
          </w:tcPr>
          <w:p w14:paraId="4E03BAA3" w14:textId="1D78E0A4" w:rsidR="00346181" w:rsidRPr="00A00B9B" w:rsidRDefault="00456597" w:rsidP="00346181">
            <w:pPr>
              <w:spacing w:before="60" w:after="40" w:line="288" w:lineRule="auto"/>
              <w:ind w:firstLine="0"/>
              <w:jc w:val="right"/>
              <w:rPr>
                <w:rFonts w:cs="Tahoma"/>
                <w:sz w:val="18"/>
                <w:szCs w:val="18"/>
              </w:rPr>
            </w:pPr>
            <w:r>
              <w:rPr>
                <w:rFonts w:cs="Tahoma"/>
                <w:sz w:val="18"/>
                <w:szCs w:val="18"/>
              </w:rPr>
              <w:t>107</w:t>
            </w:r>
          </w:p>
        </w:tc>
        <w:tc>
          <w:tcPr>
            <w:tcW w:w="716" w:type="dxa"/>
            <w:tcBorders>
              <w:top w:val="single" w:sz="4" w:space="0" w:color="auto"/>
              <w:left w:val="single" w:sz="4" w:space="0" w:color="auto"/>
              <w:bottom w:val="single" w:sz="4" w:space="0" w:color="auto"/>
              <w:right w:val="single" w:sz="4" w:space="0" w:color="auto"/>
            </w:tcBorders>
          </w:tcPr>
          <w:p w14:paraId="001BF036" w14:textId="779A3F04" w:rsidR="00346181" w:rsidRPr="00A00B9B" w:rsidRDefault="00346181" w:rsidP="00456597">
            <w:pPr>
              <w:spacing w:before="60" w:after="40" w:line="288" w:lineRule="auto"/>
              <w:ind w:firstLine="0"/>
              <w:jc w:val="right"/>
              <w:rPr>
                <w:rFonts w:cs="Tahoma"/>
                <w:sz w:val="18"/>
                <w:szCs w:val="18"/>
              </w:rPr>
            </w:pPr>
            <w:r>
              <w:rPr>
                <w:rFonts w:cs="Tahoma"/>
                <w:sz w:val="18"/>
                <w:szCs w:val="18"/>
              </w:rPr>
              <w:t>1</w:t>
            </w:r>
            <w:r w:rsidR="00456597">
              <w:rPr>
                <w:rFonts w:cs="Tahoma"/>
                <w:sz w:val="18"/>
                <w:szCs w:val="18"/>
              </w:rPr>
              <w:t>07</w:t>
            </w:r>
          </w:p>
        </w:tc>
        <w:tc>
          <w:tcPr>
            <w:tcW w:w="717" w:type="dxa"/>
            <w:tcBorders>
              <w:top w:val="single" w:sz="4" w:space="0" w:color="auto"/>
              <w:left w:val="single" w:sz="4" w:space="0" w:color="auto"/>
              <w:bottom w:val="single" w:sz="4" w:space="0" w:color="auto"/>
              <w:right w:val="single" w:sz="4" w:space="0" w:color="auto"/>
            </w:tcBorders>
          </w:tcPr>
          <w:p w14:paraId="4ADAF7CC" w14:textId="3E6ADF32" w:rsidR="00346181" w:rsidRPr="00A00B9B" w:rsidRDefault="00346181" w:rsidP="00456597">
            <w:pPr>
              <w:spacing w:before="60" w:after="40" w:line="288" w:lineRule="auto"/>
              <w:ind w:firstLine="0"/>
              <w:jc w:val="right"/>
              <w:rPr>
                <w:rFonts w:cs="Tahoma"/>
                <w:sz w:val="18"/>
                <w:szCs w:val="18"/>
              </w:rPr>
            </w:pPr>
            <w:r>
              <w:rPr>
                <w:rFonts w:cs="Tahoma"/>
                <w:sz w:val="18"/>
                <w:szCs w:val="18"/>
              </w:rPr>
              <w:t>1</w:t>
            </w:r>
            <w:r w:rsidR="00456597">
              <w:rPr>
                <w:rFonts w:cs="Tahoma"/>
                <w:sz w:val="18"/>
                <w:szCs w:val="18"/>
              </w:rPr>
              <w:t>07</w:t>
            </w:r>
          </w:p>
        </w:tc>
        <w:tc>
          <w:tcPr>
            <w:tcW w:w="716" w:type="dxa"/>
            <w:tcBorders>
              <w:top w:val="single" w:sz="4" w:space="0" w:color="auto"/>
              <w:left w:val="single" w:sz="4" w:space="0" w:color="auto"/>
              <w:bottom w:val="single" w:sz="4" w:space="0" w:color="auto"/>
              <w:right w:val="single" w:sz="4" w:space="0" w:color="auto"/>
            </w:tcBorders>
          </w:tcPr>
          <w:p w14:paraId="4D611F15" w14:textId="3CC5ACCC" w:rsidR="00346181" w:rsidRPr="00A00B9B" w:rsidRDefault="00346181" w:rsidP="00456597">
            <w:pPr>
              <w:spacing w:before="60" w:after="40" w:line="288" w:lineRule="auto"/>
              <w:ind w:firstLine="0"/>
              <w:jc w:val="right"/>
              <w:rPr>
                <w:rFonts w:cs="Tahoma"/>
                <w:sz w:val="18"/>
                <w:szCs w:val="18"/>
              </w:rPr>
            </w:pPr>
            <w:r>
              <w:rPr>
                <w:rFonts w:cs="Tahoma"/>
                <w:sz w:val="18"/>
                <w:szCs w:val="18"/>
              </w:rPr>
              <w:t>1</w:t>
            </w:r>
            <w:r w:rsidR="00456597">
              <w:rPr>
                <w:rFonts w:cs="Tahoma"/>
                <w:sz w:val="18"/>
                <w:szCs w:val="18"/>
              </w:rPr>
              <w:t>07</w:t>
            </w:r>
          </w:p>
        </w:tc>
        <w:tc>
          <w:tcPr>
            <w:tcW w:w="716" w:type="dxa"/>
            <w:tcBorders>
              <w:top w:val="single" w:sz="4" w:space="0" w:color="auto"/>
              <w:left w:val="single" w:sz="4" w:space="0" w:color="auto"/>
              <w:bottom w:val="single" w:sz="4" w:space="0" w:color="auto"/>
              <w:right w:val="single" w:sz="4" w:space="0" w:color="auto"/>
            </w:tcBorders>
          </w:tcPr>
          <w:p w14:paraId="3CA39402" w14:textId="567D2FAD" w:rsidR="00346181" w:rsidRPr="00A00B9B" w:rsidRDefault="00456597" w:rsidP="00346181">
            <w:pPr>
              <w:spacing w:before="60" w:after="40" w:line="288" w:lineRule="auto"/>
              <w:ind w:firstLine="0"/>
              <w:jc w:val="right"/>
              <w:rPr>
                <w:rFonts w:cs="Tahoma"/>
                <w:sz w:val="18"/>
                <w:szCs w:val="18"/>
              </w:rPr>
            </w:pPr>
            <w:r>
              <w:rPr>
                <w:rFonts w:cs="Tahoma"/>
                <w:sz w:val="18"/>
                <w:szCs w:val="18"/>
              </w:rPr>
              <w:t>107</w:t>
            </w:r>
          </w:p>
        </w:tc>
        <w:tc>
          <w:tcPr>
            <w:tcW w:w="717" w:type="dxa"/>
            <w:tcBorders>
              <w:top w:val="single" w:sz="4" w:space="0" w:color="auto"/>
              <w:left w:val="single" w:sz="4" w:space="0" w:color="auto"/>
              <w:bottom w:val="single" w:sz="4" w:space="0" w:color="auto"/>
              <w:right w:val="single" w:sz="4" w:space="0" w:color="auto"/>
            </w:tcBorders>
          </w:tcPr>
          <w:p w14:paraId="21F245EB" w14:textId="504C4915" w:rsidR="00346181" w:rsidRPr="00A00B9B" w:rsidRDefault="00456597" w:rsidP="00346181">
            <w:pPr>
              <w:spacing w:before="60" w:after="40" w:line="288" w:lineRule="auto"/>
              <w:ind w:firstLine="0"/>
              <w:jc w:val="right"/>
              <w:rPr>
                <w:rFonts w:cs="Tahoma"/>
                <w:sz w:val="18"/>
                <w:szCs w:val="18"/>
              </w:rPr>
            </w:pPr>
            <w:r>
              <w:rPr>
                <w:rFonts w:cs="Tahoma"/>
                <w:sz w:val="18"/>
                <w:szCs w:val="18"/>
              </w:rPr>
              <w:t>107</w:t>
            </w:r>
          </w:p>
        </w:tc>
      </w:tr>
      <w:tr w:rsidR="00346181" w:rsidRPr="00A00B9B" w14:paraId="4BC18DA4" w14:textId="77777777" w:rsidTr="00786BBC">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184C5C11" w14:textId="77777777" w:rsidR="00346181" w:rsidRPr="00A00B9B" w:rsidRDefault="00346181" w:rsidP="00346181">
            <w:pPr>
              <w:spacing w:before="60" w:after="40" w:line="288" w:lineRule="auto"/>
              <w:ind w:firstLine="0"/>
              <w:jc w:val="center"/>
              <w:rPr>
                <w:rFonts w:cs="Tahoma"/>
                <w:b/>
                <w:sz w:val="18"/>
                <w:szCs w:val="18"/>
              </w:rPr>
            </w:pPr>
            <w:r w:rsidRPr="00A00B9B">
              <w:rPr>
                <w:rFonts w:cs="Tahoma"/>
                <w:b/>
                <w:sz w:val="18"/>
                <w:szCs w:val="18"/>
              </w:rPr>
              <w:t>3</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4474B145" w14:textId="77777777" w:rsidR="00346181" w:rsidRPr="00A00B9B" w:rsidRDefault="00346181" w:rsidP="00346181">
            <w:pPr>
              <w:spacing w:before="60" w:after="40" w:line="288" w:lineRule="auto"/>
              <w:ind w:firstLine="0"/>
              <w:jc w:val="left"/>
              <w:rPr>
                <w:rFonts w:cs="Tahoma"/>
                <w:b/>
                <w:sz w:val="18"/>
                <w:szCs w:val="18"/>
              </w:rPr>
            </w:pPr>
            <w:r w:rsidRPr="00A00B9B">
              <w:rPr>
                <w:rFonts w:cs="Tahoma"/>
                <w:b/>
                <w:sz w:val="18"/>
                <w:szCs w:val="18"/>
              </w:rPr>
              <w:t>Autobusy elektryczne</w:t>
            </w:r>
          </w:p>
        </w:tc>
      </w:tr>
      <w:tr w:rsidR="00346181" w:rsidRPr="00A00B9B" w14:paraId="3D90553B" w14:textId="77777777" w:rsidTr="000F6DBA">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B63A3CB" w14:textId="77777777" w:rsidR="00346181" w:rsidRPr="00A00B9B" w:rsidRDefault="00346181" w:rsidP="00346181">
            <w:pPr>
              <w:spacing w:before="60" w:after="40" w:line="288" w:lineRule="auto"/>
              <w:ind w:firstLine="0"/>
              <w:jc w:val="center"/>
              <w:rPr>
                <w:rFonts w:cs="Tahoma"/>
                <w:sz w:val="18"/>
                <w:szCs w:val="18"/>
              </w:rPr>
            </w:pPr>
            <w:r w:rsidRPr="00A00B9B">
              <w:rPr>
                <w:rFonts w:cs="Tahoma"/>
                <w:sz w:val="18"/>
                <w:szCs w:val="18"/>
              </w:rPr>
              <w:t>3a</w:t>
            </w:r>
          </w:p>
        </w:tc>
        <w:tc>
          <w:tcPr>
            <w:tcW w:w="1985" w:type="dxa"/>
            <w:tcBorders>
              <w:top w:val="single" w:sz="4" w:space="0" w:color="auto"/>
              <w:left w:val="single" w:sz="4" w:space="0" w:color="auto"/>
              <w:bottom w:val="single" w:sz="4" w:space="0" w:color="auto"/>
              <w:right w:val="single" w:sz="4" w:space="0" w:color="auto"/>
            </w:tcBorders>
            <w:vAlign w:val="center"/>
          </w:tcPr>
          <w:p w14:paraId="188F8D12" w14:textId="77777777" w:rsidR="00346181" w:rsidRPr="00A00B9B" w:rsidRDefault="00346181" w:rsidP="00346181">
            <w:pPr>
              <w:spacing w:before="60" w:after="40" w:line="288" w:lineRule="auto"/>
              <w:ind w:firstLine="0"/>
              <w:jc w:val="left"/>
              <w:rPr>
                <w:rFonts w:cs="Tahoma"/>
                <w:sz w:val="18"/>
                <w:szCs w:val="18"/>
              </w:rPr>
            </w:pPr>
            <w:r w:rsidRPr="00A00B9B">
              <w:rPr>
                <w:rFonts w:cs="Tahoma"/>
                <w:sz w:val="18"/>
                <w:szCs w:val="18"/>
              </w:rPr>
              <w:t xml:space="preserve">Zakup/wycofanie </w:t>
            </w:r>
          </w:p>
        </w:tc>
        <w:tc>
          <w:tcPr>
            <w:tcW w:w="716" w:type="dxa"/>
            <w:tcBorders>
              <w:top w:val="single" w:sz="4" w:space="0" w:color="auto"/>
              <w:left w:val="single" w:sz="4" w:space="0" w:color="auto"/>
              <w:bottom w:val="single" w:sz="4" w:space="0" w:color="auto"/>
              <w:right w:val="single" w:sz="4" w:space="0" w:color="auto"/>
            </w:tcBorders>
            <w:vAlign w:val="center"/>
          </w:tcPr>
          <w:p w14:paraId="5623BBB6" w14:textId="1F3A9C3E"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33E51C98" w14:textId="674FCCBE"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786C723" w14:textId="5A62DAA2" w:rsidR="00346181" w:rsidRPr="00A00B9B" w:rsidRDefault="00346181" w:rsidP="00346181">
            <w:pPr>
              <w:spacing w:before="60" w:after="40" w:line="288" w:lineRule="auto"/>
              <w:ind w:firstLine="0"/>
              <w:jc w:val="right"/>
              <w:rPr>
                <w:rFonts w:cs="Tahoma"/>
                <w:sz w:val="18"/>
                <w:szCs w:val="18"/>
              </w:rPr>
            </w:pPr>
            <w:r>
              <w:rPr>
                <w:rFonts w:cs="Tahoma"/>
                <w:sz w:val="18"/>
                <w:szCs w:val="18"/>
              </w:rPr>
              <w:t>2</w:t>
            </w: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08927457" w14:textId="64087300" w:rsidR="00346181" w:rsidRPr="00A00B9B" w:rsidRDefault="00346181" w:rsidP="00346181">
            <w:pPr>
              <w:spacing w:before="60" w:after="40" w:line="288" w:lineRule="auto"/>
              <w:ind w:firstLine="0"/>
              <w:jc w:val="right"/>
              <w:rPr>
                <w:rFonts w:cs="Tahoma"/>
                <w:sz w:val="18"/>
                <w:szCs w:val="18"/>
              </w:rPr>
            </w:pPr>
            <w:r>
              <w:rPr>
                <w:rFonts w:cs="Tahoma"/>
                <w:sz w:val="18"/>
                <w:szCs w:val="18"/>
              </w:rPr>
              <w:t>33</w:t>
            </w: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585F35C" w14:textId="7456C176"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ED614BF" w14:textId="63A4C47F"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65E6B4D5" w14:textId="1C1671BE" w:rsidR="00346181" w:rsidRPr="00A00B9B" w:rsidRDefault="00346181" w:rsidP="00346181">
            <w:pPr>
              <w:spacing w:before="60" w:after="40" w:line="288" w:lineRule="auto"/>
              <w:ind w:firstLine="0"/>
              <w:jc w:val="right"/>
              <w:rPr>
                <w:rFonts w:cs="Tahoma"/>
                <w:sz w:val="18"/>
                <w:szCs w:val="18"/>
              </w:rPr>
            </w:pPr>
            <w:r>
              <w:rPr>
                <w:rFonts w:cs="Tahoma"/>
                <w:sz w:val="18"/>
                <w:szCs w:val="18"/>
              </w:rPr>
              <w:t>24</w:t>
            </w: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5EB43A3A" w14:textId="06A1C33D" w:rsidR="00346181" w:rsidRPr="00A00B9B" w:rsidRDefault="00346181" w:rsidP="00346181">
            <w:pPr>
              <w:spacing w:before="60" w:after="40" w:line="288" w:lineRule="auto"/>
              <w:ind w:firstLine="0"/>
              <w:jc w:val="right"/>
              <w:rPr>
                <w:rFonts w:cs="Tahoma"/>
                <w:sz w:val="18"/>
                <w:szCs w:val="18"/>
              </w:rPr>
            </w:pPr>
            <w:r>
              <w:rPr>
                <w:rFonts w:cs="Tahoma"/>
                <w:sz w:val="18"/>
                <w:szCs w:val="18"/>
              </w:rPr>
              <w:t>4</w:t>
            </w: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432A9DA9" w14:textId="4ED21691"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54EF2706" w14:textId="020FEA27"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5B8E7B8" w14:textId="24C7D000"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519E762E" w14:textId="66FCCE46" w:rsidR="00346181" w:rsidRPr="00A00B9B" w:rsidRDefault="00346181" w:rsidP="00346181">
            <w:pPr>
              <w:spacing w:before="60" w:after="40" w:line="288" w:lineRule="auto"/>
              <w:ind w:firstLine="0"/>
              <w:jc w:val="right"/>
              <w:rPr>
                <w:rFonts w:cs="Tahoma"/>
                <w:sz w:val="18"/>
                <w:szCs w:val="18"/>
              </w:rPr>
            </w:pPr>
            <w:r>
              <w:rPr>
                <w:rFonts w:cs="Tahoma"/>
                <w:sz w:val="18"/>
                <w:szCs w:val="18"/>
              </w:rPr>
              <w:t>6</w:t>
            </w: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472891C3" w14:textId="2045713E"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A6CB184" w14:textId="23BE81FD"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49BAA90" w14:textId="75D08BCC"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36E30054" w14:textId="1B0C7D3B" w:rsidR="00346181" w:rsidRPr="00A00B9B" w:rsidRDefault="00346181" w:rsidP="00346181">
            <w:pPr>
              <w:spacing w:before="60" w:after="40" w:line="288" w:lineRule="auto"/>
              <w:ind w:firstLine="0"/>
              <w:jc w:val="right"/>
              <w:rPr>
                <w:rFonts w:cs="Tahoma"/>
                <w:sz w:val="18"/>
                <w:szCs w:val="18"/>
              </w:rPr>
            </w:pPr>
            <w:r w:rsidRPr="00A00B9B">
              <w:rPr>
                <w:rFonts w:cs="Tahoma"/>
                <w:sz w:val="18"/>
                <w:szCs w:val="18"/>
              </w:rPr>
              <w:t>-/-</w:t>
            </w:r>
          </w:p>
        </w:tc>
      </w:tr>
      <w:tr w:rsidR="00346181" w:rsidRPr="00A00B9B" w14:paraId="0C0F4B78"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522938B" w14:textId="77777777" w:rsidR="00346181" w:rsidRPr="00A00B9B" w:rsidRDefault="00346181" w:rsidP="00346181">
            <w:pPr>
              <w:spacing w:before="60" w:after="40" w:line="288" w:lineRule="auto"/>
              <w:ind w:firstLine="0"/>
              <w:jc w:val="center"/>
              <w:rPr>
                <w:rFonts w:cs="Tahoma"/>
                <w:sz w:val="18"/>
                <w:szCs w:val="18"/>
              </w:rPr>
            </w:pPr>
            <w:r w:rsidRPr="00A00B9B">
              <w:rPr>
                <w:rFonts w:cs="Tahoma"/>
                <w:sz w:val="18"/>
                <w:szCs w:val="18"/>
              </w:rPr>
              <w:t>3b</w:t>
            </w:r>
          </w:p>
        </w:tc>
        <w:tc>
          <w:tcPr>
            <w:tcW w:w="1985" w:type="dxa"/>
            <w:tcBorders>
              <w:top w:val="single" w:sz="4" w:space="0" w:color="auto"/>
              <w:left w:val="single" w:sz="4" w:space="0" w:color="auto"/>
              <w:bottom w:val="single" w:sz="4" w:space="0" w:color="auto"/>
              <w:right w:val="single" w:sz="4" w:space="0" w:color="auto"/>
            </w:tcBorders>
            <w:vAlign w:val="center"/>
          </w:tcPr>
          <w:p w14:paraId="7A8336E6" w14:textId="77777777" w:rsidR="00346181" w:rsidRPr="00A00B9B" w:rsidRDefault="00346181" w:rsidP="00346181">
            <w:pPr>
              <w:spacing w:before="60" w:after="40" w:line="288" w:lineRule="auto"/>
              <w:ind w:firstLine="0"/>
              <w:jc w:val="left"/>
              <w:rPr>
                <w:rFonts w:cs="Tahoma"/>
                <w:sz w:val="18"/>
                <w:szCs w:val="18"/>
              </w:rPr>
            </w:pPr>
            <w:r w:rsidRPr="00A00B9B">
              <w:rPr>
                <w:rFonts w:cs="Tahoma"/>
                <w:sz w:val="18"/>
                <w:szCs w:val="18"/>
              </w:rPr>
              <w:t>Stan na koniec roku</w:t>
            </w:r>
          </w:p>
        </w:tc>
        <w:tc>
          <w:tcPr>
            <w:tcW w:w="716" w:type="dxa"/>
            <w:tcBorders>
              <w:top w:val="single" w:sz="4" w:space="0" w:color="auto"/>
              <w:left w:val="single" w:sz="4" w:space="0" w:color="auto"/>
              <w:bottom w:val="single" w:sz="4" w:space="0" w:color="auto"/>
              <w:right w:val="single" w:sz="4" w:space="0" w:color="auto"/>
            </w:tcBorders>
            <w:vAlign w:val="center"/>
          </w:tcPr>
          <w:p w14:paraId="16DE1BFB" w14:textId="613EEDA5" w:rsidR="00346181" w:rsidRPr="00A00B9B" w:rsidRDefault="00346181" w:rsidP="00346181">
            <w:pPr>
              <w:spacing w:before="60" w:after="40" w:line="288" w:lineRule="auto"/>
              <w:ind w:firstLine="0"/>
              <w:jc w:val="right"/>
              <w:rPr>
                <w:rFonts w:cs="Tahoma"/>
                <w:sz w:val="18"/>
                <w:szCs w:val="18"/>
              </w:rPr>
            </w:pPr>
            <w:r>
              <w:rPr>
                <w:rFonts w:cs="Tahoma"/>
                <w:sz w:val="18"/>
                <w:szCs w:val="18"/>
              </w:rPr>
              <w:t>1</w:t>
            </w: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61E41A90" w14:textId="305D0B4D" w:rsidR="00346181" w:rsidRPr="00A00B9B" w:rsidRDefault="00346181" w:rsidP="00346181">
            <w:pPr>
              <w:spacing w:before="60" w:after="40" w:line="288" w:lineRule="auto"/>
              <w:ind w:firstLine="0"/>
              <w:jc w:val="right"/>
              <w:rPr>
                <w:rFonts w:cs="Tahoma"/>
                <w:sz w:val="18"/>
                <w:szCs w:val="18"/>
              </w:rPr>
            </w:pPr>
            <w:r>
              <w:rPr>
                <w:rFonts w:cs="Tahoma"/>
                <w:sz w:val="18"/>
                <w:szCs w:val="18"/>
              </w:rPr>
              <w:t>1</w:t>
            </w: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06DBF0DD" w14:textId="6E3D55E2" w:rsidR="00346181" w:rsidRPr="00A00B9B" w:rsidRDefault="00346181" w:rsidP="00346181">
            <w:pPr>
              <w:spacing w:before="60" w:after="40" w:line="288" w:lineRule="auto"/>
              <w:ind w:firstLine="0"/>
              <w:jc w:val="right"/>
              <w:rPr>
                <w:rFonts w:cs="Tahoma"/>
                <w:sz w:val="18"/>
                <w:szCs w:val="18"/>
              </w:rPr>
            </w:pPr>
            <w:r>
              <w:rPr>
                <w:rFonts w:cs="Tahoma"/>
                <w:sz w:val="18"/>
                <w:szCs w:val="18"/>
              </w:rPr>
              <w:t>12</w:t>
            </w:r>
          </w:p>
        </w:tc>
        <w:tc>
          <w:tcPr>
            <w:tcW w:w="717" w:type="dxa"/>
            <w:tcBorders>
              <w:top w:val="single" w:sz="4" w:space="0" w:color="auto"/>
              <w:left w:val="single" w:sz="4" w:space="0" w:color="auto"/>
              <w:bottom w:val="single" w:sz="4" w:space="0" w:color="auto"/>
              <w:right w:val="single" w:sz="4" w:space="0" w:color="auto"/>
            </w:tcBorders>
            <w:vAlign w:val="center"/>
          </w:tcPr>
          <w:p w14:paraId="3EB40D00" w14:textId="6E4CF6B1" w:rsidR="00346181" w:rsidRPr="00A00B9B" w:rsidRDefault="00346181" w:rsidP="00346181">
            <w:pPr>
              <w:spacing w:before="60" w:after="40" w:line="288" w:lineRule="auto"/>
              <w:ind w:firstLine="0"/>
              <w:jc w:val="right"/>
              <w:rPr>
                <w:rFonts w:cs="Tahoma"/>
                <w:sz w:val="18"/>
                <w:szCs w:val="18"/>
              </w:rPr>
            </w:pPr>
            <w:r>
              <w:rPr>
                <w:rFonts w:cs="Tahoma"/>
                <w:sz w:val="18"/>
                <w:szCs w:val="18"/>
              </w:rPr>
              <w:t>45</w:t>
            </w:r>
          </w:p>
        </w:tc>
        <w:tc>
          <w:tcPr>
            <w:tcW w:w="716" w:type="dxa"/>
            <w:tcBorders>
              <w:top w:val="single" w:sz="4" w:space="0" w:color="auto"/>
              <w:left w:val="single" w:sz="4" w:space="0" w:color="auto"/>
              <w:bottom w:val="single" w:sz="4" w:space="0" w:color="auto"/>
              <w:right w:val="single" w:sz="4" w:space="0" w:color="auto"/>
            </w:tcBorders>
            <w:vAlign w:val="center"/>
          </w:tcPr>
          <w:p w14:paraId="1C63941E" w14:textId="685D4ACF" w:rsidR="00346181" w:rsidRPr="00A00B9B" w:rsidRDefault="00346181" w:rsidP="00346181">
            <w:pPr>
              <w:spacing w:before="60" w:after="40" w:line="288" w:lineRule="auto"/>
              <w:ind w:firstLine="0"/>
              <w:jc w:val="right"/>
              <w:rPr>
                <w:rFonts w:cs="Tahoma"/>
                <w:sz w:val="18"/>
                <w:szCs w:val="18"/>
              </w:rPr>
            </w:pPr>
            <w:r>
              <w:rPr>
                <w:rFonts w:cs="Tahoma"/>
                <w:sz w:val="18"/>
                <w:szCs w:val="18"/>
              </w:rPr>
              <w:t>45</w:t>
            </w:r>
          </w:p>
        </w:tc>
        <w:tc>
          <w:tcPr>
            <w:tcW w:w="716" w:type="dxa"/>
            <w:tcBorders>
              <w:top w:val="single" w:sz="4" w:space="0" w:color="auto"/>
              <w:left w:val="single" w:sz="4" w:space="0" w:color="auto"/>
              <w:bottom w:val="single" w:sz="4" w:space="0" w:color="auto"/>
              <w:right w:val="single" w:sz="4" w:space="0" w:color="auto"/>
            </w:tcBorders>
            <w:vAlign w:val="center"/>
          </w:tcPr>
          <w:p w14:paraId="3335F194" w14:textId="09FF74C2" w:rsidR="00346181" w:rsidRPr="00A00B9B" w:rsidRDefault="00346181" w:rsidP="00346181">
            <w:pPr>
              <w:spacing w:before="60" w:after="40" w:line="288" w:lineRule="auto"/>
              <w:ind w:firstLine="0"/>
              <w:jc w:val="right"/>
              <w:rPr>
                <w:rFonts w:cs="Tahoma"/>
                <w:sz w:val="18"/>
                <w:szCs w:val="18"/>
              </w:rPr>
            </w:pPr>
            <w:r>
              <w:rPr>
                <w:rFonts w:cs="Tahoma"/>
                <w:sz w:val="18"/>
                <w:szCs w:val="18"/>
              </w:rPr>
              <w:t>45</w:t>
            </w:r>
          </w:p>
        </w:tc>
        <w:tc>
          <w:tcPr>
            <w:tcW w:w="717" w:type="dxa"/>
            <w:tcBorders>
              <w:top w:val="single" w:sz="4" w:space="0" w:color="auto"/>
              <w:left w:val="single" w:sz="4" w:space="0" w:color="auto"/>
              <w:bottom w:val="single" w:sz="4" w:space="0" w:color="auto"/>
              <w:right w:val="single" w:sz="4" w:space="0" w:color="auto"/>
            </w:tcBorders>
            <w:vAlign w:val="center"/>
          </w:tcPr>
          <w:p w14:paraId="37819AD3" w14:textId="03F091F1" w:rsidR="00346181" w:rsidRPr="00A00B9B" w:rsidRDefault="00346181" w:rsidP="00346181">
            <w:pPr>
              <w:spacing w:before="60" w:after="40" w:line="288" w:lineRule="auto"/>
              <w:ind w:firstLine="0"/>
              <w:jc w:val="right"/>
              <w:rPr>
                <w:rFonts w:cs="Tahoma"/>
                <w:sz w:val="18"/>
                <w:szCs w:val="18"/>
              </w:rPr>
            </w:pPr>
            <w:r>
              <w:rPr>
                <w:rFonts w:cs="Tahoma"/>
                <w:sz w:val="18"/>
                <w:szCs w:val="18"/>
              </w:rPr>
              <w:t>69</w:t>
            </w:r>
          </w:p>
        </w:tc>
        <w:tc>
          <w:tcPr>
            <w:tcW w:w="716" w:type="dxa"/>
            <w:tcBorders>
              <w:top w:val="single" w:sz="4" w:space="0" w:color="auto"/>
              <w:left w:val="single" w:sz="4" w:space="0" w:color="auto"/>
              <w:bottom w:val="single" w:sz="4" w:space="0" w:color="auto"/>
              <w:right w:val="single" w:sz="4" w:space="0" w:color="auto"/>
            </w:tcBorders>
            <w:vAlign w:val="center"/>
          </w:tcPr>
          <w:p w14:paraId="021D6540" w14:textId="1E7C302C" w:rsidR="00346181" w:rsidRPr="00A00B9B" w:rsidRDefault="00346181" w:rsidP="00346181">
            <w:pPr>
              <w:spacing w:before="60" w:after="40" w:line="288" w:lineRule="auto"/>
              <w:ind w:firstLine="0"/>
              <w:jc w:val="right"/>
              <w:rPr>
                <w:rFonts w:cs="Tahoma"/>
                <w:sz w:val="18"/>
                <w:szCs w:val="18"/>
              </w:rPr>
            </w:pPr>
            <w:r>
              <w:rPr>
                <w:rFonts w:cs="Tahoma"/>
                <w:sz w:val="18"/>
                <w:szCs w:val="18"/>
              </w:rPr>
              <w:t>73</w:t>
            </w:r>
          </w:p>
        </w:tc>
        <w:tc>
          <w:tcPr>
            <w:tcW w:w="716" w:type="dxa"/>
            <w:tcBorders>
              <w:top w:val="single" w:sz="4" w:space="0" w:color="auto"/>
              <w:left w:val="single" w:sz="4" w:space="0" w:color="auto"/>
              <w:bottom w:val="single" w:sz="4" w:space="0" w:color="auto"/>
              <w:right w:val="single" w:sz="4" w:space="0" w:color="auto"/>
            </w:tcBorders>
            <w:vAlign w:val="center"/>
          </w:tcPr>
          <w:p w14:paraId="3CC1FE80" w14:textId="69930CD8" w:rsidR="00346181" w:rsidRPr="00A00B9B" w:rsidRDefault="00456597" w:rsidP="00346181">
            <w:pPr>
              <w:spacing w:before="60" w:after="40" w:line="288" w:lineRule="auto"/>
              <w:ind w:firstLine="0"/>
              <w:jc w:val="right"/>
              <w:rPr>
                <w:rFonts w:cs="Tahoma"/>
                <w:sz w:val="18"/>
                <w:szCs w:val="18"/>
              </w:rPr>
            </w:pPr>
            <w:r>
              <w:rPr>
                <w:rFonts w:cs="Tahoma"/>
                <w:sz w:val="18"/>
                <w:szCs w:val="18"/>
              </w:rPr>
              <w:t>73</w:t>
            </w:r>
          </w:p>
        </w:tc>
        <w:tc>
          <w:tcPr>
            <w:tcW w:w="717" w:type="dxa"/>
            <w:tcBorders>
              <w:top w:val="single" w:sz="4" w:space="0" w:color="auto"/>
              <w:left w:val="single" w:sz="4" w:space="0" w:color="auto"/>
              <w:bottom w:val="single" w:sz="4" w:space="0" w:color="auto"/>
              <w:right w:val="single" w:sz="4" w:space="0" w:color="auto"/>
            </w:tcBorders>
            <w:vAlign w:val="center"/>
          </w:tcPr>
          <w:p w14:paraId="794D3B75" w14:textId="2DC21882" w:rsidR="00346181" w:rsidRPr="00A00B9B" w:rsidRDefault="00456597" w:rsidP="00346181">
            <w:pPr>
              <w:spacing w:before="60" w:after="40" w:line="288" w:lineRule="auto"/>
              <w:ind w:firstLine="0"/>
              <w:jc w:val="right"/>
              <w:rPr>
                <w:rFonts w:cs="Tahoma"/>
                <w:sz w:val="18"/>
                <w:szCs w:val="18"/>
              </w:rPr>
            </w:pPr>
            <w:r>
              <w:rPr>
                <w:rFonts w:cs="Tahoma"/>
                <w:sz w:val="18"/>
                <w:szCs w:val="18"/>
              </w:rPr>
              <w:t>73</w:t>
            </w:r>
          </w:p>
        </w:tc>
        <w:tc>
          <w:tcPr>
            <w:tcW w:w="716" w:type="dxa"/>
            <w:tcBorders>
              <w:top w:val="single" w:sz="4" w:space="0" w:color="auto"/>
              <w:left w:val="single" w:sz="4" w:space="0" w:color="auto"/>
              <w:bottom w:val="single" w:sz="4" w:space="0" w:color="auto"/>
              <w:right w:val="single" w:sz="4" w:space="0" w:color="auto"/>
            </w:tcBorders>
            <w:vAlign w:val="center"/>
          </w:tcPr>
          <w:p w14:paraId="22EEE8DF" w14:textId="06707BF4" w:rsidR="00346181" w:rsidRPr="00A00B9B" w:rsidRDefault="00456597" w:rsidP="00346181">
            <w:pPr>
              <w:spacing w:before="60" w:after="40" w:line="288" w:lineRule="auto"/>
              <w:ind w:firstLine="0"/>
              <w:jc w:val="right"/>
              <w:rPr>
                <w:rFonts w:cs="Tahoma"/>
                <w:sz w:val="18"/>
                <w:szCs w:val="18"/>
              </w:rPr>
            </w:pPr>
            <w:r>
              <w:rPr>
                <w:rFonts w:cs="Tahoma"/>
                <w:sz w:val="18"/>
                <w:szCs w:val="18"/>
              </w:rPr>
              <w:t>73</w:t>
            </w:r>
          </w:p>
        </w:tc>
        <w:tc>
          <w:tcPr>
            <w:tcW w:w="716" w:type="dxa"/>
            <w:tcBorders>
              <w:top w:val="single" w:sz="4" w:space="0" w:color="auto"/>
              <w:left w:val="single" w:sz="4" w:space="0" w:color="auto"/>
              <w:bottom w:val="single" w:sz="4" w:space="0" w:color="auto"/>
              <w:right w:val="single" w:sz="4" w:space="0" w:color="auto"/>
            </w:tcBorders>
            <w:vAlign w:val="center"/>
          </w:tcPr>
          <w:p w14:paraId="4268861B" w14:textId="69144F69"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c>
          <w:tcPr>
            <w:tcW w:w="717" w:type="dxa"/>
            <w:tcBorders>
              <w:top w:val="single" w:sz="4" w:space="0" w:color="auto"/>
              <w:left w:val="single" w:sz="4" w:space="0" w:color="auto"/>
              <w:bottom w:val="single" w:sz="4" w:space="0" w:color="auto"/>
              <w:right w:val="single" w:sz="4" w:space="0" w:color="auto"/>
            </w:tcBorders>
            <w:vAlign w:val="center"/>
          </w:tcPr>
          <w:p w14:paraId="3EEDA482" w14:textId="17998238"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c>
          <w:tcPr>
            <w:tcW w:w="716" w:type="dxa"/>
            <w:tcBorders>
              <w:top w:val="single" w:sz="4" w:space="0" w:color="auto"/>
              <w:left w:val="single" w:sz="4" w:space="0" w:color="auto"/>
              <w:bottom w:val="single" w:sz="4" w:space="0" w:color="auto"/>
              <w:right w:val="single" w:sz="4" w:space="0" w:color="auto"/>
            </w:tcBorders>
            <w:vAlign w:val="center"/>
          </w:tcPr>
          <w:p w14:paraId="3DCCDBE1" w14:textId="6D6A7AD7"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c>
          <w:tcPr>
            <w:tcW w:w="716" w:type="dxa"/>
            <w:tcBorders>
              <w:top w:val="single" w:sz="4" w:space="0" w:color="auto"/>
              <w:left w:val="single" w:sz="4" w:space="0" w:color="auto"/>
              <w:bottom w:val="single" w:sz="4" w:space="0" w:color="auto"/>
              <w:right w:val="single" w:sz="4" w:space="0" w:color="auto"/>
            </w:tcBorders>
            <w:vAlign w:val="center"/>
          </w:tcPr>
          <w:p w14:paraId="406AA68A" w14:textId="1ED4A428"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c>
          <w:tcPr>
            <w:tcW w:w="717" w:type="dxa"/>
            <w:tcBorders>
              <w:top w:val="single" w:sz="4" w:space="0" w:color="auto"/>
              <w:left w:val="single" w:sz="4" w:space="0" w:color="auto"/>
              <w:bottom w:val="single" w:sz="4" w:space="0" w:color="auto"/>
              <w:right w:val="single" w:sz="4" w:space="0" w:color="auto"/>
            </w:tcBorders>
            <w:vAlign w:val="center"/>
          </w:tcPr>
          <w:p w14:paraId="771C199B" w14:textId="22D53550"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r>
      <w:tr w:rsidR="00346181" w:rsidRPr="00A00B9B" w14:paraId="71BEA019" w14:textId="77777777" w:rsidTr="00786BBC">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41CEED52" w14:textId="77777777" w:rsidR="00346181" w:rsidRPr="00A00B9B" w:rsidRDefault="00346181" w:rsidP="00346181">
            <w:pPr>
              <w:spacing w:before="60" w:after="40" w:line="288" w:lineRule="auto"/>
              <w:ind w:firstLine="0"/>
              <w:jc w:val="center"/>
              <w:rPr>
                <w:rFonts w:cs="Tahoma"/>
                <w:b/>
                <w:sz w:val="18"/>
                <w:szCs w:val="18"/>
              </w:rPr>
            </w:pPr>
            <w:r w:rsidRPr="00A00B9B">
              <w:rPr>
                <w:rFonts w:cs="Tahoma"/>
                <w:b/>
                <w:sz w:val="18"/>
                <w:szCs w:val="18"/>
              </w:rPr>
              <w:t>4</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3A733B81" w14:textId="77777777" w:rsidR="00346181" w:rsidRPr="00A00B9B" w:rsidRDefault="00346181" w:rsidP="00346181">
            <w:pPr>
              <w:spacing w:before="60" w:after="40" w:line="288" w:lineRule="auto"/>
              <w:ind w:firstLine="0"/>
              <w:jc w:val="left"/>
              <w:rPr>
                <w:rFonts w:cs="Tahoma"/>
                <w:b/>
                <w:sz w:val="18"/>
                <w:szCs w:val="18"/>
              </w:rPr>
            </w:pPr>
            <w:r w:rsidRPr="00A00B9B">
              <w:rPr>
                <w:rFonts w:cs="Tahoma"/>
                <w:b/>
                <w:sz w:val="18"/>
                <w:szCs w:val="18"/>
              </w:rPr>
              <w:t>Ogółem stan taboru na koniec roku</w:t>
            </w:r>
          </w:p>
        </w:tc>
      </w:tr>
      <w:tr w:rsidR="00346181" w:rsidRPr="00A00B9B" w14:paraId="759FA50F"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910CFED" w14:textId="6DF4016C" w:rsidR="00346181" w:rsidRPr="00A00B9B" w:rsidRDefault="00346181" w:rsidP="00346181">
            <w:pPr>
              <w:spacing w:before="60" w:after="40" w:line="288" w:lineRule="auto"/>
              <w:ind w:firstLine="0"/>
              <w:jc w:val="center"/>
              <w:rPr>
                <w:rFonts w:cs="Tahoma"/>
                <w:sz w:val="18"/>
                <w:szCs w:val="18"/>
              </w:rPr>
            </w:pPr>
            <w:r w:rsidRPr="00A00B9B">
              <w:rPr>
                <w:rFonts w:cs="Tahoma"/>
                <w:sz w:val="18"/>
                <w:szCs w:val="18"/>
              </w:rPr>
              <w:t>5</w:t>
            </w:r>
          </w:p>
        </w:tc>
        <w:tc>
          <w:tcPr>
            <w:tcW w:w="1985" w:type="dxa"/>
            <w:tcBorders>
              <w:top w:val="single" w:sz="4" w:space="0" w:color="auto"/>
              <w:left w:val="single" w:sz="4" w:space="0" w:color="auto"/>
              <w:bottom w:val="single" w:sz="4" w:space="0" w:color="auto"/>
              <w:right w:val="single" w:sz="4" w:space="0" w:color="auto"/>
            </w:tcBorders>
            <w:vAlign w:val="center"/>
          </w:tcPr>
          <w:p w14:paraId="55057FDA" w14:textId="77777777" w:rsidR="00346181" w:rsidRPr="00A00B9B" w:rsidRDefault="00346181" w:rsidP="00346181">
            <w:pPr>
              <w:spacing w:before="60" w:after="40" w:line="288" w:lineRule="auto"/>
              <w:ind w:firstLine="0"/>
              <w:jc w:val="left"/>
              <w:rPr>
                <w:rFonts w:cs="Tahoma"/>
                <w:sz w:val="18"/>
                <w:szCs w:val="18"/>
              </w:rPr>
            </w:pPr>
            <w:r w:rsidRPr="00A00B9B">
              <w:rPr>
                <w:rFonts w:cs="Tahoma"/>
                <w:sz w:val="18"/>
                <w:szCs w:val="18"/>
              </w:rPr>
              <w:t>Razem emisyjne</w:t>
            </w:r>
          </w:p>
        </w:tc>
        <w:tc>
          <w:tcPr>
            <w:tcW w:w="716" w:type="dxa"/>
            <w:tcBorders>
              <w:top w:val="single" w:sz="4" w:space="0" w:color="auto"/>
              <w:left w:val="single" w:sz="4" w:space="0" w:color="auto"/>
              <w:bottom w:val="single" w:sz="4" w:space="0" w:color="auto"/>
              <w:right w:val="single" w:sz="4" w:space="0" w:color="auto"/>
            </w:tcBorders>
            <w:vAlign w:val="center"/>
          </w:tcPr>
          <w:p w14:paraId="4F06B658" w14:textId="36A87534" w:rsidR="00346181" w:rsidRPr="00A00B9B" w:rsidRDefault="00346181" w:rsidP="00346181">
            <w:pPr>
              <w:spacing w:before="60" w:after="40" w:line="288" w:lineRule="auto"/>
              <w:ind w:firstLine="0"/>
              <w:jc w:val="right"/>
              <w:rPr>
                <w:rFonts w:cs="Tahoma"/>
                <w:sz w:val="18"/>
                <w:szCs w:val="18"/>
              </w:rPr>
            </w:pPr>
            <w:r>
              <w:rPr>
                <w:rFonts w:cs="Tahoma"/>
                <w:sz w:val="18"/>
                <w:szCs w:val="18"/>
              </w:rPr>
              <w:t>216</w:t>
            </w:r>
          </w:p>
        </w:tc>
        <w:tc>
          <w:tcPr>
            <w:tcW w:w="716" w:type="dxa"/>
            <w:tcBorders>
              <w:top w:val="single" w:sz="4" w:space="0" w:color="auto"/>
              <w:left w:val="single" w:sz="4" w:space="0" w:color="auto"/>
              <w:bottom w:val="single" w:sz="4" w:space="0" w:color="auto"/>
              <w:right w:val="single" w:sz="4" w:space="0" w:color="auto"/>
            </w:tcBorders>
          </w:tcPr>
          <w:p w14:paraId="4F8E3A3D" w14:textId="14AE13BB" w:rsidR="00346181" w:rsidRPr="00A00B9B" w:rsidRDefault="00346181" w:rsidP="00346181">
            <w:pPr>
              <w:spacing w:before="60" w:after="40" w:line="288" w:lineRule="auto"/>
              <w:ind w:firstLine="0"/>
              <w:jc w:val="right"/>
              <w:rPr>
                <w:rFonts w:cs="Tahoma"/>
                <w:sz w:val="18"/>
                <w:szCs w:val="18"/>
              </w:rPr>
            </w:pPr>
            <w:r>
              <w:rPr>
                <w:rFonts w:cs="Tahoma"/>
                <w:sz w:val="18"/>
                <w:szCs w:val="18"/>
              </w:rPr>
              <w:t>211</w:t>
            </w:r>
          </w:p>
        </w:tc>
        <w:tc>
          <w:tcPr>
            <w:tcW w:w="716" w:type="dxa"/>
            <w:tcBorders>
              <w:top w:val="single" w:sz="4" w:space="0" w:color="auto"/>
              <w:left w:val="single" w:sz="4" w:space="0" w:color="auto"/>
              <w:bottom w:val="single" w:sz="4" w:space="0" w:color="auto"/>
              <w:right w:val="single" w:sz="4" w:space="0" w:color="auto"/>
            </w:tcBorders>
          </w:tcPr>
          <w:p w14:paraId="1E5D220F" w14:textId="735F1ED0" w:rsidR="00346181" w:rsidRPr="00A00B9B" w:rsidRDefault="00346181" w:rsidP="00346181">
            <w:pPr>
              <w:spacing w:before="60" w:after="40" w:line="288" w:lineRule="auto"/>
              <w:ind w:firstLine="0"/>
              <w:jc w:val="right"/>
              <w:rPr>
                <w:rFonts w:cs="Tahoma"/>
                <w:sz w:val="18"/>
                <w:szCs w:val="18"/>
              </w:rPr>
            </w:pPr>
            <w:r>
              <w:rPr>
                <w:rFonts w:cs="Tahoma"/>
                <w:sz w:val="18"/>
                <w:szCs w:val="18"/>
              </w:rPr>
              <w:t>208</w:t>
            </w:r>
          </w:p>
        </w:tc>
        <w:tc>
          <w:tcPr>
            <w:tcW w:w="717" w:type="dxa"/>
            <w:tcBorders>
              <w:top w:val="single" w:sz="4" w:space="0" w:color="auto"/>
              <w:left w:val="single" w:sz="4" w:space="0" w:color="auto"/>
              <w:bottom w:val="single" w:sz="4" w:space="0" w:color="auto"/>
              <w:right w:val="single" w:sz="4" w:space="0" w:color="auto"/>
            </w:tcBorders>
          </w:tcPr>
          <w:p w14:paraId="75F06280" w14:textId="192AAAC5" w:rsidR="00346181" w:rsidRPr="00A00B9B" w:rsidRDefault="00346181" w:rsidP="00346181">
            <w:pPr>
              <w:spacing w:before="60" w:after="40" w:line="288" w:lineRule="auto"/>
              <w:ind w:firstLine="0"/>
              <w:jc w:val="right"/>
              <w:rPr>
                <w:rFonts w:cs="Tahoma"/>
                <w:sz w:val="18"/>
                <w:szCs w:val="18"/>
              </w:rPr>
            </w:pPr>
            <w:r>
              <w:rPr>
                <w:rFonts w:cs="Tahoma"/>
                <w:sz w:val="18"/>
                <w:szCs w:val="18"/>
              </w:rPr>
              <w:t>180</w:t>
            </w:r>
          </w:p>
        </w:tc>
        <w:tc>
          <w:tcPr>
            <w:tcW w:w="716" w:type="dxa"/>
            <w:tcBorders>
              <w:top w:val="single" w:sz="4" w:space="0" w:color="auto"/>
              <w:left w:val="single" w:sz="4" w:space="0" w:color="auto"/>
              <w:bottom w:val="single" w:sz="4" w:space="0" w:color="auto"/>
              <w:right w:val="single" w:sz="4" w:space="0" w:color="auto"/>
            </w:tcBorders>
          </w:tcPr>
          <w:p w14:paraId="21FFCC87" w14:textId="597D1CE5" w:rsidR="00346181" w:rsidRPr="00A00B9B" w:rsidRDefault="00346181" w:rsidP="00346181">
            <w:pPr>
              <w:spacing w:before="60" w:after="40" w:line="288" w:lineRule="auto"/>
              <w:ind w:firstLine="0"/>
              <w:jc w:val="right"/>
              <w:rPr>
                <w:rFonts w:cs="Tahoma"/>
                <w:sz w:val="18"/>
                <w:szCs w:val="18"/>
              </w:rPr>
            </w:pPr>
            <w:r>
              <w:rPr>
                <w:rFonts w:cs="Tahoma"/>
                <w:sz w:val="18"/>
                <w:szCs w:val="18"/>
              </w:rPr>
              <w:t>180</w:t>
            </w:r>
          </w:p>
        </w:tc>
        <w:tc>
          <w:tcPr>
            <w:tcW w:w="716" w:type="dxa"/>
            <w:tcBorders>
              <w:top w:val="single" w:sz="4" w:space="0" w:color="auto"/>
              <w:left w:val="single" w:sz="4" w:space="0" w:color="auto"/>
              <w:bottom w:val="single" w:sz="4" w:space="0" w:color="auto"/>
              <w:right w:val="single" w:sz="4" w:space="0" w:color="auto"/>
            </w:tcBorders>
          </w:tcPr>
          <w:p w14:paraId="6D560C9D" w14:textId="6021DCF8" w:rsidR="00346181" w:rsidRPr="00A00B9B" w:rsidRDefault="00346181" w:rsidP="00346181">
            <w:pPr>
              <w:spacing w:before="60" w:after="40" w:line="288" w:lineRule="auto"/>
              <w:ind w:firstLine="0"/>
              <w:jc w:val="right"/>
              <w:rPr>
                <w:rFonts w:cs="Tahoma"/>
                <w:sz w:val="18"/>
                <w:szCs w:val="18"/>
              </w:rPr>
            </w:pPr>
            <w:r>
              <w:rPr>
                <w:rFonts w:cs="Tahoma"/>
                <w:sz w:val="18"/>
                <w:szCs w:val="18"/>
              </w:rPr>
              <w:t>180</w:t>
            </w:r>
          </w:p>
        </w:tc>
        <w:tc>
          <w:tcPr>
            <w:tcW w:w="717" w:type="dxa"/>
            <w:tcBorders>
              <w:top w:val="single" w:sz="4" w:space="0" w:color="auto"/>
              <w:left w:val="single" w:sz="4" w:space="0" w:color="auto"/>
              <w:bottom w:val="single" w:sz="4" w:space="0" w:color="auto"/>
              <w:right w:val="single" w:sz="4" w:space="0" w:color="auto"/>
            </w:tcBorders>
          </w:tcPr>
          <w:p w14:paraId="192EDE5F" w14:textId="37BF9442" w:rsidR="00346181" w:rsidRPr="00A00B9B" w:rsidRDefault="00456597" w:rsidP="00346181">
            <w:pPr>
              <w:spacing w:before="60" w:after="40" w:line="288" w:lineRule="auto"/>
              <w:ind w:firstLine="0"/>
              <w:jc w:val="right"/>
              <w:rPr>
                <w:rFonts w:cs="Tahoma"/>
                <w:sz w:val="18"/>
                <w:szCs w:val="18"/>
              </w:rPr>
            </w:pPr>
            <w:r>
              <w:rPr>
                <w:rFonts w:cs="Tahoma"/>
                <w:sz w:val="18"/>
                <w:szCs w:val="18"/>
              </w:rPr>
              <w:t>15</w:t>
            </w:r>
            <w:r w:rsidR="00346181">
              <w:rPr>
                <w:rFonts w:cs="Tahoma"/>
                <w:sz w:val="18"/>
                <w:szCs w:val="18"/>
              </w:rPr>
              <w:t>8</w:t>
            </w:r>
          </w:p>
        </w:tc>
        <w:tc>
          <w:tcPr>
            <w:tcW w:w="716" w:type="dxa"/>
            <w:tcBorders>
              <w:top w:val="single" w:sz="4" w:space="0" w:color="auto"/>
              <w:left w:val="single" w:sz="4" w:space="0" w:color="auto"/>
              <w:bottom w:val="single" w:sz="4" w:space="0" w:color="auto"/>
              <w:right w:val="single" w:sz="4" w:space="0" w:color="auto"/>
            </w:tcBorders>
          </w:tcPr>
          <w:p w14:paraId="36159564" w14:textId="3409B13D" w:rsidR="00346181" w:rsidRPr="00A00B9B" w:rsidRDefault="00456597" w:rsidP="00346181">
            <w:pPr>
              <w:spacing w:before="60" w:after="40" w:line="288" w:lineRule="auto"/>
              <w:ind w:firstLine="0"/>
              <w:jc w:val="right"/>
              <w:rPr>
                <w:rFonts w:cs="Tahoma"/>
                <w:sz w:val="18"/>
                <w:szCs w:val="18"/>
              </w:rPr>
            </w:pPr>
            <w:r>
              <w:rPr>
                <w:rFonts w:cs="Tahoma"/>
                <w:sz w:val="18"/>
                <w:szCs w:val="18"/>
              </w:rPr>
              <w:t>15</w:t>
            </w:r>
            <w:r w:rsidR="00346181">
              <w:rPr>
                <w:rFonts w:cs="Tahoma"/>
                <w:sz w:val="18"/>
                <w:szCs w:val="18"/>
              </w:rPr>
              <w:t>4</w:t>
            </w:r>
          </w:p>
        </w:tc>
        <w:tc>
          <w:tcPr>
            <w:tcW w:w="716" w:type="dxa"/>
            <w:tcBorders>
              <w:top w:val="single" w:sz="4" w:space="0" w:color="auto"/>
              <w:left w:val="single" w:sz="4" w:space="0" w:color="auto"/>
              <w:bottom w:val="single" w:sz="4" w:space="0" w:color="auto"/>
              <w:right w:val="single" w:sz="4" w:space="0" w:color="auto"/>
            </w:tcBorders>
          </w:tcPr>
          <w:p w14:paraId="7510DD9D" w14:textId="1E173378" w:rsidR="00346181" w:rsidRPr="00A00B9B" w:rsidRDefault="00456597" w:rsidP="00346181">
            <w:pPr>
              <w:spacing w:before="60" w:after="40" w:line="288" w:lineRule="auto"/>
              <w:ind w:firstLine="0"/>
              <w:jc w:val="right"/>
              <w:rPr>
                <w:rFonts w:cs="Tahoma"/>
                <w:sz w:val="18"/>
                <w:szCs w:val="18"/>
              </w:rPr>
            </w:pPr>
            <w:r>
              <w:rPr>
                <w:rFonts w:cs="Tahoma"/>
                <w:sz w:val="18"/>
                <w:szCs w:val="18"/>
              </w:rPr>
              <w:t>15</w:t>
            </w:r>
            <w:r w:rsidR="00346181">
              <w:rPr>
                <w:rFonts w:cs="Tahoma"/>
                <w:sz w:val="18"/>
                <w:szCs w:val="18"/>
              </w:rPr>
              <w:t>4</w:t>
            </w:r>
          </w:p>
        </w:tc>
        <w:tc>
          <w:tcPr>
            <w:tcW w:w="717" w:type="dxa"/>
            <w:tcBorders>
              <w:top w:val="single" w:sz="4" w:space="0" w:color="auto"/>
              <w:left w:val="single" w:sz="4" w:space="0" w:color="auto"/>
              <w:bottom w:val="single" w:sz="4" w:space="0" w:color="auto"/>
              <w:right w:val="single" w:sz="4" w:space="0" w:color="auto"/>
            </w:tcBorders>
          </w:tcPr>
          <w:p w14:paraId="2312CA65" w14:textId="28DBB8B6" w:rsidR="00346181" w:rsidRPr="00A00B9B" w:rsidRDefault="00456597" w:rsidP="00346181">
            <w:pPr>
              <w:spacing w:before="60" w:after="40" w:line="288" w:lineRule="auto"/>
              <w:ind w:firstLine="0"/>
              <w:jc w:val="right"/>
              <w:rPr>
                <w:rFonts w:cs="Tahoma"/>
                <w:sz w:val="18"/>
                <w:szCs w:val="18"/>
              </w:rPr>
            </w:pPr>
            <w:r>
              <w:rPr>
                <w:rFonts w:cs="Tahoma"/>
                <w:sz w:val="18"/>
                <w:szCs w:val="18"/>
              </w:rPr>
              <w:t>15</w:t>
            </w:r>
            <w:r w:rsidR="00346181">
              <w:rPr>
                <w:rFonts w:cs="Tahoma"/>
                <w:sz w:val="18"/>
                <w:szCs w:val="18"/>
              </w:rPr>
              <w:t>4</w:t>
            </w:r>
          </w:p>
        </w:tc>
        <w:tc>
          <w:tcPr>
            <w:tcW w:w="716" w:type="dxa"/>
            <w:tcBorders>
              <w:top w:val="single" w:sz="4" w:space="0" w:color="auto"/>
              <w:left w:val="single" w:sz="4" w:space="0" w:color="auto"/>
              <w:bottom w:val="single" w:sz="4" w:space="0" w:color="auto"/>
              <w:right w:val="single" w:sz="4" w:space="0" w:color="auto"/>
            </w:tcBorders>
          </w:tcPr>
          <w:p w14:paraId="22EB4FFF" w14:textId="2A037983" w:rsidR="00346181" w:rsidRPr="00A00B9B" w:rsidRDefault="00456597" w:rsidP="00346181">
            <w:pPr>
              <w:spacing w:before="60" w:after="40" w:line="288" w:lineRule="auto"/>
              <w:ind w:firstLine="0"/>
              <w:jc w:val="right"/>
              <w:rPr>
                <w:rFonts w:cs="Tahoma"/>
                <w:sz w:val="18"/>
                <w:szCs w:val="18"/>
              </w:rPr>
            </w:pPr>
            <w:r>
              <w:rPr>
                <w:rFonts w:cs="Tahoma"/>
                <w:sz w:val="18"/>
                <w:szCs w:val="18"/>
              </w:rPr>
              <w:t>15</w:t>
            </w:r>
            <w:r w:rsidR="00346181">
              <w:rPr>
                <w:rFonts w:cs="Tahoma"/>
                <w:sz w:val="18"/>
                <w:szCs w:val="18"/>
              </w:rPr>
              <w:t>4</w:t>
            </w:r>
          </w:p>
        </w:tc>
        <w:tc>
          <w:tcPr>
            <w:tcW w:w="716" w:type="dxa"/>
            <w:tcBorders>
              <w:top w:val="single" w:sz="4" w:space="0" w:color="auto"/>
              <w:left w:val="single" w:sz="4" w:space="0" w:color="auto"/>
              <w:bottom w:val="single" w:sz="4" w:space="0" w:color="auto"/>
              <w:right w:val="single" w:sz="4" w:space="0" w:color="auto"/>
            </w:tcBorders>
          </w:tcPr>
          <w:p w14:paraId="3868B22B" w14:textId="59C0B5F1" w:rsidR="00346181" w:rsidRPr="00A00B9B" w:rsidRDefault="00456597" w:rsidP="00346181">
            <w:pPr>
              <w:spacing w:before="60" w:after="40" w:line="288" w:lineRule="auto"/>
              <w:ind w:firstLine="0"/>
              <w:jc w:val="right"/>
              <w:rPr>
                <w:rFonts w:cs="Tahoma"/>
                <w:sz w:val="18"/>
                <w:szCs w:val="18"/>
              </w:rPr>
            </w:pPr>
            <w:r>
              <w:rPr>
                <w:rFonts w:cs="Tahoma"/>
                <w:sz w:val="18"/>
                <w:szCs w:val="18"/>
              </w:rPr>
              <w:t>14</w:t>
            </w:r>
            <w:r w:rsidR="00346181">
              <w:rPr>
                <w:rFonts w:cs="Tahoma"/>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2387EEDE" w14:textId="6A0D2540" w:rsidR="00346181" w:rsidRPr="00A00B9B" w:rsidRDefault="00456597" w:rsidP="00346181">
            <w:pPr>
              <w:spacing w:before="60" w:after="40" w:line="288" w:lineRule="auto"/>
              <w:ind w:firstLine="0"/>
              <w:jc w:val="right"/>
              <w:rPr>
                <w:rFonts w:cs="Tahoma"/>
                <w:sz w:val="18"/>
                <w:szCs w:val="18"/>
              </w:rPr>
            </w:pPr>
            <w:r>
              <w:rPr>
                <w:rFonts w:cs="Tahoma"/>
                <w:sz w:val="18"/>
                <w:szCs w:val="18"/>
              </w:rPr>
              <w:t>14</w:t>
            </w:r>
            <w:r w:rsidR="00346181">
              <w:rPr>
                <w:rFonts w:cs="Tahoma"/>
                <w:sz w:val="18"/>
                <w:szCs w:val="18"/>
              </w:rPr>
              <w:t>9</w:t>
            </w:r>
          </w:p>
        </w:tc>
        <w:tc>
          <w:tcPr>
            <w:tcW w:w="716" w:type="dxa"/>
            <w:tcBorders>
              <w:top w:val="single" w:sz="4" w:space="0" w:color="auto"/>
              <w:left w:val="single" w:sz="4" w:space="0" w:color="auto"/>
              <w:bottom w:val="single" w:sz="4" w:space="0" w:color="auto"/>
              <w:right w:val="single" w:sz="4" w:space="0" w:color="auto"/>
            </w:tcBorders>
          </w:tcPr>
          <w:p w14:paraId="30E38CEC" w14:textId="60577C33" w:rsidR="00346181" w:rsidRPr="00A00B9B" w:rsidRDefault="00456597" w:rsidP="00346181">
            <w:pPr>
              <w:spacing w:before="60" w:after="40" w:line="288" w:lineRule="auto"/>
              <w:ind w:firstLine="0"/>
              <w:jc w:val="right"/>
              <w:rPr>
                <w:rFonts w:cs="Tahoma"/>
                <w:sz w:val="18"/>
                <w:szCs w:val="18"/>
              </w:rPr>
            </w:pPr>
            <w:r>
              <w:rPr>
                <w:rFonts w:cs="Tahoma"/>
                <w:sz w:val="18"/>
                <w:szCs w:val="18"/>
              </w:rPr>
              <w:t>14</w:t>
            </w:r>
            <w:r w:rsidR="00346181">
              <w:rPr>
                <w:rFonts w:cs="Tahoma"/>
                <w:sz w:val="18"/>
                <w:szCs w:val="18"/>
              </w:rPr>
              <w:t>9</w:t>
            </w:r>
          </w:p>
        </w:tc>
        <w:tc>
          <w:tcPr>
            <w:tcW w:w="716" w:type="dxa"/>
            <w:tcBorders>
              <w:top w:val="single" w:sz="4" w:space="0" w:color="auto"/>
              <w:left w:val="single" w:sz="4" w:space="0" w:color="auto"/>
              <w:bottom w:val="single" w:sz="4" w:space="0" w:color="auto"/>
              <w:right w:val="single" w:sz="4" w:space="0" w:color="auto"/>
            </w:tcBorders>
          </w:tcPr>
          <w:p w14:paraId="3E531C64" w14:textId="28CBB42B" w:rsidR="00346181" w:rsidRPr="00A00B9B" w:rsidRDefault="00456597" w:rsidP="00346181">
            <w:pPr>
              <w:spacing w:before="60" w:after="40" w:line="288" w:lineRule="auto"/>
              <w:ind w:firstLine="0"/>
              <w:jc w:val="right"/>
              <w:rPr>
                <w:rFonts w:cs="Tahoma"/>
                <w:sz w:val="18"/>
                <w:szCs w:val="18"/>
              </w:rPr>
            </w:pPr>
            <w:r>
              <w:rPr>
                <w:rFonts w:cs="Tahoma"/>
                <w:sz w:val="18"/>
                <w:szCs w:val="18"/>
              </w:rPr>
              <w:t>14</w:t>
            </w:r>
            <w:r w:rsidR="00346181">
              <w:rPr>
                <w:rFonts w:cs="Tahoma"/>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24A1FE25" w14:textId="3030359A" w:rsidR="00346181" w:rsidRPr="00A00B9B" w:rsidRDefault="00456597" w:rsidP="00346181">
            <w:pPr>
              <w:spacing w:before="60" w:after="40" w:line="288" w:lineRule="auto"/>
              <w:ind w:firstLine="0"/>
              <w:jc w:val="right"/>
              <w:rPr>
                <w:rFonts w:cs="Tahoma"/>
                <w:sz w:val="18"/>
                <w:szCs w:val="18"/>
              </w:rPr>
            </w:pPr>
            <w:r>
              <w:rPr>
                <w:rFonts w:cs="Tahoma"/>
                <w:sz w:val="18"/>
                <w:szCs w:val="18"/>
              </w:rPr>
              <w:t>14</w:t>
            </w:r>
            <w:r w:rsidR="00346181">
              <w:rPr>
                <w:rFonts w:cs="Tahoma"/>
                <w:sz w:val="18"/>
                <w:szCs w:val="18"/>
              </w:rPr>
              <w:t>9</w:t>
            </w:r>
          </w:p>
        </w:tc>
      </w:tr>
      <w:tr w:rsidR="00346181" w:rsidRPr="00A00B9B" w14:paraId="58B77BB2" w14:textId="77777777" w:rsidTr="000F6DBA">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088C2591" w14:textId="01A49AC8" w:rsidR="00346181" w:rsidRPr="00A00B9B" w:rsidRDefault="00346181" w:rsidP="00346181">
            <w:pPr>
              <w:spacing w:before="60" w:after="40" w:line="288" w:lineRule="auto"/>
              <w:ind w:firstLine="0"/>
              <w:jc w:val="center"/>
              <w:rPr>
                <w:rFonts w:cs="Tahoma"/>
                <w:sz w:val="18"/>
                <w:szCs w:val="18"/>
              </w:rPr>
            </w:pPr>
            <w:r w:rsidRPr="00A00B9B">
              <w:rPr>
                <w:rFonts w:cs="Tahoma"/>
                <w:sz w:val="18"/>
                <w:szCs w:val="18"/>
              </w:rPr>
              <w:t>6</w:t>
            </w:r>
          </w:p>
        </w:tc>
        <w:tc>
          <w:tcPr>
            <w:tcW w:w="1985" w:type="dxa"/>
            <w:tcBorders>
              <w:top w:val="single" w:sz="4" w:space="0" w:color="auto"/>
              <w:left w:val="single" w:sz="4" w:space="0" w:color="auto"/>
              <w:bottom w:val="single" w:sz="4" w:space="0" w:color="auto"/>
              <w:right w:val="single" w:sz="4" w:space="0" w:color="auto"/>
            </w:tcBorders>
            <w:vAlign w:val="center"/>
          </w:tcPr>
          <w:p w14:paraId="0389DB8F" w14:textId="77777777" w:rsidR="00346181" w:rsidRPr="00A00B9B" w:rsidRDefault="00346181" w:rsidP="00346181">
            <w:pPr>
              <w:spacing w:before="60" w:after="40" w:line="288" w:lineRule="auto"/>
              <w:ind w:firstLine="0"/>
              <w:jc w:val="left"/>
              <w:rPr>
                <w:rFonts w:cs="Tahoma"/>
                <w:sz w:val="18"/>
                <w:szCs w:val="18"/>
              </w:rPr>
            </w:pPr>
            <w:r w:rsidRPr="00A00B9B">
              <w:rPr>
                <w:rFonts w:cs="Tahoma"/>
                <w:sz w:val="18"/>
                <w:szCs w:val="18"/>
              </w:rPr>
              <w:t>Zeroemisyjne</w:t>
            </w:r>
          </w:p>
        </w:tc>
        <w:tc>
          <w:tcPr>
            <w:tcW w:w="716" w:type="dxa"/>
            <w:tcBorders>
              <w:top w:val="single" w:sz="4" w:space="0" w:color="auto"/>
              <w:left w:val="single" w:sz="4" w:space="0" w:color="auto"/>
              <w:bottom w:val="single" w:sz="4" w:space="0" w:color="auto"/>
              <w:right w:val="single" w:sz="4" w:space="0" w:color="auto"/>
            </w:tcBorders>
            <w:vAlign w:val="center"/>
          </w:tcPr>
          <w:p w14:paraId="5AB8B30C" w14:textId="1FEB8338" w:rsidR="00346181" w:rsidRPr="00A00B9B" w:rsidRDefault="00346181" w:rsidP="00346181">
            <w:pPr>
              <w:spacing w:before="60" w:after="40" w:line="288" w:lineRule="auto"/>
              <w:ind w:firstLine="0"/>
              <w:jc w:val="right"/>
              <w:rPr>
                <w:rFonts w:cs="Tahoma"/>
                <w:sz w:val="18"/>
                <w:szCs w:val="18"/>
              </w:rPr>
            </w:pPr>
            <w:r>
              <w:rPr>
                <w:rFonts w:cs="Tahoma"/>
                <w:sz w:val="18"/>
                <w:szCs w:val="18"/>
              </w:rPr>
              <w:t>1</w:t>
            </w: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7AB9B2BD" w14:textId="4030FC57" w:rsidR="00346181" w:rsidRPr="00A00B9B" w:rsidRDefault="00346181" w:rsidP="00346181">
            <w:pPr>
              <w:spacing w:before="60" w:after="40" w:line="288" w:lineRule="auto"/>
              <w:ind w:firstLine="0"/>
              <w:jc w:val="right"/>
              <w:rPr>
                <w:rFonts w:cs="Tahoma"/>
                <w:sz w:val="18"/>
                <w:szCs w:val="18"/>
              </w:rPr>
            </w:pPr>
            <w:r>
              <w:rPr>
                <w:rFonts w:cs="Tahoma"/>
                <w:sz w:val="18"/>
                <w:szCs w:val="18"/>
              </w:rPr>
              <w:t>1</w:t>
            </w: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410B05A1" w14:textId="5F9C7B61" w:rsidR="00346181" w:rsidRPr="00A00B9B" w:rsidRDefault="00346181" w:rsidP="00346181">
            <w:pPr>
              <w:spacing w:before="60" w:after="40" w:line="288" w:lineRule="auto"/>
              <w:ind w:firstLine="0"/>
              <w:jc w:val="right"/>
              <w:rPr>
                <w:rFonts w:cs="Tahoma"/>
                <w:sz w:val="18"/>
                <w:szCs w:val="18"/>
              </w:rPr>
            </w:pPr>
            <w:r>
              <w:rPr>
                <w:rFonts w:cs="Tahoma"/>
                <w:sz w:val="18"/>
                <w:szCs w:val="18"/>
              </w:rPr>
              <w:t>12</w:t>
            </w:r>
          </w:p>
        </w:tc>
        <w:tc>
          <w:tcPr>
            <w:tcW w:w="717" w:type="dxa"/>
            <w:tcBorders>
              <w:top w:val="single" w:sz="4" w:space="0" w:color="auto"/>
              <w:left w:val="single" w:sz="4" w:space="0" w:color="auto"/>
              <w:bottom w:val="single" w:sz="4" w:space="0" w:color="auto"/>
              <w:right w:val="single" w:sz="4" w:space="0" w:color="auto"/>
            </w:tcBorders>
            <w:vAlign w:val="center"/>
          </w:tcPr>
          <w:p w14:paraId="5EE3CCD3" w14:textId="3B6FAE13" w:rsidR="00346181" w:rsidRPr="00A00B9B" w:rsidRDefault="00346181" w:rsidP="00346181">
            <w:pPr>
              <w:spacing w:before="60" w:after="40" w:line="288" w:lineRule="auto"/>
              <w:ind w:firstLine="0"/>
              <w:jc w:val="right"/>
              <w:rPr>
                <w:rFonts w:cs="Tahoma"/>
                <w:sz w:val="18"/>
                <w:szCs w:val="18"/>
              </w:rPr>
            </w:pPr>
            <w:r>
              <w:rPr>
                <w:rFonts w:cs="Tahoma"/>
                <w:sz w:val="18"/>
                <w:szCs w:val="18"/>
              </w:rPr>
              <w:t>45</w:t>
            </w:r>
          </w:p>
        </w:tc>
        <w:tc>
          <w:tcPr>
            <w:tcW w:w="716" w:type="dxa"/>
            <w:tcBorders>
              <w:top w:val="single" w:sz="4" w:space="0" w:color="auto"/>
              <w:left w:val="single" w:sz="4" w:space="0" w:color="auto"/>
              <w:bottom w:val="single" w:sz="4" w:space="0" w:color="auto"/>
              <w:right w:val="single" w:sz="4" w:space="0" w:color="auto"/>
            </w:tcBorders>
            <w:vAlign w:val="center"/>
          </w:tcPr>
          <w:p w14:paraId="6435A499" w14:textId="064C738A" w:rsidR="00346181" w:rsidRPr="00A00B9B" w:rsidRDefault="00346181" w:rsidP="00346181">
            <w:pPr>
              <w:spacing w:before="60" w:after="40" w:line="288" w:lineRule="auto"/>
              <w:ind w:firstLine="0"/>
              <w:jc w:val="right"/>
              <w:rPr>
                <w:rFonts w:cs="Tahoma"/>
                <w:sz w:val="18"/>
                <w:szCs w:val="18"/>
              </w:rPr>
            </w:pPr>
            <w:r>
              <w:rPr>
                <w:rFonts w:cs="Tahoma"/>
                <w:sz w:val="18"/>
                <w:szCs w:val="18"/>
              </w:rPr>
              <w:t>45</w:t>
            </w:r>
          </w:p>
        </w:tc>
        <w:tc>
          <w:tcPr>
            <w:tcW w:w="716" w:type="dxa"/>
            <w:tcBorders>
              <w:top w:val="single" w:sz="4" w:space="0" w:color="auto"/>
              <w:left w:val="single" w:sz="4" w:space="0" w:color="auto"/>
              <w:bottom w:val="single" w:sz="4" w:space="0" w:color="auto"/>
              <w:right w:val="single" w:sz="4" w:space="0" w:color="auto"/>
            </w:tcBorders>
            <w:vAlign w:val="center"/>
          </w:tcPr>
          <w:p w14:paraId="78F87BA3" w14:textId="0225EC50" w:rsidR="00346181" w:rsidRPr="00A00B9B" w:rsidRDefault="00346181" w:rsidP="00346181">
            <w:pPr>
              <w:spacing w:before="60" w:after="40" w:line="288" w:lineRule="auto"/>
              <w:ind w:firstLine="0"/>
              <w:jc w:val="right"/>
              <w:rPr>
                <w:rFonts w:cs="Tahoma"/>
                <w:sz w:val="18"/>
                <w:szCs w:val="18"/>
              </w:rPr>
            </w:pPr>
            <w:r>
              <w:rPr>
                <w:rFonts w:cs="Tahoma"/>
                <w:sz w:val="18"/>
                <w:szCs w:val="18"/>
              </w:rPr>
              <w:t>45</w:t>
            </w:r>
          </w:p>
        </w:tc>
        <w:tc>
          <w:tcPr>
            <w:tcW w:w="717" w:type="dxa"/>
            <w:tcBorders>
              <w:top w:val="single" w:sz="4" w:space="0" w:color="auto"/>
              <w:left w:val="single" w:sz="4" w:space="0" w:color="auto"/>
              <w:bottom w:val="single" w:sz="4" w:space="0" w:color="auto"/>
              <w:right w:val="single" w:sz="4" w:space="0" w:color="auto"/>
            </w:tcBorders>
            <w:vAlign w:val="center"/>
          </w:tcPr>
          <w:p w14:paraId="6FAC184B" w14:textId="71C1FC66" w:rsidR="00346181" w:rsidRPr="00A00B9B" w:rsidRDefault="00456597" w:rsidP="00346181">
            <w:pPr>
              <w:spacing w:before="60" w:after="40" w:line="288" w:lineRule="auto"/>
              <w:ind w:firstLine="0"/>
              <w:jc w:val="right"/>
              <w:rPr>
                <w:rFonts w:cs="Tahoma"/>
                <w:sz w:val="18"/>
                <w:szCs w:val="18"/>
              </w:rPr>
            </w:pPr>
            <w:r>
              <w:rPr>
                <w:rFonts w:cs="Tahoma"/>
                <w:sz w:val="18"/>
                <w:szCs w:val="18"/>
              </w:rPr>
              <w:t>69</w:t>
            </w:r>
          </w:p>
        </w:tc>
        <w:tc>
          <w:tcPr>
            <w:tcW w:w="716" w:type="dxa"/>
            <w:tcBorders>
              <w:top w:val="single" w:sz="4" w:space="0" w:color="auto"/>
              <w:left w:val="single" w:sz="4" w:space="0" w:color="auto"/>
              <w:bottom w:val="single" w:sz="4" w:space="0" w:color="auto"/>
              <w:right w:val="single" w:sz="4" w:space="0" w:color="auto"/>
            </w:tcBorders>
            <w:vAlign w:val="center"/>
          </w:tcPr>
          <w:p w14:paraId="382CEDA8" w14:textId="467D4264" w:rsidR="00346181" w:rsidRPr="00A00B9B" w:rsidRDefault="00456597" w:rsidP="00346181">
            <w:pPr>
              <w:spacing w:before="60" w:after="40" w:line="288" w:lineRule="auto"/>
              <w:ind w:firstLine="0"/>
              <w:jc w:val="right"/>
              <w:rPr>
                <w:rFonts w:cs="Tahoma"/>
                <w:sz w:val="18"/>
                <w:szCs w:val="18"/>
              </w:rPr>
            </w:pPr>
            <w:r>
              <w:rPr>
                <w:rFonts w:cs="Tahoma"/>
                <w:sz w:val="18"/>
                <w:szCs w:val="18"/>
              </w:rPr>
              <w:t>73</w:t>
            </w:r>
          </w:p>
        </w:tc>
        <w:tc>
          <w:tcPr>
            <w:tcW w:w="716" w:type="dxa"/>
            <w:tcBorders>
              <w:top w:val="single" w:sz="4" w:space="0" w:color="auto"/>
              <w:left w:val="single" w:sz="4" w:space="0" w:color="auto"/>
              <w:bottom w:val="single" w:sz="4" w:space="0" w:color="auto"/>
              <w:right w:val="single" w:sz="4" w:space="0" w:color="auto"/>
            </w:tcBorders>
            <w:vAlign w:val="center"/>
          </w:tcPr>
          <w:p w14:paraId="2EA61BFA" w14:textId="5534B25C" w:rsidR="00346181" w:rsidRPr="00A00B9B" w:rsidRDefault="00456597" w:rsidP="00346181">
            <w:pPr>
              <w:spacing w:before="60" w:after="40" w:line="288" w:lineRule="auto"/>
              <w:ind w:firstLine="0"/>
              <w:jc w:val="right"/>
              <w:rPr>
                <w:rFonts w:cs="Tahoma"/>
                <w:sz w:val="18"/>
                <w:szCs w:val="18"/>
              </w:rPr>
            </w:pPr>
            <w:r>
              <w:rPr>
                <w:rFonts w:cs="Tahoma"/>
                <w:sz w:val="18"/>
                <w:szCs w:val="18"/>
              </w:rPr>
              <w:t>73</w:t>
            </w:r>
          </w:p>
        </w:tc>
        <w:tc>
          <w:tcPr>
            <w:tcW w:w="717" w:type="dxa"/>
            <w:tcBorders>
              <w:top w:val="single" w:sz="4" w:space="0" w:color="auto"/>
              <w:left w:val="single" w:sz="4" w:space="0" w:color="auto"/>
              <w:bottom w:val="single" w:sz="4" w:space="0" w:color="auto"/>
              <w:right w:val="single" w:sz="4" w:space="0" w:color="auto"/>
            </w:tcBorders>
            <w:vAlign w:val="center"/>
          </w:tcPr>
          <w:p w14:paraId="358C0669" w14:textId="60335D41" w:rsidR="00346181" w:rsidRPr="00A00B9B" w:rsidRDefault="00456597" w:rsidP="00346181">
            <w:pPr>
              <w:spacing w:before="60" w:after="40" w:line="288" w:lineRule="auto"/>
              <w:ind w:firstLine="0"/>
              <w:jc w:val="right"/>
              <w:rPr>
                <w:rFonts w:cs="Tahoma"/>
                <w:sz w:val="18"/>
                <w:szCs w:val="18"/>
              </w:rPr>
            </w:pPr>
            <w:r>
              <w:rPr>
                <w:rFonts w:cs="Tahoma"/>
                <w:sz w:val="18"/>
                <w:szCs w:val="18"/>
              </w:rPr>
              <w:t>73</w:t>
            </w:r>
          </w:p>
        </w:tc>
        <w:tc>
          <w:tcPr>
            <w:tcW w:w="716" w:type="dxa"/>
            <w:tcBorders>
              <w:top w:val="single" w:sz="4" w:space="0" w:color="auto"/>
              <w:left w:val="single" w:sz="4" w:space="0" w:color="auto"/>
              <w:bottom w:val="single" w:sz="4" w:space="0" w:color="auto"/>
              <w:right w:val="single" w:sz="4" w:space="0" w:color="auto"/>
            </w:tcBorders>
            <w:vAlign w:val="center"/>
          </w:tcPr>
          <w:p w14:paraId="57DEB3A6" w14:textId="19EDB826" w:rsidR="00346181" w:rsidRPr="00A00B9B" w:rsidRDefault="00456597" w:rsidP="00346181">
            <w:pPr>
              <w:spacing w:before="60" w:after="40" w:line="288" w:lineRule="auto"/>
              <w:ind w:firstLine="0"/>
              <w:jc w:val="right"/>
              <w:rPr>
                <w:rFonts w:cs="Tahoma"/>
                <w:sz w:val="18"/>
                <w:szCs w:val="18"/>
              </w:rPr>
            </w:pPr>
            <w:r>
              <w:rPr>
                <w:rFonts w:cs="Tahoma"/>
                <w:sz w:val="18"/>
                <w:szCs w:val="18"/>
              </w:rPr>
              <w:t>73</w:t>
            </w:r>
          </w:p>
        </w:tc>
        <w:tc>
          <w:tcPr>
            <w:tcW w:w="716" w:type="dxa"/>
            <w:tcBorders>
              <w:top w:val="single" w:sz="4" w:space="0" w:color="auto"/>
              <w:left w:val="single" w:sz="4" w:space="0" w:color="auto"/>
              <w:bottom w:val="single" w:sz="4" w:space="0" w:color="auto"/>
              <w:right w:val="single" w:sz="4" w:space="0" w:color="auto"/>
            </w:tcBorders>
            <w:vAlign w:val="center"/>
          </w:tcPr>
          <w:p w14:paraId="159EC86A" w14:textId="257BA040"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c>
          <w:tcPr>
            <w:tcW w:w="717" w:type="dxa"/>
            <w:tcBorders>
              <w:top w:val="single" w:sz="4" w:space="0" w:color="auto"/>
              <w:left w:val="single" w:sz="4" w:space="0" w:color="auto"/>
              <w:bottom w:val="single" w:sz="4" w:space="0" w:color="auto"/>
              <w:right w:val="single" w:sz="4" w:space="0" w:color="auto"/>
            </w:tcBorders>
            <w:vAlign w:val="center"/>
          </w:tcPr>
          <w:p w14:paraId="077B4D93" w14:textId="36F87EB2"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c>
          <w:tcPr>
            <w:tcW w:w="716" w:type="dxa"/>
            <w:tcBorders>
              <w:top w:val="single" w:sz="4" w:space="0" w:color="auto"/>
              <w:left w:val="single" w:sz="4" w:space="0" w:color="auto"/>
              <w:bottom w:val="single" w:sz="4" w:space="0" w:color="auto"/>
              <w:right w:val="single" w:sz="4" w:space="0" w:color="auto"/>
            </w:tcBorders>
            <w:vAlign w:val="center"/>
          </w:tcPr>
          <w:p w14:paraId="205BA352" w14:textId="74057F1D"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c>
          <w:tcPr>
            <w:tcW w:w="716" w:type="dxa"/>
            <w:tcBorders>
              <w:top w:val="single" w:sz="4" w:space="0" w:color="auto"/>
              <w:left w:val="single" w:sz="4" w:space="0" w:color="auto"/>
              <w:bottom w:val="single" w:sz="4" w:space="0" w:color="auto"/>
              <w:right w:val="single" w:sz="4" w:space="0" w:color="auto"/>
            </w:tcBorders>
            <w:vAlign w:val="center"/>
          </w:tcPr>
          <w:p w14:paraId="5156C52D" w14:textId="44FEEFE4"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c>
          <w:tcPr>
            <w:tcW w:w="717" w:type="dxa"/>
            <w:tcBorders>
              <w:top w:val="single" w:sz="4" w:space="0" w:color="auto"/>
              <w:left w:val="single" w:sz="4" w:space="0" w:color="auto"/>
              <w:bottom w:val="single" w:sz="4" w:space="0" w:color="auto"/>
              <w:right w:val="single" w:sz="4" w:space="0" w:color="auto"/>
            </w:tcBorders>
            <w:vAlign w:val="center"/>
          </w:tcPr>
          <w:p w14:paraId="76954CFD" w14:textId="6D6D0283" w:rsidR="00346181" w:rsidRPr="00A00B9B" w:rsidRDefault="00456597" w:rsidP="00346181">
            <w:pPr>
              <w:spacing w:before="60" w:after="40" w:line="288" w:lineRule="auto"/>
              <w:ind w:firstLine="0"/>
              <w:jc w:val="right"/>
              <w:rPr>
                <w:rFonts w:cs="Tahoma"/>
                <w:sz w:val="18"/>
                <w:szCs w:val="18"/>
              </w:rPr>
            </w:pPr>
            <w:r>
              <w:rPr>
                <w:rFonts w:cs="Tahoma"/>
                <w:sz w:val="18"/>
                <w:szCs w:val="18"/>
              </w:rPr>
              <w:t>79</w:t>
            </w:r>
          </w:p>
        </w:tc>
      </w:tr>
      <w:tr w:rsidR="00346181" w:rsidRPr="00A00B9B" w14:paraId="538D3F83"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114A30" w14:textId="0470F6E2" w:rsidR="00346181" w:rsidRPr="00A00B9B" w:rsidRDefault="00346181" w:rsidP="00346181">
            <w:pPr>
              <w:spacing w:before="60" w:after="40" w:line="288" w:lineRule="auto"/>
              <w:ind w:firstLine="0"/>
              <w:jc w:val="center"/>
              <w:rPr>
                <w:rFonts w:cs="Tahoma"/>
                <w:i/>
                <w:sz w:val="18"/>
                <w:szCs w:val="18"/>
              </w:rPr>
            </w:pPr>
            <w:r w:rsidRPr="00A00B9B">
              <w:rPr>
                <w:rFonts w:cs="Tahoma"/>
                <w:i/>
                <w:sz w:val="18"/>
                <w:szCs w:val="18"/>
              </w:rPr>
              <w:t>6a</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57C3D7" w14:textId="2F490E41" w:rsidR="00346181" w:rsidRPr="00A00B9B" w:rsidRDefault="00346181" w:rsidP="00346181">
            <w:pPr>
              <w:spacing w:before="60" w:after="40" w:line="288" w:lineRule="auto"/>
              <w:ind w:firstLine="0"/>
              <w:jc w:val="left"/>
              <w:rPr>
                <w:rFonts w:cs="Tahoma"/>
                <w:i/>
                <w:sz w:val="18"/>
                <w:szCs w:val="18"/>
              </w:rPr>
            </w:pPr>
            <w:r w:rsidRPr="00A00B9B">
              <w:rPr>
                <w:rFonts w:cs="Tahoma"/>
                <w:i/>
                <w:sz w:val="18"/>
                <w:szCs w:val="18"/>
              </w:rPr>
              <w:t>Udział we flocie</w:t>
            </w:r>
            <w:r>
              <w:rPr>
                <w:rFonts w:cs="Tahoma"/>
                <w:i/>
                <w:sz w:val="18"/>
                <w:szCs w:val="18"/>
              </w:rPr>
              <w:t xml:space="preserve"> </w:t>
            </w:r>
            <w:r w:rsidRPr="00A00B9B">
              <w:rPr>
                <w:rFonts w:cs="Tahoma"/>
                <w:i/>
                <w:sz w:val="18"/>
                <w:szCs w:val="18"/>
              </w:rPr>
              <w:t>[%]</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00F5FC" w14:textId="1110BBF5" w:rsidR="00346181" w:rsidRPr="00A00B9B" w:rsidRDefault="00346181" w:rsidP="00346181">
            <w:pPr>
              <w:spacing w:before="60" w:after="40" w:line="288" w:lineRule="auto"/>
              <w:ind w:firstLine="0"/>
              <w:jc w:val="right"/>
              <w:rPr>
                <w:rFonts w:cs="Tahoma"/>
                <w:i/>
                <w:sz w:val="18"/>
                <w:szCs w:val="18"/>
              </w:rPr>
            </w:pPr>
            <w:r>
              <w:rPr>
                <w:rFonts w:cs="Tahoma"/>
                <w:i/>
                <w:sz w:val="18"/>
                <w:szCs w:val="18"/>
              </w:rPr>
              <w:t>4,4</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E98715" w14:textId="153D49AA" w:rsidR="00346181" w:rsidRPr="00A00B9B" w:rsidRDefault="00346181" w:rsidP="00346181">
            <w:pPr>
              <w:spacing w:before="60" w:after="40" w:line="288" w:lineRule="auto"/>
              <w:ind w:firstLine="0"/>
              <w:jc w:val="right"/>
              <w:rPr>
                <w:rFonts w:cs="Tahoma"/>
                <w:i/>
                <w:sz w:val="18"/>
                <w:szCs w:val="18"/>
              </w:rPr>
            </w:pPr>
            <w:r>
              <w:rPr>
                <w:rFonts w:cs="Tahoma"/>
                <w:i/>
                <w:sz w:val="18"/>
                <w:szCs w:val="18"/>
              </w:rPr>
              <w:t>4,5</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F015DB" w14:textId="15C45C91" w:rsidR="00346181" w:rsidRPr="00A00B9B" w:rsidRDefault="00346181" w:rsidP="00346181">
            <w:pPr>
              <w:spacing w:before="60" w:after="40" w:line="288" w:lineRule="auto"/>
              <w:ind w:firstLine="0"/>
              <w:jc w:val="right"/>
              <w:rPr>
                <w:rFonts w:cs="Tahoma"/>
                <w:i/>
                <w:sz w:val="18"/>
                <w:szCs w:val="18"/>
              </w:rPr>
            </w:pPr>
            <w:r>
              <w:rPr>
                <w:rFonts w:cs="Tahoma"/>
                <w:i/>
                <w:sz w:val="18"/>
                <w:szCs w:val="18"/>
              </w:rPr>
              <w:t>5,5</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835B9B" w14:textId="44852006" w:rsidR="00346181" w:rsidRPr="00A00B9B" w:rsidRDefault="00456597" w:rsidP="00346181">
            <w:pPr>
              <w:spacing w:before="60" w:after="40" w:line="288" w:lineRule="auto"/>
              <w:ind w:firstLine="0"/>
              <w:jc w:val="right"/>
              <w:rPr>
                <w:rFonts w:cs="Tahoma"/>
                <w:i/>
                <w:sz w:val="18"/>
                <w:szCs w:val="18"/>
              </w:rPr>
            </w:pPr>
            <w:r>
              <w:rPr>
                <w:rFonts w:cs="Tahoma"/>
                <w:i/>
                <w:sz w:val="18"/>
                <w:szCs w:val="18"/>
              </w:rPr>
              <w:t>20,0</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5E3CA0" w14:textId="422A602B" w:rsidR="00346181" w:rsidRPr="00A00B9B" w:rsidRDefault="00456597" w:rsidP="00346181">
            <w:pPr>
              <w:spacing w:before="60" w:after="40" w:line="288" w:lineRule="auto"/>
              <w:ind w:firstLine="0"/>
              <w:jc w:val="right"/>
              <w:rPr>
                <w:rFonts w:cs="Tahoma"/>
                <w:i/>
                <w:sz w:val="18"/>
                <w:szCs w:val="18"/>
              </w:rPr>
            </w:pPr>
            <w:r>
              <w:rPr>
                <w:rFonts w:cs="Tahoma"/>
                <w:i/>
                <w:sz w:val="18"/>
                <w:szCs w:val="18"/>
              </w:rPr>
              <w:t>20,0</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488E81" w14:textId="6EB8313A" w:rsidR="00346181" w:rsidRPr="00A00B9B" w:rsidRDefault="00456597" w:rsidP="00346181">
            <w:pPr>
              <w:spacing w:before="60" w:after="40" w:line="288" w:lineRule="auto"/>
              <w:ind w:firstLine="0"/>
              <w:jc w:val="right"/>
              <w:rPr>
                <w:rFonts w:cs="Tahoma"/>
                <w:i/>
                <w:sz w:val="18"/>
                <w:szCs w:val="18"/>
              </w:rPr>
            </w:pPr>
            <w:r>
              <w:rPr>
                <w:rFonts w:cs="Tahoma"/>
                <w:i/>
                <w:sz w:val="18"/>
                <w:szCs w:val="18"/>
              </w:rPr>
              <w:t>20,0</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8FD689" w14:textId="2B457595" w:rsidR="00346181" w:rsidRPr="00A00B9B" w:rsidRDefault="00456597" w:rsidP="00346181">
            <w:pPr>
              <w:spacing w:before="60" w:after="40" w:line="288" w:lineRule="auto"/>
              <w:ind w:firstLine="0"/>
              <w:jc w:val="right"/>
              <w:rPr>
                <w:rFonts w:cs="Tahoma"/>
                <w:i/>
                <w:sz w:val="18"/>
                <w:szCs w:val="18"/>
              </w:rPr>
            </w:pPr>
            <w:r>
              <w:rPr>
                <w:rFonts w:cs="Tahoma"/>
                <w:i/>
                <w:sz w:val="18"/>
                <w:szCs w:val="18"/>
              </w:rPr>
              <w:t>30,4</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26205C" w14:textId="39F34464" w:rsidR="00346181" w:rsidRPr="00A00B9B" w:rsidRDefault="00456597" w:rsidP="00346181">
            <w:pPr>
              <w:spacing w:before="60" w:after="40" w:line="288" w:lineRule="auto"/>
              <w:ind w:firstLine="0"/>
              <w:jc w:val="right"/>
              <w:rPr>
                <w:rFonts w:cs="Tahoma"/>
                <w:i/>
                <w:sz w:val="18"/>
                <w:szCs w:val="18"/>
              </w:rPr>
            </w:pPr>
            <w:r>
              <w:rPr>
                <w:rFonts w:cs="Tahoma"/>
                <w:i/>
                <w:sz w:val="18"/>
                <w:szCs w:val="18"/>
              </w:rPr>
              <w:t>32,2</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B4340C" w14:textId="44937556" w:rsidR="00346181" w:rsidRPr="00A00B9B" w:rsidRDefault="00456597" w:rsidP="00346181">
            <w:pPr>
              <w:spacing w:before="60" w:after="40" w:line="288" w:lineRule="auto"/>
              <w:ind w:firstLine="0"/>
              <w:jc w:val="right"/>
              <w:rPr>
                <w:rFonts w:cs="Tahoma"/>
                <w:i/>
                <w:sz w:val="18"/>
                <w:szCs w:val="18"/>
              </w:rPr>
            </w:pPr>
            <w:r>
              <w:rPr>
                <w:rFonts w:cs="Tahoma"/>
                <w:i/>
                <w:sz w:val="18"/>
                <w:szCs w:val="18"/>
              </w:rPr>
              <w:t>32,2</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3DAD45" w14:textId="6809493E" w:rsidR="00346181" w:rsidRPr="00A00B9B" w:rsidRDefault="00456597" w:rsidP="00346181">
            <w:pPr>
              <w:spacing w:before="60" w:after="40" w:line="288" w:lineRule="auto"/>
              <w:ind w:firstLine="0"/>
              <w:jc w:val="right"/>
              <w:rPr>
                <w:rFonts w:cs="Tahoma"/>
                <w:i/>
                <w:sz w:val="18"/>
                <w:szCs w:val="18"/>
              </w:rPr>
            </w:pPr>
            <w:r>
              <w:rPr>
                <w:rFonts w:cs="Tahoma"/>
                <w:i/>
                <w:sz w:val="18"/>
                <w:szCs w:val="18"/>
              </w:rPr>
              <w:t>32,2</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2CDBAC" w14:textId="474BCA08" w:rsidR="00346181" w:rsidRPr="00A00B9B" w:rsidRDefault="00456597" w:rsidP="00346181">
            <w:pPr>
              <w:spacing w:before="60" w:after="40" w:line="288" w:lineRule="auto"/>
              <w:ind w:firstLine="0"/>
              <w:jc w:val="right"/>
              <w:rPr>
                <w:rFonts w:cs="Tahoma"/>
                <w:i/>
                <w:sz w:val="18"/>
                <w:szCs w:val="18"/>
              </w:rPr>
            </w:pPr>
            <w:r>
              <w:rPr>
                <w:rFonts w:cs="Tahoma"/>
                <w:i/>
                <w:sz w:val="18"/>
                <w:szCs w:val="18"/>
              </w:rPr>
              <w:t>32,2</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F44AC0" w14:textId="41926E12" w:rsidR="00346181" w:rsidRPr="00A00B9B" w:rsidRDefault="00456597" w:rsidP="00346181">
            <w:pPr>
              <w:spacing w:before="60" w:after="40" w:line="288" w:lineRule="auto"/>
              <w:ind w:firstLine="0"/>
              <w:jc w:val="right"/>
              <w:rPr>
                <w:rFonts w:cs="Tahoma"/>
                <w:i/>
                <w:sz w:val="18"/>
                <w:szCs w:val="18"/>
              </w:rPr>
            </w:pPr>
            <w:r>
              <w:rPr>
                <w:rFonts w:cs="Tahoma"/>
                <w:i/>
                <w:sz w:val="18"/>
                <w:szCs w:val="18"/>
              </w:rPr>
              <w:t>34,6</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E4657D" w14:textId="29958839" w:rsidR="00346181" w:rsidRPr="00A00B9B" w:rsidRDefault="00456597" w:rsidP="00346181">
            <w:pPr>
              <w:spacing w:before="60" w:after="40" w:line="288" w:lineRule="auto"/>
              <w:ind w:firstLine="0"/>
              <w:jc w:val="right"/>
              <w:rPr>
                <w:rFonts w:cs="Tahoma"/>
                <w:i/>
                <w:sz w:val="18"/>
                <w:szCs w:val="18"/>
              </w:rPr>
            </w:pPr>
            <w:r>
              <w:rPr>
                <w:rFonts w:cs="Tahoma"/>
                <w:i/>
                <w:sz w:val="18"/>
                <w:szCs w:val="18"/>
              </w:rPr>
              <w:t>34,6</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166007" w14:textId="6897CAD2" w:rsidR="00346181" w:rsidRPr="00A00B9B" w:rsidRDefault="00456597" w:rsidP="00346181">
            <w:pPr>
              <w:spacing w:before="60" w:after="40" w:line="288" w:lineRule="auto"/>
              <w:ind w:firstLine="0"/>
              <w:jc w:val="right"/>
              <w:rPr>
                <w:rFonts w:cs="Tahoma"/>
                <w:i/>
                <w:sz w:val="18"/>
                <w:szCs w:val="18"/>
              </w:rPr>
            </w:pPr>
            <w:r>
              <w:rPr>
                <w:rFonts w:cs="Tahoma"/>
                <w:i/>
                <w:sz w:val="18"/>
                <w:szCs w:val="18"/>
              </w:rPr>
              <w:t>34,6</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760AFD" w14:textId="224CCB82" w:rsidR="00346181" w:rsidRPr="00A00B9B" w:rsidRDefault="00456597" w:rsidP="00346181">
            <w:pPr>
              <w:spacing w:before="60" w:after="40" w:line="288" w:lineRule="auto"/>
              <w:ind w:firstLine="0"/>
              <w:jc w:val="right"/>
              <w:rPr>
                <w:rFonts w:cs="Tahoma"/>
                <w:i/>
                <w:sz w:val="18"/>
                <w:szCs w:val="18"/>
              </w:rPr>
            </w:pPr>
            <w:r>
              <w:rPr>
                <w:rFonts w:cs="Tahoma"/>
                <w:i/>
                <w:sz w:val="18"/>
                <w:szCs w:val="18"/>
              </w:rPr>
              <w:t>34,6</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6EAA6E" w14:textId="7727FF4F" w:rsidR="00346181" w:rsidRPr="00A00B9B" w:rsidRDefault="00456597" w:rsidP="00346181">
            <w:pPr>
              <w:spacing w:before="60" w:after="40" w:line="288" w:lineRule="auto"/>
              <w:ind w:firstLine="0"/>
              <w:jc w:val="right"/>
              <w:rPr>
                <w:rFonts w:cs="Tahoma"/>
                <w:i/>
                <w:sz w:val="18"/>
                <w:szCs w:val="18"/>
              </w:rPr>
            </w:pPr>
            <w:r>
              <w:rPr>
                <w:rFonts w:cs="Tahoma"/>
                <w:i/>
                <w:sz w:val="18"/>
                <w:szCs w:val="18"/>
              </w:rPr>
              <w:t>34,6</w:t>
            </w:r>
          </w:p>
        </w:tc>
      </w:tr>
      <w:tr w:rsidR="00346181" w:rsidRPr="00A00B9B" w14:paraId="44F13164" w14:textId="77777777" w:rsidTr="000F6DBA">
        <w:trPr>
          <w:cantSplit/>
          <w:jc w:val="center"/>
        </w:trPr>
        <w:tc>
          <w:tcPr>
            <w:tcW w:w="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CA60AD" w14:textId="50C783AA" w:rsidR="00346181" w:rsidRPr="00A00B9B" w:rsidRDefault="00346181" w:rsidP="00346181">
            <w:pPr>
              <w:spacing w:before="60" w:after="40" w:line="288" w:lineRule="auto"/>
              <w:ind w:firstLine="0"/>
              <w:jc w:val="center"/>
              <w:rPr>
                <w:rFonts w:cs="Tahoma"/>
                <w:i/>
                <w:sz w:val="18"/>
                <w:szCs w:val="18"/>
              </w:rPr>
            </w:pPr>
            <w:r w:rsidRPr="00A00B9B">
              <w:rPr>
                <w:rFonts w:cs="Tahoma"/>
                <w:i/>
                <w:sz w:val="18"/>
                <w:szCs w:val="18"/>
              </w:rPr>
              <w:t>7</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EBAFC1" w14:textId="668FC60E" w:rsidR="00346181" w:rsidRPr="00A00B9B" w:rsidRDefault="00346181" w:rsidP="00346181">
            <w:pPr>
              <w:spacing w:before="60" w:after="40" w:line="288" w:lineRule="auto"/>
              <w:ind w:firstLine="0"/>
              <w:jc w:val="left"/>
              <w:rPr>
                <w:rFonts w:cs="Tahoma"/>
                <w:i/>
                <w:sz w:val="18"/>
                <w:szCs w:val="18"/>
              </w:rPr>
            </w:pPr>
            <w:r w:rsidRPr="00A00B9B">
              <w:rPr>
                <w:rFonts w:cs="Tahoma"/>
                <w:i/>
                <w:sz w:val="18"/>
                <w:szCs w:val="18"/>
              </w:rPr>
              <w:t>Średni wiek floty [lat]</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C24FF6" w14:textId="188225FD" w:rsidR="00346181" w:rsidRPr="00FA7A70" w:rsidRDefault="00346181" w:rsidP="00346181">
            <w:pPr>
              <w:spacing w:before="60" w:after="40" w:line="288" w:lineRule="auto"/>
              <w:ind w:firstLine="0"/>
              <w:jc w:val="right"/>
              <w:rPr>
                <w:rFonts w:cs="Tahoma"/>
                <w:i/>
                <w:sz w:val="18"/>
                <w:szCs w:val="18"/>
              </w:rPr>
            </w:pPr>
            <w:r>
              <w:rPr>
                <w:rFonts w:cs="Tahoma"/>
                <w:i/>
                <w:sz w:val="18"/>
                <w:szCs w:val="18"/>
              </w:rPr>
              <w:t>6,2</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8269D4" w14:textId="6D89466E" w:rsidR="00346181" w:rsidRPr="00FA7A70" w:rsidRDefault="00346181" w:rsidP="00346181">
            <w:pPr>
              <w:spacing w:before="60" w:after="40" w:line="288" w:lineRule="auto"/>
              <w:ind w:firstLine="0"/>
              <w:jc w:val="right"/>
              <w:rPr>
                <w:rFonts w:cs="Tahoma"/>
                <w:i/>
                <w:sz w:val="18"/>
                <w:szCs w:val="18"/>
              </w:rPr>
            </w:pPr>
            <w:r>
              <w:rPr>
                <w:rFonts w:cs="Tahoma"/>
                <w:i/>
                <w:sz w:val="18"/>
                <w:szCs w:val="18"/>
              </w:rPr>
              <w:t>7,2</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22E592" w14:textId="291FEFF5" w:rsidR="00346181" w:rsidRPr="00FA7A70" w:rsidRDefault="00346181" w:rsidP="00346181">
            <w:pPr>
              <w:spacing w:before="60" w:after="40" w:line="288" w:lineRule="auto"/>
              <w:ind w:firstLine="0"/>
              <w:jc w:val="right"/>
              <w:rPr>
                <w:rFonts w:cs="Tahoma"/>
                <w:i/>
                <w:sz w:val="18"/>
                <w:szCs w:val="18"/>
              </w:rPr>
            </w:pPr>
            <w:r>
              <w:rPr>
                <w:rFonts w:cs="Tahoma"/>
                <w:i/>
                <w:sz w:val="18"/>
                <w:szCs w:val="18"/>
              </w:rPr>
              <w:t>7,9</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CE001C" w14:textId="547A65AC" w:rsidR="00346181" w:rsidRPr="00FA7A70" w:rsidRDefault="00456597" w:rsidP="00346181">
            <w:pPr>
              <w:spacing w:before="60" w:after="40" w:line="288" w:lineRule="auto"/>
              <w:ind w:firstLine="0"/>
              <w:jc w:val="right"/>
              <w:rPr>
                <w:rFonts w:cs="Tahoma"/>
                <w:i/>
                <w:sz w:val="18"/>
                <w:szCs w:val="18"/>
              </w:rPr>
            </w:pPr>
            <w:r>
              <w:rPr>
                <w:rFonts w:cs="Tahoma"/>
                <w:i/>
                <w:sz w:val="18"/>
                <w:szCs w:val="18"/>
              </w:rPr>
              <w:t>7,3</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E70591" w14:textId="769B4794" w:rsidR="00346181" w:rsidRPr="00FA7A70" w:rsidRDefault="00456597" w:rsidP="00346181">
            <w:pPr>
              <w:spacing w:before="60" w:after="40" w:line="288" w:lineRule="auto"/>
              <w:ind w:firstLine="0"/>
              <w:jc w:val="right"/>
              <w:rPr>
                <w:rFonts w:cs="Tahoma"/>
                <w:i/>
                <w:sz w:val="18"/>
                <w:szCs w:val="18"/>
              </w:rPr>
            </w:pPr>
            <w:r>
              <w:rPr>
                <w:rFonts w:cs="Tahoma"/>
                <w:i/>
                <w:sz w:val="18"/>
                <w:szCs w:val="18"/>
              </w:rPr>
              <w:t>6,5</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CD6BE2" w14:textId="3E15FFA3" w:rsidR="00346181" w:rsidRPr="00FA7A70" w:rsidRDefault="00456597" w:rsidP="00346181">
            <w:pPr>
              <w:spacing w:before="60" w:after="40" w:line="288" w:lineRule="auto"/>
              <w:ind w:firstLine="0"/>
              <w:jc w:val="right"/>
              <w:rPr>
                <w:rFonts w:cs="Tahoma"/>
                <w:i/>
                <w:sz w:val="18"/>
                <w:szCs w:val="18"/>
              </w:rPr>
            </w:pPr>
            <w:r>
              <w:rPr>
                <w:rFonts w:cs="Tahoma"/>
                <w:i/>
                <w:sz w:val="18"/>
                <w:szCs w:val="18"/>
              </w:rPr>
              <w:t>7,5</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B09FA3" w14:textId="6CFCE841" w:rsidR="00346181" w:rsidRPr="00FA7A70" w:rsidRDefault="00456597" w:rsidP="00346181">
            <w:pPr>
              <w:spacing w:before="60" w:after="40" w:line="288" w:lineRule="auto"/>
              <w:ind w:firstLine="0"/>
              <w:jc w:val="right"/>
              <w:rPr>
                <w:rFonts w:cs="Tahoma"/>
                <w:i/>
                <w:sz w:val="18"/>
                <w:szCs w:val="18"/>
              </w:rPr>
            </w:pPr>
            <w:r>
              <w:rPr>
                <w:rFonts w:cs="Tahoma"/>
                <w:i/>
                <w:sz w:val="18"/>
                <w:szCs w:val="18"/>
              </w:rPr>
              <w:t>8,5</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E8DE39" w14:textId="3D66EFDD" w:rsidR="00346181" w:rsidRPr="00FA7A70" w:rsidRDefault="00456597" w:rsidP="00346181">
            <w:pPr>
              <w:spacing w:before="60" w:after="40" w:line="288" w:lineRule="auto"/>
              <w:ind w:firstLine="0"/>
              <w:jc w:val="right"/>
              <w:rPr>
                <w:rFonts w:cs="Tahoma"/>
                <w:i/>
                <w:sz w:val="18"/>
                <w:szCs w:val="18"/>
              </w:rPr>
            </w:pPr>
            <w:r>
              <w:rPr>
                <w:rFonts w:cs="Tahoma"/>
                <w:i/>
                <w:sz w:val="18"/>
                <w:szCs w:val="18"/>
              </w:rPr>
              <w:t>7,5</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A1F86A" w14:textId="310CBAA4" w:rsidR="00346181" w:rsidRPr="00FA7A70" w:rsidRDefault="00456597" w:rsidP="00346181">
            <w:pPr>
              <w:spacing w:before="60" w:after="40" w:line="288" w:lineRule="auto"/>
              <w:ind w:firstLine="0"/>
              <w:jc w:val="right"/>
              <w:rPr>
                <w:rFonts w:cs="Tahoma"/>
                <w:i/>
                <w:sz w:val="18"/>
                <w:szCs w:val="18"/>
              </w:rPr>
            </w:pPr>
            <w:r>
              <w:rPr>
                <w:rFonts w:cs="Tahoma"/>
                <w:i/>
                <w:sz w:val="18"/>
                <w:szCs w:val="18"/>
              </w:rPr>
              <w:t>6,8</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C3CDD4" w14:textId="5060F8BF" w:rsidR="00346181" w:rsidRPr="00FA7A70" w:rsidRDefault="00456597" w:rsidP="00346181">
            <w:pPr>
              <w:spacing w:before="60" w:after="40" w:line="288" w:lineRule="auto"/>
              <w:ind w:firstLine="0"/>
              <w:jc w:val="right"/>
              <w:rPr>
                <w:rFonts w:cs="Tahoma"/>
                <w:i/>
                <w:sz w:val="18"/>
                <w:szCs w:val="18"/>
              </w:rPr>
            </w:pPr>
            <w:r>
              <w:rPr>
                <w:rFonts w:cs="Tahoma"/>
                <w:i/>
                <w:sz w:val="18"/>
                <w:szCs w:val="18"/>
              </w:rPr>
              <w:t>7,8</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BC1742" w14:textId="3333A90E" w:rsidR="00346181" w:rsidRPr="00FA7A70" w:rsidRDefault="00456597" w:rsidP="00346181">
            <w:pPr>
              <w:spacing w:before="60" w:after="40" w:line="288" w:lineRule="auto"/>
              <w:ind w:firstLine="0"/>
              <w:jc w:val="right"/>
              <w:rPr>
                <w:rFonts w:cs="Tahoma"/>
                <w:i/>
                <w:sz w:val="18"/>
                <w:szCs w:val="18"/>
              </w:rPr>
            </w:pPr>
            <w:r>
              <w:rPr>
                <w:rFonts w:cs="Tahoma"/>
                <w:i/>
                <w:sz w:val="18"/>
                <w:szCs w:val="18"/>
              </w:rPr>
              <w:t>8,4</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D4FF43" w14:textId="5FE9469D" w:rsidR="00346181" w:rsidRPr="00FA7A70" w:rsidRDefault="00456597" w:rsidP="00346181">
            <w:pPr>
              <w:spacing w:before="60" w:after="40" w:line="288" w:lineRule="auto"/>
              <w:ind w:firstLine="0"/>
              <w:jc w:val="right"/>
              <w:rPr>
                <w:rFonts w:cs="Tahoma"/>
                <w:i/>
                <w:sz w:val="18"/>
                <w:szCs w:val="18"/>
              </w:rPr>
            </w:pPr>
            <w:r>
              <w:rPr>
                <w:rFonts w:cs="Tahoma"/>
                <w:i/>
                <w:sz w:val="18"/>
                <w:szCs w:val="18"/>
              </w:rPr>
              <w:t>9,3</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51A7B4" w14:textId="1346EEA6" w:rsidR="00346181" w:rsidRPr="00FA7A70" w:rsidRDefault="00456597" w:rsidP="00346181">
            <w:pPr>
              <w:spacing w:before="60" w:after="40" w:line="288" w:lineRule="auto"/>
              <w:ind w:firstLine="0"/>
              <w:jc w:val="right"/>
              <w:rPr>
                <w:rFonts w:cs="Tahoma"/>
                <w:i/>
                <w:sz w:val="18"/>
                <w:szCs w:val="18"/>
              </w:rPr>
            </w:pPr>
            <w:r>
              <w:rPr>
                <w:rFonts w:cs="Tahoma"/>
                <w:i/>
                <w:sz w:val="18"/>
                <w:szCs w:val="18"/>
              </w:rPr>
              <w:t>9,6</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9B4954" w14:textId="233E0237" w:rsidR="00346181" w:rsidRPr="00FA7A70" w:rsidRDefault="00456597" w:rsidP="00346181">
            <w:pPr>
              <w:spacing w:before="60" w:after="40" w:line="288" w:lineRule="auto"/>
              <w:ind w:firstLine="0"/>
              <w:jc w:val="right"/>
              <w:rPr>
                <w:rFonts w:cs="Tahoma"/>
                <w:i/>
                <w:sz w:val="18"/>
                <w:szCs w:val="18"/>
              </w:rPr>
            </w:pPr>
            <w:r>
              <w:rPr>
                <w:rFonts w:cs="Tahoma"/>
                <w:i/>
                <w:sz w:val="18"/>
                <w:szCs w:val="18"/>
              </w:rPr>
              <w:t>9,6</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7A80D6" w14:textId="1CE7BC64" w:rsidR="00346181" w:rsidRPr="00FA7A70" w:rsidRDefault="00456597" w:rsidP="00346181">
            <w:pPr>
              <w:spacing w:before="60" w:after="40" w:line="288" w:lineRule="auto"/>
              <w:ind w:firstLine="0"/>
              <w:jc w:val="right"/>
              <w:rPr>
                <w:rFonts w:cs="Tahoma"/>
                <w:i/>
                <w:sz w:val="18"/>
                <w:szCs w:val="18"/>
              </w:rPr>
            </w:pPr>
            <w:r>
              <w:rPr>
                <w:rFonts w:cs="Tahoma"/>
                <w:i/>
                <w:sz w:val="18"/>
                <w:szCs w:val="18"/>
              </w:rPr>
              <w:t>9,6</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590A68" w14:textId="01331BF4" w:rsidR="00346181" w:rsidRPr="00FA7A70" w:rsidRDefault="00456597" w:rsidP="00346181">
            <w:pPr>
              <w:spacing w:before="60" w:after="40" w:line="288" w:lineRule="auto"/>
              <w:ind w:firstLine="0"/>
              <w:jc w:val="right"/>
              <w:rPr>
                <w:rFonts w:cs="Tahoma"/>
                <w:i/>
                <w:sz w:val="18"/>
                <w:szCs w:val="18"/>
              </w:rPr>
            </w:pPr>
            <w:r>
              <w:rPr>
                <w:rFonts w:cs="Tahoma"/>
                <w:i/>
                <w:sz w:val="18"/>
                <w:szCs w:val="18"/>
              </w:rPr>
              <w:t>9,2</w:t>
            </w:r>
          </w:p>
        </w:tc>
      </w:tr>
    </w:tbl>
    <w:p w14:paraId="74009BAC" w14:textId="0B71A261" w:rsidR="005C5BE9" w:rsidRDefault="005C5BE9" w:rsidP="00346181">
      <w:pPr>
        <w:spacing w:before="120" w:after="240"/>
        <w:ind w:firstLine="0"/>
        <w:jc w:val="left"/>
        <w:rPr>
          <w:rFonts w:cs="Tahoma"/>
          <w:sz w:val="20"/>
          <w:szCs w:val="20"/>
        </w:rPr>
      </w:pPr>
      <w:r w:rsidRPr="00A00B9B">
        <w:rPr>
          <w:rFonts w:cs="Tahoma"/>
          <w:sz w:val="20"/>
          <w:szCs w:val="20"/>
        </w:rPr>
        <w:t xml:space="preserve">Źródło: opracowanie własne na podstawie danych </w:t>
      </w:r>
      <w:r w:rsidR="00C73F5E">
        <w:rPr>
          <w:rFonts w:cs="Tahoma"/>
          <w:sz w:val="20"/>
          <w:szCs w:val="20"/>
        </w:rPr>
        <w:t>MPK</w:t>
      </w:r>
      <w:r w:rsidR="006F3550">
        <w:rPr>
          <w:rFonts w:cs="Tahoma"/>
          <w:sz w:val="20"/>
          <w:szCs w:val="20"/>
        </w:rPr>
        <w:t>-Rzeszów</w:t>
      </w:r>
      <w:r w:rsidR="00C73F5E">
        <w:rPr>
          <w:rFonts w:cs="Tahoma"/>
          <w:sz w:val="20"/>
          <w:szCs w:val="20"/>
        </w:rPr>
        <w:t xml:space="preserve"> </w:t>
      </w:r>
      <w:r w:rsidR="00CE5A5C" w:rsidRPr="00A00B9B">
        <w:rPr>
          <w:rFonts w:cs="Tahoma"/>
          <w:sz w:val="20"/>
          <w:szCs w:val="20"/>
        </w:rPr>
        <w:t>s</w:t>
      </w:r>
      <w:r w:rsidRPr="00A00B9B">
        <w:rPr>
          <w:rFonts w:cs="Tahoma"/>
          <w:sz w:val="20"/>
          <w:szCs w:val="20"/>
        </w:rPr>
        <w:t>p. z o.o.</w:t>
      </w:r>
    </w:p>
    <w:p w14:paraId="5ECC868E" w14:textId="72B22ED0" w:rsidR="00490B8A" w:rsidRDefault="00490B8A" w:rsidP="00346181">
      <w:pPr>
        <w:spacing w:line="240" w:lineRule="auto"/>
        <w:ind w:firstLine="0"/>
        <w:jc w:val="left"/>
        <w:rPr>
          <w:rFonts w:cs="Tahoma"/>
          <w:sz w:val="20"/>
          <w:szCs w:val="20"/>
        </w:rPr>
      </w:pPr>
      <w:r>
        <w:rPr>
          <w:rFonts w:cs="Tahoma"/>
          <w:sz w:val="20"/>
          <w:szCs w:val="20"/>
        </w:rPr>
        <w:br w:type="page"/>
      </w:r>
    </w:p>
    <w:p w14:paraId="64178BD9" w14:textId="0BDFB2B4" w:rsidR="00490B8A" w:rsidRPr="00A00B9B" w:rsidRDefault="00490B8A" w:rsidP="00B55E29">
      <w:pPr>
        <w:pStyle w:val="Legenda"/>
        <w:keepNext/>
        <w:spacing w:before="240" w:after="0"/>
        <w:ind w:firstLine="0"/>
        <w:jc w:val="left"/>
        <w:rPr>
          <w:color w:val="000000"/>
          <w:sz w:val="22"/>
          <w:szCs w:val="22"/>
        </w:rPr>
      </w:pPr>
      <w:r w:rsidRPr="00A00B9B">
        <w:rPr>
          <w:color w:val="000000"/>
          <w:sz w:val="22"/>
          <w:szCs w:val="22"/>
        </w:rPr>
        <w:lastRenderedPageBreak/>
        <w:t xml:space="preserve">Tab. </w:t>
      </w:r>
      <w:r w:rsidRPr="00A00B9B">
        <w:rPr>
          <w:color w:val="000000"/>
          <w:sz w:val="22"/>
          <w:szCs w:val="22"/>
        </w:rPr>
        <w:fldChar w:fldCharType="begin"/>
      </w:r>
      <w:r w:rsidRPr="00A00B9B">
        <w:rPr>
          <w:color w:val="000000"/>
          <w:sz w:val="22"/>
          <w:szCs w:val="22"/>
        </w:rPr>
        <w:instrText xml:space="preserve"> SEQ Tab. \* ARABIC </w:instrText>
      </w:r>
      <w:r w:rsidRPr="00A00B9B">
        <w:rPr>
          <w:color w:val="000000"/>
          <w:sz w:val="22"/>
          <w:szCs w:val="22"/>
        </w:rPr>
        <w:fldChar w:fldCharType="separate"/>
      </w:r>
      <w:r w:rsidR="004605BC">
        <w:rPr>
          <w:noProof/>
          <w:color w:val="000000"/>
          <w:sz w:val="22"/>
          <w:szCs w:val="22"/>
        </w:rPr>
        <w:t>7</w:t>
      </w:r>
      <w:r w:rsidRPr="00A00B9B">
        <w:rPr>
          <w:color w:val="000000"/>
          <w:sz w:val="22"/>
          <w:szCs w:val="22"/>
        </w:rPr>
        <w:fldChar w:fldCharType="end"/>
      </w:r>
      <w:r w:rsidRPr="00A00B9B">
        <w:rPr>
          <w:color w:val="000000"/>
          <w:sz w:val="22"/>
          <w:szCs w:val="22"/>
        </w:rPr>
        <w:t xml:space="preserve">. Harmonogram wymiany taboru </w:t>
      </w:r>
      <w:r w:rsidR="00C73F5E">
        <w:rPr>
          <w:color w:val="000000"/>
          <w:sz w:val="22"/>
          <w:szCs w:val="22"/>
        </w:rPr>
        <w:t>rzeszowskie</w:t>
      </w:r>
      <w:r>
        <w:rPr>
          <w:color w:val="000000"/>
          <w:sz w:val="22"/>
          <w:szCs w:val="22"/>
        </w:rPr>
        <w:t xml:space="preserve">j </w:t>
      </w:r>
      <w:r w:rsidRPr="00A00B9B">
        <w:rPr>
          <w:color w:val="000000"/>
          <w:sz w:val="22"/>
          <w:szCs w:val="22"/>
        </w:rPr>
        <w:t xml:space="preserve">komunikacji miejskiej w latach 2021-2036 w wariancie </w:t>
      </w:r>
      <w:r w:rsidR="00456597">
        <w:rPr>
          <w:color w:val="000000"/>
          <w:sz w:val="22"/>
          <w:szCs w:val="22"/>
        </w:rPr>
        <w:t>wodorowym</w:t>
      </w:r>
    </w:p>
    <w:tbl>
      <w:tblPr>
        <w:tblW w:w="140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59"/>
        <w:gridCol w:w="1985"/>
        <w:gridCol w:w="716"/>
        <w:gridCol w:w="716"/>
        <w:gridCol w:w="716"/>
        <w:gridCol w:w="717"/>
        <w:gridCol w:w="716"/>
        <w:gridCol w:w="716"/>
        <w:gridCol w:w="717"/>
        <w:gridCol w:w="716"/>
        <w:gridCol w:w="716"/>
        <w:gridCol w:w="717"/>
        <w:gridCol w:w="716"/>
        <w:gridCol w:w="716"/>
        <w:gridCol w:w="717"/>
        <w:gridCol w:w="716"/>
        <w:gridCol w:w="716"/>
        <w:gridCol w:w="717"/>
      </w:tblGrid>
      <w:tr w:rsidR="00490B8A" w:rsidRPr="00A00B9B" w14:paraId="19DAD038" w14:textId="77777777" w:rsidTr="005F1C24">
        <w:trPr>
          <w:cantSplit/>
          <w:tblHeader/>
          <w:jc w:val="center"/>
        </w:trPr>
        <w:tc>
          <w:tcPr>
            <w:tcW w:w="559" w:type="dxa"/>
            <w:vMerge w:val="restart"/>
            <w:shd w:val="clear" w:color="auto" w:fill="FFFF99"/>
            <w:vAlign w:val="center"/>
          </w:tcPr>
          <w:p w14:paraId="765D0155"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Lp.</w:t>
            </w:r>
          </w:p>
        </w:tc>
        <w:tc>
          <w:tcPr>
            <w:tcW w:w="1985" w:type="dxa"/>
            <w:vMerge w:val="restart"/>
            <w:shd w:val="clear" w:color="auto" w:fill="FFFF99"/>
            <w:vAlign w:val="center"/>
          </w:tcPr>
          <w:p w14:paraId="69092398"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Typ taboru</w:t>
            </w:r>
            <w:r w:rsidRPr="00A00B9B">
              <w:rPr>
                <w:rFonts w:cs="Tahoma"/>
                <w:b/>
                <w:sz w:val="18"/>
                <w:szCs w:val="18"/>
              </w:rPr>
              <w:br/>
              <w:t>– napęd</w:t>
            </w:r>
          </w:p>
        </w:tc>
        <w:tc>
          <w:tcPr>
            <w:tcW w:w="11461" w:type="dxa"/>
            <w:gridSpan w:val="16"/>
            <w:shd w:val="clear" w:color="auto" w:fill="FFFF99"/>
            <w:vAlign w:val="center"/>
          </w:tcPr>
          <w:p w14:paraId="1EA77907"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Rozpatrywany rok</w:t>
            </w:r>
          </w:p>
        </w:tc>
      </w:tr>
      <w:tr w:rsidR="00490B8A" w:rsidRPr="00A00B9B" w14:paraId="39D746BC" w14:textId="77777777" w:rsidTr="005F1C24">
        <w:trPr>
          <w:cantSplit/>
          <w:tblHeader/>
          <w:jc w:val="center"/>
        </w:trPr>
        <w:tc>
          <w:tcPr>
            <w:tcW w:w="559" w:type="dxa"/>
            <w:vMerge/>
            <w:shd w:val="clear" w:color="auto" w:fill="FFFF99"/>
            <w:vAlign w:val="center"/>
          </w:tcPr>
          <w:p w14:paraId="7A72C38A" w14:textId="77777777" w:rsidR="00490B8A" w:rsidRPr="00A00B9B" w:rsidRDefault="00490B8A" w:rsidP="00B55E29">
            <w:pPr>
              <w:keepNext/>
              <w:spacing w:before="60" w:after="40" w:line="288" w:lineRule="auto"/>
              <w:ind w:firstLine="0"/>
              <w:jc w:val="center"/>
              <w:rPr>
                <w:rFonts w:cs="Tahoma"/>
                <w:b/>
                <w:sz w:val="18"/>
                <w:szCs w:val="18"/>
              </w:rPr>
            </w:pPr>
          </w:p>
        </w:tc>
        <w:tc>
          <w:tcPr>
            <w:tcW w:w="1985" w:type="dxa"/>
            <w:vMerge/>
            <w:shd w:val="clear" w:color="auto" w:fill="FFFF99"/>
            <w:vAlign w:val="center"/>
          </w:tcPr>
          <w:p w14:paraId="1FC4851D" w14:textId="77777777" w:rsidR="00490B8A" w:rsidRPr="00A00B9B" w:rsidRDefault="00490B8A" w:rsidP="00B55E29">
            <w:pPr>
              <w:keepNext/>
              <w:spacing w:before="60" w:after="40" w:line="288" w:lineRule="auto"/>
              <w:ind w:firstLine="0"/>
              <w:jc w:val="center"/>
              <w:rPr>
                <w:rFonts w:cs="Tahoma"/>
                <w:b/>
                <w:sz w:val="18"/>
                <w:szCs w:val="18"/>
              </w:rPr>
            </w:pPr>
          </w:p>
        </w:tc>
        <w:tc>
          <w:tcPr>
            <w:tcW w:w="716" w:type="dxa"/>
            <w:shd w:val="clear" w:color="auto" w:fill="FFFF99"/>
            <w:vAlign w:val="center"/>
          </w:tcPr>
          <w:p w14:paraId="5133664D"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2021</w:t>
            </w:r>
          </w:p>
        </w:tc>
        <w:tc>
          <w:tcPr>
            <w:tcW w:w="716" w:type="dxa"/>
            <w:shd w:val="clear" w:color="auto" w:fill="FFFF99"/>
            <w:vAlign w:val="center"/>
          </w:tcPr>
          <w:p w14:paraId="3BE87DBA"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2022</w:t>
            </w:r>
          </w:p>
        </w:tc>
        <w:tc>
          <w:tcPr>
            <w:tcW w:w="716" w:type="dxa"/>
            <w:shd w:val="clear" w:color="auto" w:fill="FFFF99"/>
            <w:vAlign w:val="center"/>
          </w:tcPr>
          <w:p w14:paraId="612C15AB"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2023</w:t>
            </w:r>
          </w:p>
        </w:tc>
        <w:tc>
          <w:tcPr>
            <w:tcW w:w="717" w:type="dxa"/>
            <w:shd w:val="clear" w:color="auto" w:fill="FFFF99"/>
            <w:vAlign w:val="center"/>
          </w:tcPr>
          <w:p w14:paraId="73483DCD"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2024</w:t>
            </w:r>
          </w:p>
        </w:tc>
        <w:tc>
          <w:tcPr>
            <w:tcW w:w="716" w:type="dxa"/>
            <w:shd w:val="clear" w:color="auto" w:fill="FFFF99"/>
            <w:vAlign w:val="center"/>
          </w:tcPr>
          <w:p w14:paraId="3577C4E7"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2025</w:t>
            </w:r>
          </w:p>
        </w:tc>
        <w:tc>
          <w:tcPr>
            <w:tcW w:w="716" w:type="dxa"/>
            <w:shd w:val="clear" w:color="auto" w:fill="FFFF99"/>
            <w:vAlign w:val="center"/>
          </w:tcPr>
          <w:p w14:paraId="4EC9AD41"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2026</w:t>
            </w:r>
          </w:p>
        </w:tc>
        <w:tc>
          <w:tcPr>
            <w:tcW w:w="717" w:type="dxa"/>
            <w:shd w:val="clear" w:color="auto" w:fill="FFFF99"/>
            <w:vAlign w:val="center"/>
          </w:tcPr>
          <w:p w14:paraId="2A088090"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2027</w:t>
            </w:r>
          </w:p>
        </w:tc>
        <w:tc>
          <w:tcPr>
            <w:tcW w:w="716" w:type="dxa"/>
            <w:shd w:val="clear" w:color="auto" w:fill="FFFF99"/>
            <w:vAlign w:val="center"/>
          </w:tcPr>
          <w:p w14:paraId="2338E802"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2028</w:t>
            </w:r>
          </w:p>
        </w:tc>
        <w:tc>
          <w:tcPr>
            <w:tcW w:w="716" w:type="dxa"/>
            <w:shd w:val="clear" w:color="auto" w:fill="FFFF99"/>
            <w:vAlign w:val="center"/>
          </w:tcPr>
          <w:p w14:paraId="59296A71"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2029</w:t>
            </w:r>
          </w:p>
        </w:tc>
        <w:tc>
          <w:tcPr>
            <w:tcW w:w="717" w:type="dxa"/>
            <w:shd w:val="clear" w:color="auto" w:fill="FFFF99"/>
            <w:vAlign w:val="center"/>
          </w:tcPr>
          <w:p w14:paraId="24E56976"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2030</w:t>
            </w:r>
          </w:p>
        </w:tc>
        <w:tc>
          <w:tcPr>
            <w:tcW w:w="716" w:type="dxa"/>
            <w:shd w:val="clear" w:color="auto" w:fill="FFFF99"/>
            <w:vAlign w:val="center"/>
          </w:tcPr>
          <w:p w14:paraId="100BA9BD"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2031</w:t>
            </w:r>
          </w:p>
        </w:tc>
        <w:tc>
          <w:tcPr>
            <w:tcW w:w="716" w:type="dxa"/>
            <w:shd w:val="clear" w:color="auto" w:fill="FFFF99"/>
            <w:vAlign w:val="center"/>
          </w:tcPr>
          <w:p w14:paraId="2A7B7148"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2032</w:t>
            </w:r>
          </w:p>
        </w:tc>
        <w:tc>
          <w:tcPr>
            <w:tcW w:w="717" w:type="dxa"/>
            <w:shd w:val="clear" w:color="auto" w:fill="FFFF99"/>
            <w:vAlign w:val="center"/>
          </w:tcPr>
          <w:p w14:paraId="5CB5A4C8"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2033</w:t>
            </w:r>
          </w:p>
        </w:tc>
        <w:tc>
          <w:tcPr>
            <w:tcW w:w="716" w:type="dxa"/>
            <w:shd w:val="clear" w:color="auto" w:fill="FFFF99"/>
            <w:vAlign w:val="center"/>
          </w:tcPr>
          <w:p w14:paraId="3F7F6D64"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2034</w:t>
            </w:r>
          </w:p>
        </w:tc>
        <w:tc>
          <w:tcPr>
            <w:tcW w:w="716" w:type="dxa"/>
            <w:shd w:val="clear" w:color="auto" w:fill="FFFF99"/>
            <w:vAlign w:val="center"/>
          </w:tcPr>
          <w:p w14:paraId="16945BEA"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2035</w:t>
            </w:r>
          </w:p>
        </w:tc>
        <w:tc>
          <w:tcPr>
            <w:tcW w:w="717" w:type="dxa"/>
            <w:shd w:val="clear" w:color="auto" w:fill="FFFF99"/>
            <w:vAlign w:val="center"/>
          </w:tcPr>
          <w:p w14:paraId="5496D787" w14:textId="77777777" w:rsidR="00490B8A" w:rsidRPr="00A00B9B" w:rsidRDefault="00490B8A" w:rsidP="00B55E29">
            <w:pPr>
              <w:keepNext/>
              <w:spacing w:before="60" w:after="40" w:line="288" w:lineRule="auto"/>
              <w:ind w:firstLine="0"/>
              <w:jc w:val="center"/>
              <w:rPr>
                <w:rFonts w:cs="Tahoma"/>
                <w:b/>
                <w:sz w:val="18"/>
                <w:szCs w:val="18"/>
              </w:rPr>
            </w:pPr>
            <w:r w:rsidRPr="00A00B9B">
              <w:rPr>
                <w:rFonts w:cs="Tahoma"/>
                <w:b/>
                <w:sz w:val="18"/>
                <w:szCs w:val="18"/>
              </w:rPr>
              <w:t>2036</w:t>
            </w:r>
          </w:p>
        </w:tc>
      </w:tr>
      <w:tr w:rsidR="00490B8A" w:rsidRPr="00A00B9B" w14:paraId="11FB48DC"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12C17B55" w14:textId="77777777" w:rsidR="00490B8A" w:rsidRPr="00A00B9B" w:rsidRDefault="00490B8A" w:rsidP="00B55E29">
            <w:pPr>
              <w:spacing w:before="60" w:after="40" w:line="288" w:lineRule="auto"/>
              <w:ind w:firstLine="0"/>
              <w:jc w:val="center"/>
              <w:rPr>
                <w:rFonts w:cs="Tahoma"/>
                <w:b/>
                <w:sz w:val="18"/>
                <w:szCs w:val="18"/>
              </w:rPr>
            </w:pPr>
            <w:r w:rsidRPr="00A00B9B">
              <w:rPr>
                <w:rFonts w:cs="Tahoma"/>
                <w:b/>
                <w:sz w:val="18"/>
                <w:szCs w:val="18"/>
              </w:rPr>
              <w:t>1</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23A527F9" w14:textId="77777777" w:rsidR="00490B8A" w:rsidRPr="00A00B9B" w:rsidRDefault="00490B8A" w:rsidP="00B55E29">
            <w:pPr>
              <w:spacing w:before="60" w:after="40" w:line="288" w:lineRule="auto"/>
              <w:ind w:firstLine="0"/>
              <w:jc w:val="left"/>
              <w:rPr>
                <w:rFonts w:cs="Tahoma"/>
                <w:b/>
                <w:sz w:val="18"/>
                <w:szCs w:val="18"/>
              </w:rPr>
            </w:pPr>
            <w:r w:rsidRPr="00A00B9B">
              <w:rPr>
                <w:rFonts w:cs="Tahoma"/>
                <w:b/>
                <w:sz w:val="18"/>
                <w:szCs w:val="18"/>
              </w:rPr>
              <w:t xml:space="preserve">Autobusy ON </w:t>
            </w:r>
          </w:p>
        </w:tc>
      </w:tr>
      <w:tr w:rsidR="00456597" w:rsidRPr="00A00B9B" w14:paraId="5E26822A"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026EBBF" w14:textId="77777777" w:rsidR="00456597" w:rsidRPr="00A00B9B" w:rsidRDefault="00456597" w:rsidP="00B55E29">
            <w:pPr>
              <w:spacing w:before="60" w:after="40" w:line="288" w:lineRule="auto"/>
              <w:ind w:firstLine="0"/>
              <w:jc w:val="center"/>
              <w:rPr>
                <w:rFonts w:cs="Tahoma"/>
                <w:sz w:val="18"/>
                <w:szCs w:val="18"/>
              </w:rPr>
            </w:pPr>
            <w:r w:rsidRPr="00A00B9B">
              <w:rPr>
                <w:rFonts w:cs="Tahoma"/>
                <w:sz w:val="18"/>
                <w:szCs w:val="18"/>
              </w:rPr>
              <w:t>1a</w:t>
            </w:r>
          </w:p>
        </w:tc>
        <w:tc>
          <w:tcPr>
            <w:tcW w:w="1985" w:type="dxa"/>
            <w:tcBorders>
              <w:top w:val="single" w:sz="4" w:space="0" w:color="auto"/>
              <w:left w:val="single" w:sz="4" w:space="0" w:color="auto"/>
              <w:bottom w:val="single" w:sz="4" w:space="0" w:color="auto"/>
              <w:right w:val="single" w:sz="4" w:space="0" w:color="auto"/>
            </w:tcBorders>
            <w:vAlign w:val="center"/>
          </w:tcPr>
          <w:p w14:paraId="202EF7B3" w14:textId="77777777" w:rsidR="00456597" w:rsidRPr="00A00B9B" w:rsidRDefault="00456597" w:rsidP="00B55E29">
            <w:pPr>
              <w:spacing w:before="60" w:after="40" w:line="288" w:lineRule="auto"/>
              <w:ind w:firstLine="0"/>
              <w:jc w:val="left"/>
              <w:rPr>
                <w:rFonts w:cs="Tahoma"/>
                <w:sz w:val="18"/>
                <w:szCs w:val="18"/>
              </w:rPr>
            </w:pPr>
            <w:r w:rsidRPr="00A00B9B">
              <w:rPr>
                <w:rFonts w:cs="Tahoma"/>
                <w:sz w:val="18"/>
                <w:szCs w:val="18"/>
              </w:rPr>
              <w:t>Zakup/wycofanie</w:t>
            </w:r>
          </w:p>
        </w:tc>
        <w:tc>
          <w:tcPr>
            <w:tcW w:w="716" w:type="dxa"/>
            <w:tcBorders>
              <w:top w:val="single" w:sz="4" w:space="0" w:color="auto"/>
              <w:left w:val="single" w:sz="4" w:space="0" w:color="auto"/>
              <w:bottom w:val="single" w:sz="4" w:space="0" w:color="auto"/>
              <w:right w:val="single" w:sz="4" w:space="0" w:color="auto"/>
            </w:tcBorders>
            <w:vAlign w:val="center"/>
          </w:tcPr>
          <w:p w14:paraId="44E14480" w14:textId="1164041E" w:rsidR="00456597" w:rsidRPr="00FA7A70" w:rsidRDefault="00456597" w:rsidP="00B55E29">
            <w:pPr>
              <w:spacing w:before="60" w:after="40" w:line="288" w:lineRule="auto"/>
              <w:ind w:firstLine="0"/>
              <w:jc w:val="right"/>
              <w:rPr>
                <w:rFonts w:cs="Tahoma"/>
                <w:sz w:val="18"/>
                <w:szCs w:val="18"/>
              </w:rPr>
            </w:pPr>
            <w:r>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110DBE5E" w14:textId="793E772A" w:rsidR="00456597" w:rsidRPr="00FA7A70" w:rsidRDefault="00456597" w:rsidP="00B55E29">
            <w:pPr>
              <w:spacing w:before="60" w:after="40" w:line="288" w:lineRule="auto"/>
              <w:ind w:firstLine="0"/>
              <w:jc w:val="right"/>
              <w:rPr>
                <w:rFonts w:cs="Tahoma"/>
                <w:sz w:val="18"/>
                <w:szCs w:val="18"/>
              </w:rPr>
            </w:pPr>
            <w:r>
              <w:rPr>
                <w:rFonts w:cs="Tahoma"/>
                <w:sz w:val="18"/>
                <w:szCs w:val="18"/>
              </w:rPr>
              <w:t>-/5</w:t>
            </w:r>
          </w:p>
        </w:tc>
        <w:tc>
          <w:tcPr>
            <w:tcW w:w="716" w:type="dxa"/>
            <w:tcBorders>
              <w:top w:val="single" w:sz="4" w:space="0" w:color="auto"/>
              <w:left w:val="single" w:sz="4" w:space="0" w:color="auto"/>
              <w:bottom w:val="single" w:sz="4" w:space="0" w:color="auto"/>
              <w:right w:val="single" w:sz="4" w:space="0" w:color="auto"/>
            </w:tcBorders>
          </w:tcPr>
          <w:p w14:paraId="574CC3C9" w14:textId="647D0D64" w:rsidR="00456597" w:rsidRPr="00FA7A70" w:rsidRDefault="00456597" w:rsidP="00B55E29">
            <w:pPr>
              <w:spacing w:before="60" w:after="40" w:line="288" w:lineRule="auto"/>
              <w:ind w:firstLine="0"/>
              <w:jc w:val="right"/>
              <w:rPr>
                <w:rFonts w:cs="Tahoma"/>
                <w:sz w:val="18"/>
                <w:szCs w:val="18"/>
              </w:rPr>
            </w:pPr>
            <w:r>
              <w:rPr>
                <w:rFonts w:cs="Tahoma"/>
                <w:sz w:val="18"/>
                <w:szCs w:val="18"/>
              </w:rPr>
              <w:t>-</w:t>
            </w:r>
            <w:r w:rsidRPr="00FA7A70">
              <w:rPr>
                <w:rFonts w:cs="Tahoma"/>
                <w:sz w:val="18"/>
                <w:szCs w:val="18"/>
              </w:rPr>
              <w:t>/</w:t>
            </w:r>
            <w:r>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36FFD33B" w14:textId="05FAC569" w:rsidR="00456597" w:rsidRPr="00FA7A70" w:rsidRDefault="00456597" w:rsidP="00B55E29">
            <w:pPr>
              <w:spacing w:before="60" w:after="40" w:line="288" w:lineRule="auto"/>
              <w:ind w:firstLine="0"/>
              <w:jc w:val="right"/>
              <w:rPr>
                <w:rFonts w:cs="Tahoma"/>
                <w:sz w:val="18"/>
                <w:szCs w:val="18"/>
              </w:rPr>
            </w:pPr>
            <w:r>
              <w:rPr>
                <w:rFonts w:cs="Tahoma"/>
                <w:sz w:val="18"/>
                <w:szCs w:val="18"/>
              </w:rPr>
              <w:t>-/22</w:t>
            </w:r>
          </w:p>
        </w:tc>
        <w:tc>
          <w:tcPr>
            <w:tcW w:w="716" w:type="dxa"/>
            <w:tcBorders>
              <w:top w:val="single" w:sz="4" w:space="0" w:color="auto"/>
              <w:left w:val="single" w:sz="4" w:space="0" w:color="auto"/>
              <w:bottom w:val="single" w:sz="4" w:space="0" w:color="auto"/>
              <w:right w:val="single" w:sz="4" w:space="0" w:color="auto"/>
            </w:tcBorders>
          </w:tcPr>
          <w:p w14:paraId="0F5756C7" w14:textId="7F7C0C15" w:rsidR="00456597" w:rsidRPr="00FA7A70" w:rsidRDefault="00456597" w:rsidP="00B55E29">
            <w:pPr>
              <w:spacing w:before="60" w:after="40" w:line="288" w:lineRule="auto"/>
              <w:ind w:firstLine="0"/>
              <w:jc w:val="right"/>
              <w:rPr>
                <w:rFonts w:cs="Tahoma"/>
                <w:sz w:val="18"/>
                <w:szCs w:val="18"/>
              </w:rPr>
            </w:pPr>
            <w:r>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tcPr>
          <w:p w14:paraId="24A8C9B1" w14:textId="7667EA0F" w:rsidR="00456597" w:rsidRPr="00FA7A70" w:rsidRDefault="00456597" w:rsidP="00B55E29">
            <w:pPr>
              <w:spacing w:before="60" w:after="40" w:line="288" w:lineRule="auto"/>
              <w:ind w:firstLine="0"/>
              <w:jc w:val="right"/>
              <w:rPr>
                <w:rFonts w:cs="Tahoma"/>
                <w:sz w:val="18"/>
                <w:szCs w:val="18"/>
              </w:rPr>
            </w:pPr>
            <w:r>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7A4E4405" w14:textId="7734A311" w:rsidR="00456597" w:rsidRPr="00FA7A70" w:rsidRDefault="00456597" w:rsidP="00B55E29">
            <w:pPr>
              <w:spacing w:before="60" w:after="40" w:line="288" w:lineRule="auto"/>
              <w:ind w:firstLine="0"/>
              <w:jc w:val="right"/>
              <w:rPr>
                <w:rFonts w:cs="Tahoma"/>
                <w:sz w:val="18"/>
                <w:szCs w:val="18"/>
              </w:rPr>
            </w:pPr>
            <w:r>
              <w:rPr>
                <w:rFonts w:cs="Tahoma"/>
                <w:sz w:val="18"/>
                <w:szCs w:val="18"/>
              </w:rPr>
              <w:t>-/10</w:t>
            </w:r>
          </w:p>
        </w:tc>
        <w:tc>
          <w:tcPr>
            <w:tcW w:w="716" w:type="dxa"/>
            <w:tcBorders>
              <w:top w:val="single" w:sz="4" w:space="0" w:color="auto"/>
              <w:left w:val="single" w:sz="4" w:space="0" w:color="auto"/>
              <w:bottom w:val="single" w:sz="4" w:space="0" w:color="auto"/>
              <w:right w:val="single" w:sz="4" w:space="0" w:color="auto"/>
            </w:tcBorders>
          </w:tcPr>
          <w:p w14:paraId="279460EA" w14:textId="4E14EA81" w:rsidR="00456597" w:rsidRPr="00FA7A70" w:rsidRDefault="00456597" w:rsidP="00B55E29">
            <w:pPr>
              <w:spacing w:before="60" w:after="40" w:line="288" w:lineRule="auto"/>
              <w:ind w:firstLine="0"/>
              <w:jc w:val="right"/>
              <w:rPr>
                <w:rFonts w:cs="Tahoma"/>
                <w:sz w:val="18"/>
                <w:szCs w:val="18"/>
              </w:rPr>
            </w:pPr>
            <w:r>
              <w:rPr>
                <w:rFonts w:cs="Tahoma"/>
                <w:sz w:val="18"/>
                <w:szCs w:val="18"/>
              </w:rPr>
              <w:t>-/15</w:t>
            </w:r>
          </w:p>
        </w:tc>
        <w:tc>
          <w:tcPr>
            <w:tcW w:w="716" w:type="dxa"/>
            <w:tcBorders>
              <w:top w:val="single" w:sz="4" w:space="0" w:color="auto"/>
              <w:left w:val="single" w:sz="4" w:space="0" w:color="auto"/>
              <w:bottom w:val="single" w:sz="4" w:space="0" w:color="auto"/>
              <w:right w:val="single" w:sz="4" w:space="0" w:color="auto"/>
            </w:tcBorders>
          </w:tcPr>
          <w:p w14:paraId="0256B678" w14:textId="0FDD71F5" w:rsidR="00456597" w:rsidRPr="00FA7A70" w:rsidRDefault="00456597" w:rsidP="00B55E29">
            <w:pPr>
              <w:spacing w:before="60" w:after="40" w:line="288" w:lineRule="auto"/>
              <w:ind w:firstLine="0"/>
              <w:jc w:val="right"/>
              <w:rPr>
                <w:rFonts w:cs="Tahoma"/>
                <w:sz w:val="18"/>
                <w:szCs w:val="18"/>
              </w:rPr>
            </w:pPr>
            <w:r w:rsidRPr="00FA7A70">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53A2DBAE" w14:textId="121C5B3B" w:rsidR="00456597" w:rsidRPr="00FA7A70" w:rsidRDefault="00456597" w:rsidP="00B55E29">
            <w:pPr>
              <w:spacing w:before="60" w:after="40" w:line="288" w:lineRule="auto"/>
              <w:ind w:firstLine="0"/>
              <w:jc w:val="right"/>
              <w:rPr>
                <w:rFonts w:cs="Tahoma"/>
                <w:sz w:val="18"/>
                <w:szCs w:val="18"/>
              </w:rPr>
            </w:pPr>
            <w:r>
              <w:rPr>
                <w:rFonts w:cs="Tahoma"/>
                <w:sz w:val="18"/>
                <w:szCs w:val="18"/>
              </w:rPr>
              <w:t>5/5</w:t>
            </w:r>
          </w:p>
        </w:tc>
        <w:tc>
          <w:tcPr>
            <w:tcW w:w="716" w:type="dxa"/>
            <w:tcBorders>
              <w:top w:val="single" w:sz="4" w:space="0" w:color="auto"/>
              <w:left w:val="single" w:sz="4" w:space="0" w:color="auto"/>
              <w:bottom w:val="single" w:sz="4" w:space="0" w:color="auto"/>
              <w:right w:val="single" w:sz="4" w:space="0" w:color="auto"/>
            </w:tcBorders>
          </w:tcPr>
          <w:p w14:paraId="29D283FF" w14:textId="3041F935" w:rsidR="00456597" w:rsidRPr="00FA7A70" w:rsidRDefault="00456597" w:rsidP="00B55E29">
            <w:pPr>
              <w:spacing w:before="60" w:after="40" w:line="288" w:lineRule="auto"/>
              <w:ind w:firstLine="0"/>
              <w:jc w:val="right"/>
              <w:rPr>
                <w:rFonts w:cs="Tahoma"/>
                <w:sz w:val="18"/>
                <w:szCs w:val="18"/>
              </w:rPr>
            </w:pPr>
            <w:r>
              <w:rPr>
                <w:rFonts w:cs="Tahoma"/>
                <w:sz w:val="18"/>
                <w:szCs w:val="18"/>
              </w:rPr>
              <w:t>2/1</w:t>
            </w:r>
          </w:p>
        </w:tc>
        <w:tc>
          <w:tcPr>
            <w:tcW w:w="716" w:type="dxa"/>
            <w:tcBorders>
              <w:top w:val="single" w:sz="4" w:space="0" w:color="auto"/>
              <w:left w:val="single" w:sz="4" w:space="0" w:color="auto"/>
              <w:bottom w:val="single" w:sz="4" w:space="0" w:color="auto"/>
              <w:right w:val="single" w:sz="4" w:space="0" w:color="auto"/>
            </w:tcBorders>
          </w:tcPr>
          <w:p w14:paraId="0C1E99B1" w14:textId="64BE28C8" w:rsidR="00456597" w:rsidRPr="00FA7A70" w:rsidRDefault="00456597" w:rsidP="00B55E29">
            <w:pPr>
              <w:spacing w:before="60" w:after="40" w:line="288" w:lineRule="auto"/>
              <w:ind w:firstLine="0"/>
              <w:jc w:val="right"/>
              <w:rPr>
                <w:rFonts w:cs="Tahoma"/>
                <w:sz w:val="18"/>
                <w:szCs w:val="18"/>
              </w:rPr>
            </w:pPr>
            <w:r>
              <w:rPr>
                <w:rFonts w:cs="Tahoma"/>
                <w:sz w:val="18"/>
                <w:szCs w:val="18"/>
              </w:rPr>
              <w:t>5</w:t>
            </w:r>
            <w:r w:rsidRPr="00FA7A70">
              <w:rPr>
                <w:rFonts w:cs="Tahoma"/>
                <w:sz w:val="18"/>
                <w:szCs w:val="18"/>
              </w:rPr>
              <w:t>/</w:t>
            </w:r>
            <w:r>
              <w:rPr>
                <w:rFonts w:cs="Tahoma"/>
                <w:sz w:val="18"/>
                <w:szCs w:val="18"/>
              </w:rPr>
              <w:t>10</w:t>
            </w:r>
          </w:p>
        </w:tc>
        <w:tc>
          <w:tcPr>
            <w:tcW w:w="717" w:type="dxa"/>
            <w:tcBorders>
              <w:top w:val="single" w:sz="4" w:space="0" w:color="auto"/>
              <w:left w:val="single" w:sz="4" w:space="0" w:color="auto"/>
              <w:bottom w:val="single" w:sz="4" w:space="0" w:color="auto"/>
              <w:right w:val="single" w:sz="4" w:space="0" w:color="auto"/>
            </w:tcBorders>
          </w:tcPr>
          <w:p w14:paraId="0CFADCCB" w14:textId="2B087C4B" w:rsidR="00456597" w:rsidRPr="00FA7A70" w:rsidRDefault="00456597" w:rsidP="00B55E29">
            <w:pPr>
              <w:spacing w:before="60" w:after="40" w:line="288" w:lineRule="auto"/>
              <w:ind w:firstLine="0"/>
              <w:jc w:val="right"/>
              <w:rPr>
                <w:rFonts w:cs="Tahoma"/>
                <w:sz w:val="18"/>
                <w:szCs w:val="18"/>
              </w:rPr>
            </w:pPr>
            <w:r w:rsidRPr="00FA7A70">
              <w:rPr>
                <w:rFonts w:cs="Tahoma"/>
                <w:sz w:val="18"/>
                <w:szCs w:val="18"/>
              </w:rPr>
              <w:t>1</w:t>
            </w:r>
            <w:r>
              <w:rPr>
                <w:rFonts w:cs="Tahoma"/>
                <w:sz w:val="18"/>
                <w:szCs w:val="18"/>
              </w:rPr>
              <w:t>5</w:t>
            </w:r>
            <w:r w:rsidRPr="00FA7A70">
              <w:rPr>
                <w:rFonts w:cs="Tahoma"/>
                <w:sz w:val="18"/>
                <w:szCs w:val="18"/>
              </w:rPr>
              <w:t>/1</w:t>
            </w:r>
            <w:r>
              <w:rPr>
                <w:rFonts w:cs="Tahoma"/>
                <w:sz w:val="18"/>
                <w:szCs w:val="18"/>
              </w:rPr>
              <w:t>5</w:t>
            </w:r>
          </w:p>
        </w:tc>
        <w:tc>
          <w:tcPr>
            <w:tcW w:w="716" w:type="dxa"/>
            <w:tcBorders>
              <w:top w:val="single" w:sz="4" w:space="0" w:color="auto"/>
              <w:left w:val="single" w:sz="4" w:space="0" w:color="auto"/>
              <w:bottom w:val="single" w:sz="4" w:space="0" w:color="auto"/>
              <w:right w:val="single" w:sz="4" w:space="0" w:color="auto"/>
            </w:tcBorders>
          </w:tcPr>
          <w:p w14:paraId="0EF501C9" w14:textId="12459028" w:rsidR="00456597" w:rsidRPr="00FA7A70" w:rsidRDefault="00456597" w:rsidP="00B55E29">
            <w:pPr>
              <w:spacing w:before="60" w:after="40" w:line="288" w:lineRule="auto"/>
              <w:ind w:firstLine="0"/>
              <w:jc w:val="right"/>
              <w:rPr>
                <w:rFonts w:cs="Tahoma"/>
                <w:sz w:val="18"/>
                <w:szCs w:val="18"/>
              </w:rPr>
            </w:pPr>
            <w:r>
              <w:rPr>
                <w:rFonts w:cs="Tahoma"/>
                <w:sz w:val="18"/>
                <w:szCs w:val="18"/>
              </w:rPr>
              <w:t>15/15</w:t>
            </w:r>
          </w:p>
        </w:tc>
        <w:tc>
          <w:tcPr>
            <w:tcW w:w="716" w:type="dxa"/>
            <w:tcBorders>
              <w:top w:val="single" w:sz="4" w:space="0" w:color="auto"/>
              <w:left w:val="single" w:sz="4" w:space="0" w:color="auto"/>
              <w:bottom w:val="single" w:sz="4" w:space="0" w:color="auto"/>
              <w:right w:val="single" w:sz="4" w:space="0" w:color="auto"/>
            </w:tcBorders>
          </w:tcPr>
          <w:p w14:paraId="68522BAC" w14:textId="5D87BD7F" w:rsidR="00456597" w:rsidRPr="00FA7A70" w:rsidRDefault="00456597" w:rsidP="00B55E29">
            <w:pPr>
              <w:spacing w:before="60" w:after="40" w:line="288" w:lineRule="auto"/>
              <w:ind w:firstLine="0"/>
              <w:jc w:val="right"/>
              <w:rPr>
                <w:rFonts w:cs="Tahoma"/>
                <w:sz w:val="18"/>
                <w:szCs w:val="18"/>
              </w:rPr>
            </w:pPr>
            <w:r w:rsidRPr="00FA7A70">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tcPr>
          <w:p w14:paraId="33625368" w14:textId="5DFDFFD0" w:rsidR="00456597" w:rsidRPr="00FA7A70" w:rsidRDefault="00456597" w:rsidP="00B55E29">
            <w:pPr>
              <w:spacing w:before="60" w:after="40" w:line="288" w:lineRule="auto"/>
              <w:ind w:firstLine="0"/>
              <w:jc w:val="right"/>
              <w:rPr>
                <w:rFonts w:cs="Tahoma"/>
                <w:sz w:val="18"/>
                <w:szCs w:val="18"/>
              </w:rPr>
            </w:pPr>
            <w:r w:rsidRPr="00FA7A70">
              <w:rPr>
                <w:rFonts w:cs="Tahoma"/>
                <w:sz w:val="18"/>
                <w:szCs w:val="18"/>
              </w:rPr>
              <w:t>-/-</w:t>
            </w:r>
          </w:p>
        </w:tc>
      </w:tr>
      <w:tr w:rsidR="00456597" w:rsidRPr="00A00B9B" w14:paraId="3F1CEE96"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065C66BE" w14:textId="77777777" w:rsidR="00456597" w:rsidRPr="00A00B9B" w:rsidRDefault="00456597" w:rsidP="00B55E29">
            <w:pPr>
              <w:spacing w:before="60" w:after="40" w:line="288" w:lineRule="auto"/>
              <w:ind w:firstLine="0"/>
              <w:jc w:val="center"/>
              <w:rPr>
                <w:rFonts w:cs="Tahoma"/>
                <w:sz w:val="18"/>
                <w:szCs w:val="18"/>
              </w:rPr>
            </w:pPr>
            <w:r w:rsidRPr="00A00B9B">
              <w:rPr>
                <w:rFonts w:cs="Tahoma"/>
                <w:sz w:val="18"/>
                <w:szCs w:val="18"/>
              </w:rPr>
              <w:t>1b</w:t>
            </w:r>
          </w:p>
        </w:tc>
        <w:tc>
          <w:tcPr>
            <w:tcW w:w="1985" w:type="dxa"/>
            <w:tcBorders>
              <w:top w:val="single" w:sz="4" w:space="0" w:color="auto"/>
              <w:left w:val="single" w:sz="4" w:space="0" w:color="auto"/>
              <w:bottom w:val="single" w:sz="4" w:space="0" w:color="auto"/>
              <w:right w:val="single" w:sz="4" w:space="0" w:color="auto"/>
            </w:tcBorders>
            <w:vAlign w:val="center"/>
          </w:tcPr>
          <w:p w14:paraId="21DE4691" w14:textId="77777777" w:rsidR="00456597" w:rsidRPr="00A00B9B" w:rsidRDefault="00456597" w:rsidP="00B55E29">
            <w:pPr>
              <w:spacing w:before="60" w:after="40" w:line="288" w:lineRule="auto"/>
              <w:ind w:firstLine="0"/>
              <w:jc w:val="left"/>
              <w:rPr>
                <w:rFonts w:cs="Tahoma"/>
                <w:sz w:val="18"/>
                <w:szCs w:val="18"/>
              </w:rPr>
            </w:pPr>
            <w:r w:rsidRPr="00A00B9B">
              <w:rPr>
                <w:rFonts w:cs="Tahoma"/>
                <w:sz w:val="18"/>
                <w:szCs w:val="18"/>
              </w:rPr>
              <w:t xml:space="preserve">Stan na koniec roku </w:t>
            </w:r>
          </w:p>
        </w:tc>
        <w:tc>
          <w:tcPr>
            <w:tcW w:w="716" w:type="dxa"/>
            <w:tcBorders>
              <w:top w:val="single" w:sz="4" w:space="0" w:color="auto"/>
              <w:left w:val="single" w:sz="4" w:space="0" w:color="auto"/>
              <w:bottom w:val="single" w:sz="4" w:space="0" w:color="auto"/>
              <w:right w:val="single" w:sz="4" w:space="0" w:color="auto"/>
            </w:tcBorders>
            <w:vAlign w:val="center"/>
          </w:tcPr>
          <w:p w14:paraId="6745DD59" w14:textId="18A1A566" w:rsidR="00456597" w:rsidRPr="00A00B9B" w:rsidRDefault="00456597" w:rsidP="00B55E29">
            <w:pPr>
              <w:spacing w:before="60" w:after="40" w:line="288" w:lineRule="auto"/>
              <w:ind w:firstLine="0"/>
              <w:jc w:val="right"/>
              <w:rPr>
                <w:rFonts w:cs="Tahoma"/>
                <w:sz w:val="18"/>
                <w:szCs w:val="18"/>
              </w:rPr>
            </w:pPr>
            <w:r>
              <w:rPr>
                <w:rFonts w:cs="Tahoma"/>
                <w:sz w:val="18"/>
                <w:szCs w:val="18"/>
              </w:rPr>
              <w:t>98</w:t>
            </w:r>
          </w:p>
        </w:tc>
        <w:tc>
          <w:tcPr>
            <w:tcW w:w="716" w:type="dxa"/>
            <w:tcBorders>
              <w:top w:val="single" w:sz="4" w:space="0" w:color="auto"/>
              <w:left w:val="single" w:sz="4" w:space="0" w:color="auto"/>
              <w:bottom w:val="single" w:sz="4" w:space="0" w:color="auto"/>
              <w:right w:val="single" w:sz="4" w:space="0" w:color="auto"/>
            </w:tcBorders>
          </w:tcPr>
          <w:p w14:paraId="7E4993C4" w14:textId="66693551" w:rsidR="00456597" w:rsidRPr="00A00B9B" w:rsidRDefault="00456597" w:rsidP="00B55E29">
            <w:pPr>
              <w:spacing w:before="60" w:after="40" w:line="288" w:lineRule="auto"/>
              <w:ind w:firstLine="0"/>
              <w:jc w:val="right"/>
              <w:rPr>
                <w:rFonts w:cs="Tahoma"/>
                <w:sz w:val="18"/>
                <w:szCs w:val="18"/>
              </w:rPr>
            </w:pPr>
            <w:r>
              <w:rPr>
                <w:rFonts w:cs="Tahoma"/>
                <w:sz w:val="18"/>
                <w:szCs w:val="18"/>
              </w:rPr>
              <w:t>9</w:t>
            </w:r>
            <w:r w:rsidRPr="001A6EFE">
              <w:rPr>
                <w:rFonts w:cs="Tahoma"/>
                <w:sz w:val="18"/>
                <w:szCs w:val="18"/>
              </w:rPr>
              <w:t>3</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7B6D0BE" w14:textId="48ED42F1" w:rsidR="00456597" w:rsidRPr="00A00B9B" w:rsidRDefault="00456597" w:rsidP="00B55E29">
            <w:pPr>
              <w:spacing w:before="60" w:after="40" w:line="288" w:lineRule="auto"/>
              <w:ind w:firstLine="0"/>
              <w:jc w:val="right"/>
              <w:rPr>
                <w:rFonts w:cs="Tahoma"/>
                <w:sz w:val="18"/>
                <w:szCs w:val="18"/>
              </w:rPr>
            </w:pPr>
            <w:r>
              <w:rPr>
                <w:rFonts w:cs="Tahoma"/>
                <w:sz w:val="18"/>
                <w:szCs w:val="18"/>
              </w:rPr>
              <w:t>93</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6B7303AE" w14:textId="6D4FBB71" w:rsidR="00456597" w:rsidRPr="00A00B9B" w:rsidRDefault="00456597" w:rsidP="00B55E29">
            <w:pPr>
              <w:spacing w:before="60" w:after="40" w:line="288" w:lineRule="auto"/>
              <w:ind w:firstLine="0"/>
              <w:jc w:val="right"/>
              <w:rPr>
                <w:rFonts w:cs="Tahoma"/>
                <w:sz w:val="18"/>
                <w:szCs w:val="18"/>
              </w:rPr>
            </w:pPr>
            <w:r>
              <w:rPr>
                <w:rFonts w:cs="Tahoma"/>
                <w:sz w:val="18"/>
                <w:szCs w:val="18"/>
              </w:rPr>
              <w:t>71</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36611150" w14:textId="1AD1841B" w:rsidR="00456597" w:rsidRPr="00A00B9B" w:rsidRDefault="00456597" w:rsidP="00B55E29">
            <w:pPr>
              <w:spacing w:before="60" w:after="40" w:line="288" w:lineRule="auto"/>
              <w:ind w:firstLine="0"/>
              <w:jc w:val="right"/>
              <w:rPr>
                <w:rFonts w:cs="Tahoma"/>
                <w:sz w:val="18"/>
                <w:szCs w:val="18"/>
              </w:rPr>
            </w:pPr>
            <w:r>
              <w:rPr>
                <w:rFonts w:cs="Tahoma"/>
                <w:sz w:val="18"/>
                <w:szCs w:val="18"/>
              </w:rPr>
              <w:t>71</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44E20181" w14:textId="27E00DA6" w:rsidR="00456597" w:rsidRPr="00A00B9B" w:rsidRDefault="00456597" w:rsidP="00B55E29">
            <w:pPr>
              <w:spacing w:before="60" w:after="40" w:line="288" w:lineRule="auto"/>
              <w:ind w:firstLine="0"/>
              <w:jc w:val="right"/>
              <w:rPr>
                <w:rFonts w:cs="Tahoma"/>
                <w:sz w:val="18"/>
                <w:szCs w:val="18"/>
              </w:rPr>
            </w:pPr>
            <w:r>
              <w:rPr>
                <w:rFonts w:cs="Tahoma"/>
                <w:sz w:val="18"/>
                <w:szCs w:val="18"/>
              </w:rPr>
              <w:t>71</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2D608ABB" w14:textId="77C75F15" w:rsidR="00456597" w:rsidRPr="00A00B9B" w:rsidRDefault="00456597" w:rsidP="00B55E29">
            <w:pPr>
              <w:spacing w:before="60" w:after="40" w:line="288" w:lineRule="auto"/>
              <w:ind w:firstLine="0"/>
              <w:jc w:val="right"/>
              <w:rPr>
                <w:rFonts w:cs="Tahoma"/>
                <w:sz w:val="18"/>
                <w:szCs w:val="18"/>
              </w:rPr>
            </w:pPr>
            <w:r>
              <w:rPr>
                <w:rFonts w:cs="Tahoma"/>
                <w:sz w:val="18"/>
                <w:szCs w:val="18"/>
              </w:rPr>
              <w:t>61</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BB6EBBE" w14:textId="730C86EF" w:rsidR="00456597" w:rsidRPr="00A00B9B" w:rsidRDefault="00456597" w:rsidP="00B55E29">
            <w:pPr>
              <w:spacing w:before="60" w:after="40" w:line="288" w:lineRule="auto"/>
              <w:ind w:firstLine="0"/>
              <w:jc w:val="right"/>
              <w:rPr>
                <w:rFonts w:cs="Tahoma"/>
                <w:sz w:val="18"/>
                <w:szCs w:val="18"/>
              </w:rPr>
            </w:pPr>
            <w:r>
              <w:rPr>
                <w:rFonts w:cs="Tahoma"/>
                <w:sz w:val="18"/>
                <w:szCs w:val="18"/>
              </w:rPr>
              <w:t>46</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37EC09F" w14:textId="46B2F6D0" w:rsidR="00456597" w:rsidRPr="00A00B9B" w:rsidRDefault="00456597" w:rsidP="00B55E29">
            <w:pPr>
              <w:spacing w:before="60" w:after="40" w:line="288" w:lineRule="auto"/>
              <w:ind w:firstLine="0"/>
              <w:jc w:val="right"/>
              <w:rPr>
                <w:rFonts w:cs="Tahoma"/>
                <w:sz w:val="18"/>
                <w:szCs w:val="18"/>
              </w:rPr>
            </w:pPr>
            <w:r>
              <w:rPr>
                <w:rFonts w:cs="Tahoma"/>
                <w:sz w:val="18"/>
                <w:szCs w:val="18"/>
              </w:rPr>
              <w:t>46</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10B0837C" w14:textId="2E8EDCE0" w:rsidR="00456597" w:rsidRPr="00A00B9B" w:rsidRDefault="00456597" w:rsidP="00B55E29">
            <w:pPr>
              <w:spacing w:before="60" w:after="40" w:line="288" w:lineRule="auto"/>
              <w:ind w:firstLine="0"/>
              <w:jc w:val="right"/>
              <w:rPr>
                <w:rFonts w:cs="Tahoma"/>
                <w:sz w:val="18"/>
                <w:szCs w:val="18"/>
              </w:rPr>
            </w:pPr>
            <w:r>
              <w:rPr>
                <w:rFonts w:cs="Tahoma"/>
                <w:sz w:val="18"/>
                <w:szCs w:val="18"/>
              </w:rPr>
              <w:t>46</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5EB0D8DA" w14:textId="09340D1D" w:rsidR="00456597" w:rsidRPr="00A00B9B" w:rsidRDefault="00456597" w:rsidP="00B55E29">
            <w:pPr>
              <w:spacing w:before="60" w:after="40" w:line="288" w:lineRule="auto"/>
              <w:ind w:firstLine="0"/>
              <w:jc w:val="right"/>
              <w:rPr>
                <w:rFonts w:cs="Tahoma"/>
                <w:sz w:val="18"/>
                <w:szCs w:val="18"/>
              </w:rPr>
            </w:pPr>
            <w:r>
              <w:rPr>
                <w:rFonts w:cs="Tahoma"/>
                <w:sz w:val="18"/>
                <w:szCs w:val="18"/>
              </w:rPr>
              <w:t>47</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417C14DD" w14:textId="52A8F3D2" w:rsidR="00456597" w:rsidRPr="00A00B9B" w:rsidRDefault="00456597" w:rsidP="00B55E29">
            <w:pPr>
              <w:spacing w:before="60" w:after="40" w:line="288" w:lineRule="auto"/>
              <w:ind w:firstLine="0"/>
              <w:jc w:val="right"/>
              <w:rPr>
                <w:rFonts w:cs="Tahoma"/>
                <w:sz w:val="18"/>
                <w:szCs w:val="18"/>
              </w:rPr>
            </w:pPr>
            <w:r>
              <w:rPr>
                <w:rFonts w:cs="Tahoma"/>
                <w:sz w:val="18"/>
                <w:szCs w:val="18"/>
              </w:rPr>
              <w:t>42</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50392AD1" w14:textId="7F901FB2" w:rsidR="00456597" w:rsidRPr="00A00B9B" w:rsidRDefault="00456597" w:rsidP="00B55E29">
            <w:pPr>
              <w:spacing w:before="60" w:after="40" w:line="288" w:lineRule="auto"/>
              <w:ind w:firstLine="0"/>
              <w:jc w:val="right"/>
              <w:rPr>
                <w:rFonts w:cs="Tahoma"/>
                <w:sz w:val="18"/>
                <w:szCs w:val="18"/>
              </w:rPr>
            </w:pPr>
            <w:r>
              <w:rPr>
                <w:rFonts w:cs="Tahoma"/>
                <w:sz w:val="18"/>
                <w:szCs w:val="18"/>
              </w:rPr>
              <w:t>42</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3C2C672C" w14:textId="0DA37888" w:rsidR="00456597" w:rsidRPr="00A00B9B" w:rsidRDefault="00456597" w:rsidP="00B55E29">
            <w:pPr>
              <w:spacing w:before="60" w:after="40" w:line="288" w:lineRule="auto"/>
              <w:ind w:firstLine="0"/>
              <w:jc w:val="right"/>
              <w:rPr>
                <w:rFonts w:cs="Tahoma"/>
                <w:sz w:val="18"/>
                <w:szCs w:val="18"/>
              </w:rPr>
            </w:pPr>
            <w:r>
              <w:rPr>
                <w:rFonts w:cs="Tahoma"/>
                <w:sz w:val="18"/>
                <w:szCs w:val="18"/>
              </w:rPr>
              <w:t>42</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E7ED542" w14:textId="4DB73947" w:rsidR="00456597" w:rsidRPr="00A00B9B" w:rsidRDefault="00456597" w:rsidP="00B55E29">
            <w:pPr>
              <w:spacing w:before="60" w:after="40" w:line="288" w:lineRule="auto"/>
              <w:ind w:firstLine="0"/>
              <w:jc w:val="right"/>
              <w:rPr>
                <w:rFonts w:cs="Tahoma"/>
                <w:sz w:val="18"/>
                <w:szCs w:val="18"/>
              </w:rPr>
            </w:pPr>
            <w:r>
              <w:rPr>
                <w:rFonts w:cs="Tahoma"/>
                <w:sz w:val="18"/>
                <w:szCs w:val="18"/>
              </w:rPr>
              <w:t>42</w:t>
            </w:r>
          </w:p>
        </w:tc>
        <w:tc>
          <w:tcPr>
            <w:tcW w:w="717" w:type="dxa"/>
            <w:tcBorders>
              <w:top w:val="single" w:sz="4" w:space="0" w:color="auto"/>
              <w:left w:val="single" w:sz="4" w:space="0" w:color="auto"/>
              <w:bottom w:val="single" w:sz="4" w:space="0" w:color="auto"/>
              <w:right w:val="single" w:sz="4" w:space="0" w:color="auto"/>
            </w:tcBorders>
            <w:shd w:val="clear" w:color="auto" w:fill="auto"/>
          </w:tcPr>
          <w:p w14:paraId="32C80963" w14:textId="43C6F903" w:rsidR="00456597" w:rsidRPr="00A00B9B" w:rsidRDefault="00456597" w:rsidP="00B55E29">
            <w:pPr>
              <w:spacing w:before="60" w:after="40" w:line="288" w:lineRule="auto"/>
              <w:ind w:firstLine="0"/>
              <w:jc w:val="right"/>
              <w:rPr>
                <w:rFonts w:cs="Tahoma"/>
                <w:sz w:val="18"/>
                <w:szCs w:val="18"/>
              </w:rPr>
            </w:pPr>
            <w:r>
              <w:rPr>
                <w:rFonts w:cs="Tahoma"/>
                <w:sz w:val="18"/>
                <w:szCs w:val="18"/>
              </w:rPr>
              <w:t>42</w:t>
            </w:r>
          </w:p>
        </w:tc>
      </w:tr>
      <w:tr w:rsidR="00456597" w:rsidRPr="00A00B9B" w14:paraId="0D0AF2CC"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3F9BF3E" w14:textId="77777777" w:rsidR="00456597" w:rsidRPr="00A00B9B" w:rsidRDefault="00456597" w:rsidP="00B55E29">
            <w:pPr>
              <w:spacing w:before="60" w:after="40" w:line="288" w:lineRule="auto"/>
              <w:ind w:firstLine="0"/>
              <w:jc w:val="center"/>
              <w:rPr>
                <w:rFonts w:cs="Tahoma"/>
                <w:b/>
                <w:sz w:val="18"/>
                <w:szCs w:val="18"/>
              </w:rPr>
            </w:pPr>
            <w:r w:rsidRPr="00A00B9B">
              <w:rPr>
                <w:rFonts w:cs="Tahoma"/>
                <w:b/>
                <w:sz w:val="18"/>
                <w:szCs w:val="18"/>
              </w:rPr>
              <w:t>2</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2F2A83B1" w14:textId="7A8C6868" w:rsidR="00456597" w:rsidRPr="00A00B9B" w:rsidRDefault="00456597" w:rsidP="00B55E29">
            <w:pPr>
              <w:spacing w:before="60" w:after="40" w:line="288" w:lineRule="auto"/>
              <w:ind w:firstLine="0"/>
              <w:jc w:val="left"/>
              <w:rPr>
                <w:rFonts w:cs="Tahoma"/>
                <w:b/>
                <w:sz w:val="18"/>
                <w:szCs w:val="18"/>
              </w:rPr>
            </w:pPr>
            <w:r w:rsidRPr="00A00B9B">
              <w:rPr>
                <w:rFonts w:cs="Tahoma"/>
                <w:b/>
                <w:sz w:val="18"/>
                <w:szCs w:val="18"/>
              </w:rPr>
              <w:t xml:space="preserve">Autobusy </w:t>
            </w:r>
            <w:r>
              <w:rPr>
                <w:rFonts w:cs="Tahoma"/>
                <w:b/>
                <w:sz w:val="18"/>
                <w:szCs w:val="18"/>
              </w:rPr>
              <w:t>CNG</w:t>
            </w:r>
          </w:p>
        </w:tc>
      </w:tr>
      <w:tr w:rsidR="00456597" w:rsidRPr="00A00B9B" w14:paraId="60AC9470"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811393F" w14:textId="77777777" w:rsidR="00456597" w:rsidRPr="00A00B9B" w:rsidRDefault="00456597" w:rsidP="00B55E29">
            <w:pPr>
              <w:spacing w:before="60" w:after="40" w:line="288" w:lineRule="auto"/>
              <w:ind w:firstLine="0"/>
              <w:jc w:val="center"/>
              <w:rPr>
                <w:rFonts w:cs="Tahoma"/>
                <w:sz w:val="18"/>
                <w:szCs w:val="18"/>
              </w:rPr>
            </w:pPr>
            <w:r w:rsidRPr="00A00B9B">
              <w:rPr>
                <w:rFonts w:cs="Tahoma"/>
                <w:sz w:val="18"/>
                <w:szCs w:val="18"/>
              </w:rPr>
              <w:t>2a</w:t>
            </w:r>
          </w:p>
        </w:tc>
        <w:tc>
          <w:tcPr>
            <w:tcW w:w="1985" w:type="dxa"/>
            <w:tcBorders>
              <w:top w:val="single" w:sz="4" w:space="0" w:color="auto"/>
              <w:left w:val="single" w:sz="4" w:space="0" w:color="auto"/>
              <w:bottom w:val="single" w:sz="4" w:space="0" w:color="auto"/>
              <w:right w:val="single" w:sz="4" w:space="0" w:color="auto"/>
            </w:tcBorders>
            <w:vAlign w:val="center"/>
          </w:tcPr>
          <w:p w14:paraId="47CE2E7B" w14:textId="77777777" w:rsidR="00456597" w:rsidRPr="00A00B9B" w:rsidRDefault="00456597" w:rsidP="00B55E29">
            <w:pPr>
              <w:spacing w:before="60" w:after="40" w:line="288" w:lineRule="auto"/>
              <w:ind w:firstLine="0"/>
              <w:jc w:val="left"/>
              <w:rPr>
                <w:rFonts w:cs="Tahoma"/>
                <w:sz w:val="18"/>
                <w:szCs w:val="18"/>
              </w:rPr>
            </w:pPr>
            <w:r w:rsidRPr="00A00B9B">
              <w:rPr>
                <w:rFonts w:cs="Tahoma"/>
                <w:sz w:val="18"/>
                <w:szCs w:val="18"/>
              </w:rPr>
              <w:t>Zakup/wycofanie</w:t>
            </w:r>
          </w:p>
        </w:tc>
        <w:tc>
          <w:tcPr>
            <w:tcW w:w="716" w:type="dxa"/>
            <w:tcBorders>
              <w:top w:val="single" w:sz="4" w:space="0" w:color="auto"/>
              <w:left w:val="single" w:sz="4" w:space="0" w:color="auto"/>
              <w:bottom w:val="single" w:sz="4" w:space="0" w:color="auto"/>
              <w:right w:val="single" w:sz="4" w:space="0" w:color="auto"/>
            </w:tcBorders>
            <w:vAlign w:val="center"/>
          </w:tcPr>
          <w:p w14:paraId="4BDA039E" w14:textId="498459DA" w:rsidR="00456597" w:rsidRPr="00A00B9B" w:rsidRDefault="00456597" w:rsidP="00B55E29">
            <w:pPr>
              <w:spacing w:before="60" w:after="40" w:line="288" w:lineRule="auto"/>
              <w:ind w:firstLine="0"/>
              <w:jc w:val="right"/>
              <w:rPr>
                <w:rFonts w:cs="Tahoma"/>
                <w:sz w:val="18"/>
                <w:szCs w:val="18"/>
              </w:rPr>
            </w:pPr>
            <w:r>
              <w:rPr>
                <w:rFonts w:cs="Tahoma"/>
                <w:sz w:val="18"/>
                <w:szCs w:val="18"/>
              </w:rPr>
              <w:t>-</w:t>
            </w: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05C9A390" w14:textId="12E8B1F4"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39472A7" w14:textId="7DA006E1" w:rsidR="00456597" w:rsidRPr="00A00B9B" w:rsidRDefault="00456597" w:rsidP="00B55E29">
            <w:pPr>
              <w:spacing w:before="60" w:after="40" w:line="288" w:lineRule="auto"/>
              <w:ind w:firstLine="0"/>
              <w:jc w:val="right"/>
              <w:rPr>
                <w:rFonts w:cs="Tahoma"/>
                <w:sz w:val="18"/>
                <w:szCs w:val="18"/>
              </w:rPr>
            </w:pPr>
            <w:r>
              <w:rPr>
                <w:rFonts w:cs="Tahoma"/>
                <w:sz w:val="18"/>
                <w:szCs w:val="18"/>
              </w:rPr>
              <w:t>18</w:t>
            </w:r>
            <w:r w:rsidRPr="00A00B9B">
              <w:rPr>
                <w:rFonts w:cs="Tahoma"/>
                <w:sz w:val="18"/>
                <w:szCs w:val="18"/>
              </w:rPr>
              <w:t>/</w:t>
            </w:r>
            <w:r>
              <w:rPr>
                <w:rFonts w:cs="Tahoma"/>
                <w:sz w:val="18"/>
                <w:szCs w:val="18"/>
              </w:rPr>
              <w:t>21</w:t>
            </w:r>
          </w:p>
        </w:tc>
        <w:tc>
          <w:tcPr>
            <w:tcW w:w="717" w:type="dxa"/>
            <w:tcBorders>
              <w:top w:val="single" w:sz="4" w:space="0" w:color="auto"/>
              <w:left w:val="single" w:sz="4" w:space="0" w:color="auto"/>
              <w:bottom w:val="single" w:sz="4" w:space="0" w:color="auto"/>
              <w:right w:val="single" w:sz="4" w:space="0" w:color="auto"/>
            </w:tcBorders>
            <w:vAlign w:val="center"/>
          </w:tcPr>
          <w:p w14:paraId="10FF3202" w14:textId="29CDF2AA" w:rsidR="00456597" w:rsidRPr="00A00B9B" w:rsidRDefault="00456597" w:rsidP="00B55E29">
            <w:pPr>
              <w:spacing w:before="60" w:after="40" w:line="288" w:lineRule="auto"/>
              <w:ind w:firstLine="0"/>
              <w:jc w:val="right"/>
              <w:rPr>
                <w:rFonts w:cs="Tahoma"/>
                <w:sz w:val="18"/>
                <w:szCs w:val="18"/>
              </w:rPr>
            </w:pPr>
            <w:r>
              <w:rPr>
                <w:rFonts w:cs="Tahoma"/>
                <w:sz w:val="18"/>
                <w:szCs w:val="18"/>
              </w:rPr>
              <w:t>-/6</w:t>
            </w:r>
          </w:p>
        </w:tc>
        <w:tc>
          <w:tcPr>
            <w:tcW w:w="716" w:type="dxa"/>
            <w:tcBorders>
              <w:top w:val="single" w:sz="4" w:space="0" w:color="auto"/>
              <w:left w:val="single" w:sz="4" w:space="0" w:color="auto"/>
              <w:bottom w:val="single" w:sz="4" w:space="0" w:color="auto"/>
              <w:right w:val="single" w:sz="4" w:space="0" w:color="auto"/>
            </w:tcBorders>
            <w:vAlign w:val="center"/>
          </w:tcPr>
          <w:p w14:paraId="292E3931" w14:textId="1171CE47"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6D54C4B2" w14:textId="5633DBF9"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680ACDD5" w14:textId="4E858128" w:rsidR="00456597" w:rsidRPr="00A00B9B" w:rsidRDefault="00456597" w:rsidP="00B55E29">
            <w:pPr>
              <w:spacing w:before="60" w:after="40" w:line="288" w:lineRule="auto"/>
              <w:ind w:firstLine="0"/>
              <w:jc w:val="right"/>
              <w:rPr>
                <w:rFonts w:cs="Tahoma"/>
                <w:sz w:val="18"/>
                <w:szCs w:val="18"/>
              </w:rPr>
            </w:pPr>
            <w:r>
              <w:rPr>
                <w:rFonts w:cs="Tahoma"/>
                <w:sz w:val="18"/>
                <w:szCs w:val="18"/>
              </w:rPr>
              <w:t>8/20</w:t>
            </w:r>
          </w:p>
        </w:tc>
        <w:tc>
          <w:tcPr>
            <w:tcW w:w="716" w:type="dxa"/>
            <w:tcBorders>
              <w:top w:val="single" w:sz="4" w:space="0" w:color="auto"/>
              <w:left w:val="single" w:sz="4" w:space="0" w:color="auto"/>
              <w:bottom w:val="single" w:sz="4" w:space="0" w:color="auto"/>
              <w:right w:val="single" w:sz="4" w:space="0" w:color="auto"/>
            </w:tcBorders>
            <w:vAlign w:val="center"/>
          </w:tcPr>
          <w:p w14:paraId="01875740" w14:textId="3215DA91" w:rsidR="00456597" w:rsidRPr="00A00B9B" w:rsidRDefault="00456597" w:rsidP="00B55E29">
            <w:pPr>
              <w:spacing w:before="60" w:after="40" w:line="288" w:lineRule="auto"/>
              <w:ind w:firstLine="0"/>
              <w:jc w:val="right"/>
              <w:rPr>
                <w:rFonts w:cs="Tahoma"/>
                <w:sz w:val="18"/>
                <w:szCs w:val="18"/>
              </w:rPr>
            </w:pPr>
            <w:r>
              <w:rPr>
                <w:rFonts w:cs="Tahoma"/>
                <w:sz w:val="18"/>
                <w:szCs w:val="18"/>
              </w:rPr>
              <w:t>21/10</w:t>
            </w:r>
          </w:p>
        </w:tc>
        <w:tc>
          <w:tcPr>
            <w:tcW w:w="716" w:type="dxa"/>
            <w:tcBorders>
              <w:top w:val="single" w:sz="4" w:space="0" w:color="auto"/>
              <w:left w:val="single" w:sz="4" w:space="0" w:color="auto"/>
              <w:bottom w:val="single" w:sz="4" w:space="0" w:color="auto"/>
              <w:right w:val="single" w:sz="4" w:space="0" w:color="auto"/>
            </w:tcBorders>
            <w:vAlign w:val="center"/>
          </w:tcPr>
          <w:p w14:paraId="402AD0D2" w14:textId="30922C5B"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4599E653" w14:textId="40914298"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3C25E1E2" w14:textId="6CF873C7"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r>
              <w:rPr>
                <w:rFonts w:cs="Tahoma"/>
                <w:sz w:val="18"/>
                <w:szCs w:val="18"/>
              </w:rPr>
              <w:t>1</w:t>
            </w:r>
          </w:p>
        </w:tc>
        <w:tc>
          <w:tcPr>
            <w:tcW w:w="716" w:type="dxa"/>
            <w:tcBorders>
              <w:top w:val="single" w:sz="4" w:space="0" w:color="auto"/>
              <w:left w:val="single" w:sz="4" w:space="0" w:color="auto"/>
              <w:bottom w:val="single" w:sz="4" w:space="0" w:color="auto"/>
              <w:right w:val="single" w:sz="4" w:space="0" w:color="auto"/>
            </w:tcBorders>
            <w:vAlign w:val="center"/>
          </w:tcPr>
          <w:p w14:paraId="14576BE1" w14:textId="19E55C26"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78D242DE" w14:textId="7E2F3600"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355C3E54" w14:textId="136CB1D9" w:rsidR="00456597" w:rsidRPr="00A00B9B" w:rsidRDefault="00456597" w:rsidP="00B55E29">
            <w:pPr>
              <w:spacing w:before="60" w:after="40" w:line="288" w:lineRule="auto"/>
              <w:ind w:firstLine="0"/>
              <w:jc w:val="right"/>
              <w:rPr>
                <w:rFonts w:cs="Tahoma"/>
                <w:sz w:val="18"/>
                <w:szCs w:val="18"/>
              </w:rPr>
            </w:pPr>
            <w:r>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ECFE3C6" w14:textId="3E66FE8B" w:rsidR="00456597" w:rsidRPr="00A00B9B" w:rsidRDefault="00456597" w:rsidP="00B55E29">
            <w:pPr>
              <w:spacing w:before="60" w:after="40" w:line="288" w:lineRule="auto"/>
              <w:ind w:firstLine="0"/>
              <w:jc w:val="right"/>
              <w:rPr>
                <w:rFonts w:cs="Tahoma"/>
                <w:sz w:val="18"/>
                <w:szCs w:val="18"/>
              </w:rPr>
            </w:pPr>
            <w:r>
              <w:rPr>
                <w:rFonts w:cs="Tahoma"/>
                <w:sz w:val="18"/>
                <w:szCs w:val="18"/>
              </w:rPr>
              <w:t>20/20</w:t>
            </w:r>
          </w:p>
        </w:tc>
        <w:tc>
          <w:tcPr>
            <w:tcW w:w="717" w:type="dxa"/>
            <w:tcBorders>
              <w:top w:val="single" w:sz="4" w:space="0" w:color="auto"/>
              <w:left w:val="single" w:sz="4" w:space="0" w:color="auto"/>
              <w:bottom w:val="single" w:sz="4" w:space="0" w:color="auto"/>
              <w:right w:val="single" w:sz="4" w:space="0" w:color="auto"/>
            </w:tcBorders>
            <w:vAlign w:val="center"/>
          </w:tcPr>
          <w:p w14:paraId="7861F2CD" w14:textId="02310609" w:rsidR="00456597" w:rsidRPr="00A00B9B" w:rsidRDefault="00456597" w:rsidP="00B55E29">
            <w:pPr>
              <w:spacing w:before="60" w:after="40" w:line="288" w:lineRule="auto"/>
              <w:ind w:firstLine="0"/>
              <w:jc w:val="right"/>
              <w:rPr>
                <w:rFonts w:cs="Tahoma"/>
                <w:sz w:val="18"/>
                <w:szCs w:val="18"/>
              </w:rPr>
            </w:pPr>
            <w:r>
              <w:rPr>
                <w:rFonts w:cs="Tahoma"/>
                <w:sz w:val="18"/>
                <w:szCs w:val="18"/>
              </w:rPr>
              <w:t>20/20</w:t>
            </w:r>
          </w:p>
        </w:tc>
      </w:tr>
      <w:tr w:rsidR="00456597" w:rsidRPr="00A00B9B" w14:paraId="42D6C446"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7C7712A" w14:textId="77777777" w:rsidR="00456597" w:rsidRPr="00A00B9B" w:rsidRDefault="00456597" w:rsidP="00B55E29">
            <w:pPr>
              <w:spacing w:before="60" w:after="40" w:line="288" w:lineRule="auto"/>
              <w:ind w:firstLine="0"/>
              <w:jc w:val="center"/>
              <w:rPr>
                <w:rFonts w:cs="Tahoma"/>
                <w:sz w:val="18"/>
                <w:szCs w:val="18"/>
              </w:rPr>
            </w:pPr>
            <w:r w:rsidRPr="00A00B9B">
              <w:rPr>
                <w:rFonts w:cs="Tahoma"/>
                <w:sz w:val="18"/>
                <w:szCs w:val="18"/>
              </w:rPr>
              <w:t>2b</w:t>
            </w:r>
          </w:p>
        </w:tc>
        <w:tc>
          <w:tcPr>
            <w:tcW w:w="1985" w:type="dxa"/>
            <w:tcBorders>
              <w:top w:val="single" w:sz="4" w:space="0" w:color="auto"/>
              <w:left w:val="single" w:sz="4" w:space="0" w:color="auto"/>
              <w:bottom w:val="single" w:sz="4" w:space="0" w:color="auto"/>
              <w:right w:val="single" w:sz="4" w:space="0" w:color="auto"/>
            </w:tcBorders>
            <w:vAlign w:val="center"/>
          </w:tcPr>
          <w:p w14:paraId="194D485A" w14:textId="77777777" w:rsidR="00456597" w:rsidRPr="00A00B9B" w:rsidRDefault="00456597" w:rsidP="00B55E29">
            <w:pPr>
              <w:spacing w:before="60" w:after="40" w:line="288" w:lineRule="auto"/>
              <w:ind w:firstLine="0"/>
              <w:jc w:val="left"/>
              <w:rPr>
                <w:rFonts w:cs="Tahoma"/>
                <w:sz w:val="18"/>
                <w:szCs w:val="18"/>
              </w:rPr>
            </w:pPr>
            <w:r w:rsidRPr="00A00B9B">
              <w:rPr>
                <w:rFonts w:cs="Tahoma"/>
                <w:sz w:val="18"/>
                <w:szCs w:val="18"/>
              </w:rPr>
              <w:t>Stan na koniec roku</w:t>
            </w:r>
          </w:p>
        </w:tc>
        <w:tc>
          <w:tcPr>
            <w:tcW w:w="716" w:type="dxa"/>
            <w:tcBorders>
              <w:top w:val="single" w:sz="4" w:space="0" w:color="auto"/>
              <w:left w:val="single" w:sz="4" w:space="0" w:color="auto"/>
              <w:bottom w:val="single" w:sz="4" w:space="0" w:color="auto"/>
              <w:right w:val="single" w:sz="4" w:space="0" w:color="auto"/>
            </w:tcBorders>
            <w:vAlign w:val="center"/>
          </w:tcPr>
          <w:p w14:paraId="44DD7458" w14:textId="6AB7EEE2" w:rsidR="00456597" w:rsidRPr="00A00B9B" w:rsidRDefault="00456597" w:rsidP="00B55E29">
            <w:pPr>
              <w:spacing w:before="60" w:after="40" w:line="288" w:lineRule="auto"/>
              <w:ind w:firstLine="0"/>
              <w:jc w:val="right"/>
              <w:rPr>
                <w:rFonts w:cs="Tahoma"/>
                <w:sz w:val="18"/>
                <w:szCs w:val="18"/>
              </w:rPr>
            </w:pPr>
            <w:r>
              <w:rPr>
                <w:rFonts w:cs="Tahoma"/>
                <w:sz w:val="18"/>
                <w:szCs w:val="18"/>
              </w:rPr>
              <w:t>118</w:t>
            </w:r>
          </w:p>
        </w:tc>
        <w:tc>
          <w:tcPr>
            <w:tcW w:w="716" w:type="dxa"/>
            <w:tcBorders>
              <w:top w:val="single" w:sz="4" w:space="0" w:color="auto"/>
              <w:left w:val="single" w:sz="4" w:space="0" w:color="auto"/>
              <w:bottom w:val="single" w:sz="4" w:space="0" w:color="auto"/>
              <w:right w:val="single" w:sz="4" w:space="0" w:color="auto"/>
            </w:tcBorders>
          </w:tcPr>
          <w:p w14:paraId="7EC53107" w14:textId="1638F143" w:rsidR="00456597" w:rsidRPr="00A00B9B" w:rsidRDefault="00456597" w:rsidP="00B55E29">
            <w:pPr>
              <w:spacing w:before="60" w:after="40" w:line="288" w:lineRule="auto"/>
              <w:ind w:firstLine="0"/>
              <w:jc w:val="right"/>
              <w:rPr>
                <w:rFonts w:cs="Tahoma"/>
                <w:sz w:val="18"/>
                <w:szCs w:val="18"/>
              </w:rPr>
            </w:pPr>
            <w:r>
              <w:rPr>
                <w:rFonts w:cs="Tahoma"/>
                <w:sz w:val="18"/>
                <w:szCs w:val="18"/>
              </w:rPr>
              <w:t>118</w:t>
            </w:r>
          </w:p>
        </w:tc>
        <w:tc>
          <w:tcPr>
            <w:tcW w:w="716" w:type="dxa"/>
            <w:tcBorders>
              <w:top w:val="single" w:sz="4" w:space="0" w:color="auto"/>
              <w:left w:val="single" w:sz="4" w:space="0" w:color="auto"/>
              <w:bottom w:val="single" w:sz="4" w:space="0" w:color="auto"/>
              <w:right w:val="single" w:sz="4" w:space="0" w:color="auto"/>
            </w:tcBorders>
          </w:tcPr>
          <w:p w14:paraId="6DF6CA4F" w14:textId="200A8F7C" w:rsidR="00456597" w:rsidRPr="00A00B9B" w:rsidRDefault="00456597" w:rsidP="00B55E29">
            <w:pPr>
              <w:spacing w:before="60" w:after="40" w:line="288" w:lineRule="auto"/>
              <w:ind w:firstLine="0"/>
              <w:jc w:val="right"/>
              <w:rPr>
                <w:rFonts w:cs="Tahoma"/>
                <w:sz w:val="18"/>
                <w:szCs w:val="18"/>
              </w:rPr>
            </w:pPr>
            <w:r>
              <w:rPr>
                <w:rFonts w:cs="Tahoma"/>
                <w:sz w:val="18"/>
                <w:szCs w:val="18"/>
              </w:rPr>
              <w:t>115</w:t>
            </w:r>
          </w:p>
        </w:tc>
        <w:tc>
          <w:tcPr>
            <w:tcW w:w="717" w:type="dxa"/>
            <w:tcBorders>
              <w:top w:val="single" w:sz="4" w:space="0" w:color="auto"/>
              <w:left w:val="single" w:sz="4" w:space="0" w:color="auto"/>
              <w:bottom w:val="single" w:sz="4" w:space="0" w:color="auto"/>
              <w:right w:val="single" w:sz="4" w:space="0" w:color="auto"/>
            </w:tcBorders>
          </w:tcPr>
          <w:p w14:paraId="2FBC20C7" w14:textId="429A8C5B" w:rsidR="00456597" w:rsidRPr="00A00B9B" w:rsidRDefault="00456597" w:rsidP="00B55E29">
            <w:pPr>
              <w:spacing w:before="60" w:after="40" w:line="288" w:lineRule="auto"/>
              <w:ind w:firstLine="0"/>
              <w:jc w:val="right"/>
              <w:rPr>
                <w:rFonts w:cs="Tahoma"/>
                <w:sz w:val="18"/>
                <w:szCs w:val="18"/>
              </w:rPr>
            </w:pPr>
            <w:r>
              <w:rPr>
                <w:rFonts w:cs="Tahoma"/>
                <w:sz w:val="18"/>
                <w:szCs w:val="18"/>
              </w:rPr>
              <w:t>109</w:t>
            </w:r>
          </w:p>
        </w:tc>
        <w:tc>
          <w:tcPr>
            <w:tcW w:w="716" w:type="dxa"/>
            <w:tcBorders>
              <w:top w:val="single" w:sz="4" w:space="0" w:color="auto"/>
              <w:left w:val="single" w:sz="4" w:space="0" w:color="auto"/>
              <w:bottom w:val="single" w:sz="4" w:space="0" w:color="auto"/>
              <w:right w:val="single" w:sz="4" w:space="0" w:color="auto"/>
            </w:tcBorders>
          </w:tcPr>
          <w:p w14:paraId="5F42314E" w14:textId="3A8B657F" w:rsidR="00456597" w:rsidRPr="00A00B9B" w:rsidRDefault="00456597" w:rsidP="00B55E29">
            <w:pPr>
              <w:spacing w:before="60" w:after="40" w:line="288" w:lineRule="auto"/>
              <w:ind w:firstLine="0"/>
              <w:jc w:val="right"/>
              <w:rPr>
                <w:rFonts w:cs="Tahoma"/>
                <w:sz w:val="18"/>
                <w:szCs w:val="18"/>
              </w:rPr>
            </w:pPr>
            <w:r>
              <w:rPr>
                <w:rFonts w:cs="Tahoma"/>
                <w:sz w:val="18"/>
                <w:szCs w:val="18"/>
              </w:rPr>
              <w:t>109</w:t>
            </w:r>
          </w:p>
        </w:tc>
        <w:tc>
          <w:tcPr>
            <w:tcW w:w="716" w:type="dxa"/>
            <w:tcBorders>
              <w:top w:val="single" w:sz="4" w:space="0" w:color="auto"/>
              <w:left w:val="single" w:sz="4" w:space="0" w:color="auto"/>
              <w:bottom w:val="single" w:sz="4" w:space="0" w:color="auto"/>
              <w:right w:val="single" w:sz="4" w:space="0" w:color="auto"/>
            </w:tcBorders>
          </w:tcPr>
          <w:p w14:paraId="096A7453" w14:textId="6A815166" w:rsidR="00456597" w:rsidRPr="00A00B9B" w:rsidRDefault="00456597" w:rsidP="00B55E29">
            <w:pPr>
              <w:spacing w:before="60" w:after="40" w:line="288" w:lineRule="auto"/>
              <w:ind w:firstLine="0"/>
              <w:jc w:val="right"/>
              <w:rPr>
                <w:rFonts w:cs="Tahoma"/>
                <w:sz w:val="18"/>
                <w:szCs w:val="18"/>
              </w:rPr>
            </w:pPr>
            <w:r>
              <w:rPr>
                <w:rFonts w:cs="Tahoma"/>
                <w:sz w:val="18"/>
                <w:szCs w:val="18"/>
              </w:rPr>
              <w:t>109</w:t>
            </w:r>
          </w:p>
        </w:tc>
        <w:tc>
          <w:tcPr>
            <w:tcW w:w="717" w:type="dxa"/>
            <w:tcBorders>
              <w:top w:val="single" w:sz="4" w:space="0" w:color="auto"/>
              <w:left w:val="single" w:sz="4" w:space="0" w:color="auto"/>
              <w:bottom w:val="single" w:sz="4" w:space="0" w:color="auto"/>
              <w:right w:val="single" w:sz="4" w:space="0" w:color="auto"/>
            </w:tcBorders>
          </w:tcPr>
          <w:p w14:paraId="53FD58B6" w14:textId="2C978A06" w:rsidR="00456597" w:rsidRPr="00A00B9B" w:rsidRDefault="00456597" w:rsidP="00B55E29">
            <w:pPr>
              <w:spacing w:before="60" w:after="40" w:line="288" w:lineRule="auto"/>
              <w:ind w:firstLine="0"/>
              <w:jc w:val="right"/>
              <w:rPr>
                <w:rFonts w:cs="Tahoma"/>
                <w:sz w:val="18"/>
                <w:szCs w:val="18"/>
              </w:rPr>
            </w:pPr>
            <w:r>
              <w:rPr>
                <w:rFonts w:cs="Tahoma"/>
                <w:sz w:val="18"/>
                <w:szCs w:val="18"/>
              </w:rPr>
              <w:t>97</w:t>
            </w:r>
          </w:p>
        </w:tc>
        <w:tc>
          <w:tcPr>
            <w:tcW w:w="716" w:type="dxa"/>
            <w:tcBorders>
              <w:top w:val="single" w:sz="4" w:space="0" w:color="auto"/>
              <w:left w:val="single" w:sz="4" w:space="0" w:color="auto"/>
              <w:bottom w:val="single" w:sz="4" w:space="0" w:color="auto"/>
              <w:right w:val="single" w:sz="4" w:space="0" w:color="auto"/>
            </w:tcBorders>
          </w:tcPr>
          <w:p w14:paraId="39411FAD" w14:textId="50F707AE" w:rsidR="00456597" w:rsidRPr="00A00B9B" w:rsidRDefault="00456597" w:rsidP="00B55E29">
            <w:pPr>
              <w:spacing w:before="60" w:after="40" w:line="288" w:lineRule="auto"/>
              <w:ind w:firstLine="0"/>
              <w:jc w:val="right"/>
              <w:rPr>
                <w:rFonts w:cs="Tahoma"/>
                <w:sz w:val="18"/>
                <w:szCs w:val="18"/>
              </w:rPr>
            </w:pPr>
            <w:r>
              <w:rPr>
                <w:rFonts w:cs="Tahoma"/>
                <w:sz w:val="18"/>
                <w:szCs w:val="18"/>
              </w:rPr>
              <w:t>108</w:t>
            </w:r>
          </w:p>
        </w:tc>
        <w:tc>
          <w:tcPr>
            <w:tcW w:w="716" w:type="dxa"/>
            <w:tcBorders>
              <w:top w:val="single" w:sz="4" w:space="0" w:color="auto"/>
              <w:left w:val="single" w:sz="4" w:space="0" w:color="auto"/>
              <w:bottom w:val="single" w:sz="4" w:space="0" w:color="auto"/>
              <w:right w:val="single" w:sz="4" w:space="0" w:color="auto"/>
            </w:tcBorders>
          </w:tcPr>
          <w:p w14:paraId="1268F65C" w14:textId="6CD6417E" w:rsidR="00456597" w:rsidRPr="00A00B9B" w:rsidRDefault="00456597" w:rsidP="00B55E29">
            <w:pPr>
              <w:spacing w:before="60" w:after="40" w:line="288" w:lineRule="auto"/>
              <w:ind w:firstLine="0"/>
              <w:jc w:val="right"/>
              <w:rPr>
                <w:rFonts w:cs="Tahoma"/>
                <w:sz w:val="18"/>
                <w:szCs w:val="18"/>
              </w:rPr>
            </w:pPr>
            <w:r>
              <w:rPr>
                <w:rFonts w:cs="Tahoma"/>
                <w:sz w:val="18"/>
                <w:szCs w:val="18"/>
              </w:rPr>
              <w:t>108</w:t>
            </w:r>
          </w:p>
        </w:tc>
        <w:tc>
          <w:tcPr>
            <w:tcW w:w="717" w:type="dxa"/>
            <w:tcBorders>
              <w:top w:val="single" w:sz="4" w:space="0" w:color="auto"/>
              <w:left w:val="single" w:sz="4" w:space="0" w:color="auto"/>
              <w:bottom w:val="single" w:sz="4" w:space="0" w:color="auto"/>
              <w:right w:val="single" w:sz="4" w:space="0" w:color="auto"/>
            </w:tcBorders>
          </w:tcPr>
          <w:p w14:paraId="5FBFD7F9" w14:textId="5057E61B" w:rsidR="00456597" w:rsidRPr="00A00B9B" w:rsidRDefault="00456597" w:rsidP="00B55E29">
            <w:pPr>
              <w:spacing w:before="60" w:after="40" w:line="288" w:lineRule="auto"/>
              <w:ind w:firstLine="0"/>
              <w:jc w:val="right"/>
              <w:rPr>
                <w:rFonts w:cs="Tahoma"/>
                <w:sz w:val="18"/>
                <w:szCs w:val="18"/>
              </w:rPr>
            </w:pPr>
            <w:r>
              <w:rPr>
                <w:rFonts w:cs="Tahoma"/>
                <w:sz w:val="18"/>
                <w:szCs w:val="18"/>
              </w:rPr>
              <w:t>108</w:t>
            </w:r>
          </w:p>
        </w:tc>
        <w:tc>
          <w:tcPr>
            <w:tcW w:w="716" w:type="dxa"/>
            <w:tcBorders>
              <w:top w:val="single" w:sz="4" w:space="0" w:color="auto"/>
              <w:left w:val="single" w:sz="4" w:space="0" w:color="auto"/>
              <w:bottom w:val="single" w:sz="4" w:space="0" w:color="auto"/>
              <w:right w:val="single" w:sz="4" w:space="0" w:color="auto"/>
            </w:tcBorders>
          </w:tcPr>
          <w:p w14:paraId="5DCD6045" w14:textId="04804B58" w:rsidR="00456597" w:rsidRPr="00A00B9B" w:rsidRDefault="00456597" w:rsidP="00B55E29">
            <w:pPr>
              <w:spacing w:before="60" w:after="40" w:line="288" w:lineRule="auto"/>
              <w:ind w:firstLine="0"/>
              <w:jc w:val="right"/>
              <w:rPr>
                <w:rFonts w:cs="Tahoma"/>
                <w:sz w:val="18"/>
                <w:szCs w:val="18"/>
              </w:rPr>
            </w:pPr>
            <w:r>
              <w:rPr>
                <w:rFonts w:cs="Tahoma"/>
                <w:sz w:val="18"/>
                <w:szCs w:val="18"/>
              </w:rPr>
              <w:t>107</w:t>
            </w:r>
          </w:p>
        </w:tc>
        <w:tc>
          <w:tcPr>
            <w:tcW w:w="716" w:type="dxa"/>
            <w:tcBorders>
              <w:top w:val="single" w:sz="4" w:space="0" w:color="auto"/>
              <w:left w:val="single" w:sz="4" w:space="0" w:color="auto"/>
              <w:bottom w:val="single" w:sz="4" w:space="0" w:color="auto"/>
              <w:right w:val="single" w:sz="4" w:space="0" w:color="auto"/>
            </w:tcBorders>
          </w:tcPr>
          <w:p w14:paraId="2AF317BA" w14:textId="01B5B10E" w:rsidR="00456597" w:rsidRPr="00A00B9B" w:rsidRDefault="00456597" w:rsidP="00B55E29">
            <w:pPr>
              <w:spacing w:before="60" w:after="40" w:line="288" w:lineRule="auto"/>
              <w:ind w:firstLine="0"/>
              <w:jc w:val="right"/>
              <w:rPr>
                <w:rFonts w:cs="Tahoma"/>
                <w:sz w:val="18"/>
                <w:szCs w:val="18"/>
              </w:rPr>
            </w:pPr>
            <w:r>
              <w:rPr>
                <w:rFonts w:cs="Tahoma"/>
                <w:sz w:val="18"/>
                <w:szCs w:val="18"/>
              </w:rPr>
              <w:t>107</w:t>
            </w:r>
          </w:p>
        </w:tc>
        <w:tc>
          <w:tcPr>
            <w:tcW w:w="717" w:type="dxa"/>
            <w:tcBorders>
              <w:top w:val="single" w:sz="4" w:space="0" w:color="auto"/>
              <w:left w:val="single" w:sz="4" w:space="0" w:color="auto"/>
              <w:bottom w:val="single" w:sz="4" w:space="0" w:color="auto"/>
              <w:right w:val="single" w:sz="4" w:space="0" w:color="auto"/>
            </w:tcBorders>
          </w:tcPr>
          <w:p w14:paraId="4AE1FA2F" w14:textId="2A36D0F9" w:rsidR="00456597" w:rsidRPr="00A00B9B" w:rsidRDefault="00456597" w:rsidP="00B55E29">
            <w:pPr>
              <w:spacing w:before="60" w:after="40" w:line="288" w:lineRule="auto"/>
              <w:ind w:firstLine="0"/>
              <w:jc w:val="right"/>
              <w:rPr>
                <w:rFonts w:cs="Tahoma"/>
                <w:sz w:val="18"/>
                <w:szCs w:val="18"/>
              </w:rPr>
            </w:pPr>
            <w:r>
              <w:rPr>
                <w:rFonts w:cs="Tahoma"/>
                <w:sz w:val="18"/>
                <w:szCs w:val="18"/>
              </w:rPr>
              <w:t>107</w:t>
            </w:r>
          </w:p>
        </w:tc>
        <w:tc>
          <w:tcPr>
            <w:tcW w:w="716" w:type="dxa"/>
            <w:tcBorders>
              <w:top w:val="single" w:sz="4" w:space="0" w:color="auto"/>
              <w:left w:val="single" w:sz="4" w:space="0" w:color="auto"/>
              <w:bottom w:val="single" w:sz="4" w:space="0" w:color="auto"/>
              <w:right w:val="single" w:sz="4" w:space="0" w:color="auto"/>
            </w:tcBorders>
          </w:tcPr>
          <w:p w14:paraId="5A47BF14" w14:textId="3A49713D" w:rsidR="00456597" w:rsidRPr="00A00B9B" w:rsidRDefault="00456597" w:rsidP="00B55E29">
            <w:pPr>
              <w:spacing w:before="60" w:after="40" w:line="288" w:lineRule="auto"/>
              <w:ind w:firstLine="0"/>
              <w:jc w:val="right"/>
              <w:rPr>
                <w:rFonts w:cs="Tahoma"/>
                <w:sz w:val="18"/>
                <w:szCs w:val="18"/>
              </w:rPr>
            </w:pPr>
            <w:r>
              <w:rPr>
                <w:rFonts w:cs="Tahoma"/>
                <w:sz w:val="18"/>
                <w:szCs w:val="18"/>
              </w:rPr>
              <w:t>107</w:t>
            </w:r>
          </w:p>
        </w:tc>
        <w:tc>
          <w:tcPr>
            <w:tcW w:w="716" w:type="dxa"/>
            <w:tcBorders>
              <w:top w:val="single" w:sz="4" w:space="0" w:color="auto"/>
              <w:left w:val="single" w:sz="4" w:space="0" w:color="auto"/>
              <w:bottom w:val="single" w:sz="4" w:space="0" w:color="auto"/>
              <w:right w:val="single" w:sz="4" w:space="0" w:color="auto"/>
            </w:tcBorders>
          </w:tcPr>
          <w:p w14:paraId="0D7A5296" w14:textId="02531F7A" w:rsidR="00456597" w:rsidRPr="00A00B9B" w:rsidRDefault="00456597" w:rsidP="00B55E29">
            <w:pPr>
              <w:spacing w:before="60" w:after="40" w:line="288" w:lineRule="auto"/>
              <w:ind w:firstLine="0"/>
              <w:jc w:val="right"/>
              <w:rPr>
                <w:rFonts w:cs="Tahoma"/>
                <w:sz w:val="18"/>
                <w:szCs w:val="18"/>
              </w:rPr>
            </w:pPr>
            <w:r>
              <w:rPr>
                <w:rFonts w:cs="Tahoma"/>
                <w:sz w:val="18"/>
                <w:szCs w:val="18"/>
              </w:rPr>
              <w:t>107</w:t>
            </w:r>
          </w:p>
        </w:tc>
        <w:tc>
          <w:tcPr>
            <w:tcW w:w="717" w:type="dxa"/>
            <w:tcBorders>
              <w:top w:val="single" w:sz="4" w:space="0" w:color="auto"/>
              <w:left w:val="single" w:sz="4" w:space="0" w:color="auto"/>
              <w:bottom w:val="single" w:sz="4" w:space="0" w:color="auto"/>
              <w:right w:val="single" w:sz="4" w:space="0" w:color="auto"/>
            </w:tcBorders>
          </w:tcPr>
          <w:p w14:paraId="28BF02AF" w14:textId="5F1D1D92" w:rsidR="00456597" w:rsidRPr="00A00B9B" w:rsidRDefault="00456597" w:rsidP="00B55E29">
            <w:pPr>
              <w:spacing w:before="60" w:after="40" w:line="288" w:lineRule="auto"/>
              <w:ind w:firstLine="0"/>
              <w:jc w:val="right"/>
              <w:rPr>
                <w:rFonts w:cs="Tahoma"/>
                <w:sz w:val="18"/>
                <w:szCs w:val="18"/>
              </w:rPr>
            </w:pPr>
            <w:r>
              <w:rPr>
                <w:rFonts w:cs="Tahoma"/>
                <w:sz w:val="18"/>
                <w:szCs w:val="18"/>
              </w:rPr>
              <w:t>107</w:t>
            </w:r>
          </w:p>
        </w:tc>
      </w:tr>
      <w:tr w:rsidR="00456597" w:rsidRPr="00A00B9B" w14:paraId="28D9D5EF"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44347CF5" w14:textId="77777777" w:rsidR="00456597" w:rsidRPr="00A00B9B" w:rsidRDefault="00456597" w:rsidP="00B55E29">
            <w:pPr>
              <w:spacing w:before="60" w:after="40" w:line="288" w:lineRule="auto"/>
              <w:ind w:firstLine="0"/>
              <w:jc w:val="center"/>
              <w:rPr>
                <w:rFonts w:cs="Tahoma"/>
                <w:b/>
                <w:sz w:val="18"/>
                <w:szCs w:val="18"/>
              </w:rPr>
            </w:pPr>
            <w:r w:rsidRPr="00A00B9B">
              <w:rPr>
                <w:rFonts w:cs="Tahoma"/>
                <w:b/>
                <w:sz w:val="18"/>
                <w:szCs w:val="18"/>
              </w:rPr>
              <w:t>3</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2CAAA071" w14:textId="77777777" w:rsidR="00456597" w:rsidRPr="00A00B9B" w:rsidRDefault="00456597" w:rsidP="00B55E29">
            <w:pPr>
              <w:spacing w:before="60" w:after="40" w:line="288" w:lineRule="auto"/>
              <w:ind w:firstLine="0"/>
              <w:jc w:val="left"/>
              <w:rPr>
                <w:rFonts w:cs="Tahoma"/>
                <w:b/>
                <w:sz w:val="18"/>
                <w:szCs w:val="18"/>
              </w:rPr>
            </w:pPr>
            <w:r w:rsidRPr="00A00B9B">
              <w:rPr>
                <w:rFonts w:cs="Tahoma"/>
                <w:b/>
                <w:sz w:val="18"/>
                <w:szCs w:val="18"/>
              </w:rPr>
              <w:t>Autobusy elektryczne</w:t>
            </w:r>
          </w:p>
        </w:tc>
      </w:tr>
      <w:tr w:rsidR="00456597" w:rsidRPr="00A00B9B" w14:paraId="5E8DAFDE"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47F10538" w14:textId="77777777" w:rsidR="00456597" w:rsidRPr="00A00B9B" w:rsidRDefault="00456597" w:rsidP="00B55E29">
            <w:pPr>
              <w:spacing w:before="60" w:after="40" w:line="288" w:lineRule="auto"/>
              <w:ind w:firstLine="0"/>
              <w:jc w:val="center"/>
              <w:rPr>
                <w:rFonts w:cs="Tahoma"/>
                <w:sz w:val="18"/>
                <w:szCs w:val="18"/>
              </w:rPr>
            </w:pPr>
            <w:r w:rsidRPr="00A00B9B">
              <w:rPr>
                <w:rFonts w:cs="Tahoma"/>
                <w:sz w:val="18"/>
                <w:szCs w:val="18"/>
              </w:rPr>
              <w:t>3a</w:t>
            </w:r>
          </w:p>
        </w:tc>
        <w:tc>
          <w:tcPr>
            <w:tcW w:w="1985" w:type="dxa"/>
            <w:tcBorders>
              <w:top w:val="single" w:sz="4" w:space="0" w:color="auto"/>
              <w:left w:val="single" w:sz="4" w:space="0" w:color="auto"/>
              <w:bottom w:val="single" w:sz="4" w:space="0" w:color="auto"/>
              <w:right w:val="single" w:sz="4" w:space="0" w:color="auto"/>
            </w:tcBorders>
            <w:vAlign w:val="center"/>
          </w:tcPr>
          <w:p w14:paraId="0462158E" w14:textId="77777777" w:rsidR="00456597" w:rsidRPr="00A00B9B" w:rsidRDefault="00456597" w:rsidP="00B55E29">
            <w:pPr>
              <w:spacing w:before="60" w:after="40" w:line="288" w:lineRule="auto"/>
              <w:ind w:firstLine="0"/>
              <w:jc w:val="left"/>
              <w:rPr>
                <w:rFonts w:cs="Tahoma"/>
                <w:sz w:val="18"/>
                <w:szCs w:val="18"/>
              </w:rPr>
            </w:pPr>
            <w:r w:rsidRPr="00A00B9B">
              <w:rPr>
                <w:rFonts w:cs="Tahoma"/>
                <w:sz w:val="18"/>
                <w:szCs w:val="18"/>
              </w:rPr>
              <w:t xml:space="preserve">Zakup/wycofanie </w:t>
            </w:r>
          </w:p>
        </w:tc>
        <w:tc>
          <w:tcPr>
            <w:tcW w:w="716" w:type="dxa"/>
            <w:tcBorders>
              <w:top w:val="single" w:sz="4" w:space="0" w:color="auto"/>
              <w:left w:val="single" w:sz="4" w:space="0" w:color="auto"/>
              <w:bottom w:val="single" w:sz="4" w:space="0" w:color="auto"/>
              <w:right w:val="single" w:sz="4" w:space="0" w:color="auto"/>
            </w:tcBorders>
            <w:vAlign w:val="center"/>
          </w:tcPr>
          <w:p w14:paraId="41E1A4C1" w14:textId="6DCF5EDB"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087A547C" w14:textId="3856D93F"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5807E0C1" w14:textId="7FC0357A" w:rsidR="00456597" w:rsidRPr="00A00B9B" w:rsidRDefault="00456597" w:rsidP="00B55E29">
            <w:pPr>
              <w:spacing w:before="60" w:after="40" w:line="288" w:lineRule="auto"/>
              <w:ind w:firstLine="0"/>
              <w:jc w:val="right"/>
              <w:rPr>
                <w:rFonts w:cs="Tahoma"/>
                <w:sz w:val="18"/>
                <w:szCs w:val="18"/>
              </w:rPr>
            </w:pPr>
            <w:r>
              <w:rPr>
                <w:rFonts w:cs="Tahoma"/>
                <w:sz w:val="18"/>
                <w:szCs w:val="18"/>
              </w:rPr>
              <w:t>2</w:t>
            </w: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41461F6F" w14:textId="57E88611" w:rsidR="00456597" w:rsidRPr="00A00B9B" w:rsidRDefault="00456597" w:rsidP="00B55E29">
            <w:pPr>
              <w:spacing w:before="60" w:after="40" w:line="288" w:lineRule="auto"/>
              <w:ind w:firstLine="0"/>
              <w:jc w:val="right"/>
              <w:rPr>
                <w:rFonts w:cs="Tahoma"/>
                <w:sz w:val="18"/>
                <w:szCs w:val="18"/>
              </w:rPr>
            </w:pPr>
            <w:r>
              <w:rPr>
                <w:rFonts w:cs="Tahoma"/>
                <w:sz w:val="18"/>
                <w:szCs w:val="18"/>
              </w:rPr>
              <w:t>33</w:t>
            </w: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3A30BE91" w14:textId="65007B56"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B0B80F6" w14:textId="35D4AEB4"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035F57BB" w14:textId="7AB3368C" w:rsidR="00456597" w:rsidRPr="00A00B9B" w:rsidRDefault="00545E43" w:rsidP="00B55E29">
            <w:pPr>
              <w:spacing w:before="60" w:after="40" w:line="288" w:lineRule="auto"/>
              <w:ind w:firstLine="0"/>
              <w:jc w:val="right"/>
              <w:rPr>
                <w:rFonts w:cs="Tahoma"/>
                <w:sz w:val="18"/>
                <w:szCs w:val="18"/>
              </w:rPr>
            </w:pPr>
            <w:r>
              <w:rPr>
                <w:rFonts w:cs="Tahoma"/>
                <w:sz w:val="18"/>
                <w:szCs w:val="18"/>
              </w:rPr>
              <w:t>20</w:t>
            </w:r>
            <w:r w:rsidR="00456597"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BB545DF" w14:textId="10BAFA48" w:rsidR="00456597" w:rsidRPr="00A00B9B" w:rsidRDefault="00545E43" w:rsidP="00B55E29">
            <w:pPr>
              <w:spacing w:before="60" w:after="40" w:line="288" w:lineRule="auto"/>
              <w:ind w:firstLine="0"/>
              <w:jc w:val="right"/>
              <w:rPr>
                <w:rFonts w:cs="Tahoma"/>
                <w:sz w:val="18"/>
                <w:szCs w:val="18"/>
              </w:rPr>
            </w:pPr>
            <w:r>
              <w:rPr>
                <w:rFonts w:cs="Tahoma"/>
                <w:sz w:val="18"/>
                <w:szCs w:val="18"/>
              </w:rPr>
              <w:t>-</w:t>
            </w:r>
            <w:r w:rsidR="00456597"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4466AE7" w14:textId="72DC8325"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4C801987" w14:textId="69CB4C35"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69602263" w14:textId="6629D67B"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81421B5" w14:textId="0B7C2AC3" w:rsidR="00456597" w:rsidRPr="00A00B9B" w:rsidRDefault="00545E43" w:rsidP="00B55E29">
            <w:pPr>
              <w:spacing w:before="60" w:after="40" w:line="288" w:lineRule="auto"/>
              <w:ind w:firstLine="0"/>
              <w:jc w:val="right"/>
              <w:rPr>
                <w:rFonts w:cs="Tahoma"/>
                <w:sz w:val="18"/>
                <w:szCs w:val="18"/>
              </w:rPr>
            </w:pPr>
            <w:r>
              <w:rPr>
                <w:rFonts w:cs="Tahoma"/>
                <w:sz w:val="18"/>
                <w:szCs w:val="18"/>
              </w:rPr>
              <w:t>-</w:t>
            </w:r>
            <w:r w:rsidR="00456597"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275DEC41" w14:textId="6D275CBB"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593D48BD" w14:textId="753ACB45"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1F1C4D4F" w14:textId="524A7DD0"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1BCE9097" w14:textId="63F010CF" w:rsidR="00456597" w:rsidRPr="00A00B9B" w:rsidRDefault="00456597" w:rsidP="00B55E29">
            <w:pPr>
              <w:spacing w:before="60" w:after="40" w:line="288" w:lineRule="auto"/>
              <w:ind w:firstLine="0"/>
              <w:jc w:val="right"/>
              <w:rPr>
                <w:rFonts w:cs="Tahoma"/>
                <w:sz w:val="18"/>
                <w:szCs w:val="18"/>
              </w:rPr>
            </w:pPr>
            <w:r w:rsidRPr="00A00B9B">
              <w:rPr>
                <w:rFonts w:cs="Tahoma"/>
                <w:sz w:val="18"/>
                <w:szCs w:val="18"/>
              </w:rPr>
              <w:t>-/-</w:t>
            </w:r>
          </w:p>
        </w:tc>
      </w:tr>
      <w:tr w:rsidR="00456597" w:rsidRPr="00A00B9B" w14:paraId="0CE35CF8"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CA0CEA2" w14:textId="77777777" w:rsidR="00456597" w:rsidRPr="00A00B9B" w:rsidRDefault="00456597" w:rsidP="00B55E29">
            <w:pPr>
              <w:spacing w:before="60" w:after="40" w:line="288" w:lineRule="auto"/>
              <w:ind w:firstLine="0"/>
              <w:jc w:val="center"/>
              <w:rPr>
                <w:rFonts w:cs="Tahoma"/>
                <w:sz w:val="18"/>
                <w:szCs w:val="18"/>
              </w:rPr>
            </w:pPr>
            <w:r w:rsidRPr="00A00B9B">
              <w:rPr>
                <w:rFonts w:cs="Tahoma"/>
                <w:sz w:val="18"/>
                <w:szCs w:val="18"/>
              </w:rPr>
              <w:t>3b</w:t>
            </w:r>
          </w:p>
        </w:tc>
        <w:tc>
          <w:tcPr>
            <w:tcW w:w="1985" w:type="dxa"/>
            <w:tcBorders>
              <w:top w:val="single" w:sz="4" w:space="0" w:color="auto"/>
              <w:left w:val="single" w:sz="4" w:space="0" w:color="auto"/>
              <w:bottom w:val="single" w:sz="4" w:space="0" w:color="auto"/>
              <w:right w:val="single" w:sz="4" w:space="0" w:color="auto"/>
            </w:tcBorders>
            <w:vAlign w:val="center"/>
          </w:tcPr>
          <w:p w14:paraId="402407C6" w14:textId="77777777" w:rsidR="00456597" w:rsidRPr="00A00B9B" w:rsidRDefault="00456597" w:rsidP="00B55E29">
            <w:pPr>
              <w:spacing w:before="60" w:after="40" w:line="288" w:lineRule="auto"/>
              <w:ind w:firstLine="0"/>
              <w:jc w:val="left"/>
              <w:rPr>
                <w:rFonts w:cs="Tahoma"/>
                <w:sz w:val="18"/>
                <w:szCs w:val="18"/>
              </w:rPr>
            </w:pPr>
            <w:r w:rsidRPr="00A00B9B">
              <w:rPr>
                <w:rFonts w:cs="Tahoma"/>
                <w:sz w:val="18"/>
                <w:szCs w:val="18"/>
              </w:rPr>
              <w:t>Stan na koniec roku</w:t>
            </w:r>
          </w:p>
        </w:tc>
        <w:tc>
          <w:tcPr>
            <w:tcW w:w="716" w:type="dxa"/>
            <w:tcBorders>
              <w:top w:val="single" w:sz="4" w:space="0" w:color="auto"/>
              <w:left w:val="single" w:sz="4" w:space="0" w:color="auto"/>
              <w:bottom w:val="single" w:sz="4" w:space="0" w:color="auto"/>
              <w:right w:val="single" w:sz="4" w:space="0" w:color="auto"/>
            </w:tcBorders>
            <w:vAlign w:val="center"/>
          </w:tcPr>
          <w:p w14:paraId="414B1890" w14:textId="217E97A2" w:rsidR="00456597" w:rsidRPr="00A00B9B" w:rsidRDefault="00456597" w:rsidP="00B55E29">
            <w:pPr>
              <w:spacing w:before="60" w:after="40" w:line="288" w:lineRule="auto"/>
              <w:ind w:firstLine="0"/>
              <w:jc w:val="right"/>
              <w:rPr>
                <w:rFonts w:cs="Tahoma"/>
                <w:sz w:val="18"/>
                <w:szCs w:val="18"/>
              </w:rPr>
            </w:pPr>
            <w:r>
              <w:rPr>
                <w:rFonts w:cs="Tahoma"/>
                <w:sz w:val="18"/>
                <w:szCs w:val="18"/>
              </w:rPr>
              <w:t>1</w:t>
            </w: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78FA19C9" w14:textId="622A2AAA" w:rsidR="00456597" w:rsidRPr="00A00B9B" w:rsidRDefault="00456597" w:rsidP="00B55E29">
            <w:pPr>
              <w:spacing w:before="60" w:after="40" w:line="288" w:lineRule="auto"/>
              <w:ind w:firstLine="0"/>
              <w:jc w:val="right"/>
              <w:rPr>
                <w:rFonts w:cs="Tahoma"/>
                <w:sz w:val="18"/>
                <w:szCs w:val="18"/>
              </w:rPr>
            </w:pPr>
            <w:r>
              <w:rPr>
                <w:rFonts w:cs="Tahoma"/>
                <w:sz w:val="18"/>
                <w:szCs w:val="18"/>
              </w:rPr>
              <w:t>1</w:t>
            </w: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2DBC2D2E" w14:textId="3627F618" w:rsidR="00456597" w:rsidRPr="00A00B9B" w:rsidRDefault="00456597" w:rsidP="00B55E29">
            <w:pPr>
              <w:spacing w:before="60" w:after="40" w:line="288" w:lineRule="auto"/>
              <w:ind w:firstLine="0"/>
              <w:jc w:val="right"/>
              <w:rPr>
                <w:rFonts w:cs="Tahoma"/>
                <w:sz w:val="18"/>
                <w:szCs w:val="18"/>
              </w:rPr>
            </w:pPr>
            <w:r>
              <w:rPr>
                <w:rFonts w:cs="Tahoma"/>
                <w:sz w:val="18"/>
                <w:szCs w:val="18"/>
              </w:rPr>
              <w:t>12</w:t>
            </w:r>
          </w:p>
        </w:tc>
        <w:tc>
          <w:tcPr>
            <w:tcW w:w="717" w:type="dxa"/>
            <w:tcBorders>
              <w:top w:val="single" w:sz="4" w:space="0" w:color="auto"/>
              <w:left w:val="single" w:sz="4" w:space="0" w:color="auto"/>
              <w:bottom w:val="single" w:sz="4" w:space="0" w:color="auto"/>
              <w:right w:val="single" w:sz="4" w:space="0" w:color="auto"/>
            </w:tcBorders>
            <w:vAlign w:val="center"/>
          </w:tcPr>
          <w:p w14:paraId="271E0C9D" w14:textId="70D7D1B0" w:rsidR="00456597" w:rsidRPr="00A00B9B" w:rsidRDefault="00456597" w:rsidP="00B55E29">
            <w:pPr>
              <w:spacing w:before="60" w:after="40" w:line="288" w:lineRule="auto"/>
              <w:ind w:firstLine="0"/>
              <w:jc w:val="right"/>
              <w:rPr>
                <w:rFonts w:cs="Tahoma"/>
                <w:sz w:val="18"/>
                <w:szCs w:val="18"/>
              </w:rPr>
            </w:pPr>
            <w:r>
              <w:rPr>
                <w:rFonts w:cs="Tahoma"/>
                <w:sz w:val="18"/>
                <w:szCs w:val="18"/>
              </w:rPr>
              <w:t>45</w:t>
            </w:r>
          </w:p>
        </w:tc>
        <w:tc>
          <w:tcPr>
            <w:tcW w:w="716" w:type="dxa"/>
            <w:tcBorders>
              <w:top w:val="single" w:sz="4" w:space="0" w:color="auto"/>
              <w:left w:val="single" w:sz="4" w:space="0" w:color="auto"/>
              <w:bottom w:val="single" w:sz="4" w:space="0" w:color="auto"/>
              <w:right w:val="single" w:sz="4" w:space="0" w:color="auto"/>
            </w:tcBorders>
            <w:vAlign w:val="center"/>
          </w:tcPr>
          <w:p w14:paraId="46D6A0C7" w14:textId="2CB1033A" w:rsidR="00456597" w:rsidRPr="00A00B9B" w:rsidRDefault="00456597" w:rsidP="00B55E29">
            <w:pPr>
              <w:spacing w:before="60" w:after="40" w:line="288" w:lineRule="auto"/>
              <w:ind w:firstLine="0"/>
              <w:jc w:val="right"/>
              <w:rPr>
                <w:rFonts w:cs="Tahoma"/>
                <w:sz w:val="18"/>
                <w:szCs w:val="18"/>
              </w:rPr>
            </w:pPr>
            <w:r>
              <w:rPr>
                <w:rFonts w:cs="Tahoma"/>
                <w:sz w:val="18"/>
                <w:szCs w:val="18"/>
              </w:rPr>
              <w:t>45</w:t>
            </w:r>
          </w:p>
        </w:tc>
        <w:tc>
          <w:tcPr>
            <w:tcW w:w="716" w:type="dxa"/>
            <w:tcBorders>
              <w:top w:val="single" w:sz="4" w:space="0" w:color="auto"/>
              <w:left w:val="single" w:sz="4" w:space="0" w:color="auto"/>
              <w:bottom w:val="single" w:sz="4" w:space="0" w:color="auto"/>
              <w:right w:val="single" w:sz="4" w:space="0" w:color="auto"/>
            </w:tcBorders>
            <w:vAlign w:val="center"/>
          </w:tcPr>
          <w:p w14:paraId="32E2BF8C" w14:textId="239248C8" w:rsidR="00456597" w:rsidRPr="00A00B9B" w:rsidRDefault="00456597" w:rsidP="00B55E29">
            <w:pPr>
              <w:spacing w:before="60" w:after="40" w:line="288" w:lineRule="auto"/>
              <w:ind w:firstLine="0"/>
              <w:jc w:val="right"/>
              <w:rPr>
                <w:rFonts w:cs="Tahoma"/>
                <w:sz w:val="18"/>
                <w:szCs w:val="18"/>
              </w:rPr>
            </w:pPr>
            <w:r>
              <w:rPr>
                <w:rFonts w:cs="Tahoma"/>
                <w:sz w:val="18"/>
                <w:szCs w:val="18"/>
              </w:rPr>
              <w:t>45</w:t>
            </w:r>
          </w:p>
        </w:tc>
        <w:tc>
          <w:tcPr>
            <w:tcW w:w="717" w:type="dxa"/>
            <w:tcBorders>
              <w:top w:val="single" w:sz="4" w:space="0" w:color="auto"/>
              <w:left w:val="single" w:sz="4" w:space="0" w:color="auto"/>
              <w:bottom w:val="single" w:sz="4" w:space="0" w:color="auto"/>
              <w:right w:val="single" w:sz="4" w:space="0" w:color="auto"/>
            </w:tcBorders>
            <w:vAlign w:val="center"/>
          </w:tcPr>
          <w:p w14:paraId="3FDB1BC0" w14:textId="6F907FE7"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c>
          <w:tcPr>
            <w:tcW w:w="716" w:type="dxa"/>
            <w:tcBorders>
              <w:top w:val="single" w:sz="4" w:space="0" w:color="auto"/>
              <w:left w:val="single" w:sz="4" w:space="0" w:color="auto"/>
              <w:bottom w:val="single" w:sz="4" w:space="0" w:color="auto"/>
              <w:right w:val="single" w:sz="4" w:space="0" w:color="auto"/>
            </w:tcBorders>
            <w:vAlign w:val="center"/>
          </w:tcPr>
          <w:p w14:paraId="53C46FF0" w14:textId="21C71518"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c>
          <w:tcPr>
            <w:tcW w:w="716" w:type="dxa"/>
            <w:tcBorders>
              <w:top w:val="single" w:sz="4" w:space="0" w:color="auto"/>
              <w:left w:val="single" w:sz="4" w:space="0" w:color="auto"/>
              <w:bottom w:val="single" w:sz="4" w:space="0" w:color="auto"/>
              <w:right w:val="single" w:sz="4" w:space="0" w:color="auto"/>
            </w:tcBorders>
            <w:vAlign w:val="center"/>
          </w:tcPr>
          <w:p w14:paraId="32072633" w14:textId="3DCC9422"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c>
          <w:tcPr>
            <w:tcW w:w="717" w:type="dxa"/>
            <w:tcBorders>
              <w:top w:val="single" w:sz="4" w:space="0" w:color="auto"/>
              <w:left w:val="single" w:sz="4" w:space="0" w:color="auto"/>
              <w:bottom w:val="single" w:sz="4" w:space="0" w:color="auto"/>
              <w:right w:val="single" w:sz="4" w:space="0" w:color="auto"/>
            </w:tcBorders>
            <w:vAlign w:val="center"/>
          </w:tcPr>
          <w:p w14:paraId="57514E77" w14:textId="15D0C2D2"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c>
          <w:tcPr>
            <w:tcW w:w="716" w:type="dxa"/>
            <w:tcBorders>
              <w:top w:val="single" w:sz="4" w:space="0" w:color="auto"/>
              <w:left w:val="single" w:sz="4" w:space="0" w:color="auto"/>
              <w:bottom w:val="single" w:sz="4" w:space="0" w:color="auto"/>
              <w:right w:val="single" w:sz="4" w:space="0" w:color="auto"/>
            </w:tcBorders>
            <w:vAlign w:val="center"/>
          </w:tcPr>
          <w:p w14:paraId="653C0032" w14:textId="0772199A"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c>
          <w:tcPr>
            <w:tcW w:w="716" w:type="dxa"/>
            <w:tcBorders>
              <w:top w:val="single" w:sz="4" w:space="0" w:color="auto"/>
              <w:left w:val="single" w:sz="4" w:space="0" w:color="auto"/>
              <w:bottom w:val="single" w:sz="4" w:space="0" w:color="auto"/>
              <w:right w:val="single" w:sz="4" w:space="0" w:color="auto"/>
            </w:tcBorders>
            <w:vAlign w:val="center"/>
          </w:tcPr>
          <w:p w14:paraId="49E07D9E" w14:textId="0357A569"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c>
          <w:tcPr>
            <w:tcW w:w="717" w:type="dxa"/>
            <w:tcBorders>
              <w:top w:val="single" w:sz="4" w:space="0" w:color="auto"/>
              <w:left w:val="single" w:sz="4" w:space="0" w:color="auto"/>
              <w:bottom w:val="single" w:sz="4" w:space="0" w:color="auto"/>
              <w:right w:val="single" w:sz="4" w:space="0" w:color="auto"/>
            </w:tcBorders>
            <w:vAlign w:val="center"/>
          </w:tcPr>
          <w:p w14:paraId="443FEF1D" w14:textId="2EF668FC"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c>
          <w:tcPr>
            <w:tcW w:w="716" w:type="dxa"/>
            <w:tcBorders>
              <w:top w:val="single" w:sz="4" w:space="0" w:color="auto"/>
              <w:left w:val="single" w:sz="4" w:space="0" w:color="auto"/>
              <w:bottom w:val="single" w:sz="4" w:space="0" w:color="auto"/>
              <w:right w:val="single" w:sz="4" w:space="0" w:color="auto"/>
            </w:tcBorders>
            <w:vAlign w:val="center"/>
          </w:tcPr>
          <w:p w14:paraId="63C507C5" w14:textId="6176DF5C"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c>
          <w:tcPr>
            <w:tcW w:w="716" w:type="dxa"/>
            <w:tcBorders>
              <w:top w:val="single" w:sz="4" w:space="0" w:color="auto"/>
              <w:left w:val="single" w:sz="4" w:space="0" w:color="auto"/>
              <w:bottom w:val="single" w:sz="4" w:space="0" w:color="auto"/>
              <w:right w:val="single" w:sz="4" w:space="0" w:color="auto"/>
            </w:tcBorders>
            <w:vAlign w:val="center"/>
          </w:tcPr>
          <w:p w14:paraId="18C80169" w14:textId="19B0EB9A"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c>
          <w:tcPr>
            <w:tcW w:w="717" w:type="dxa"/>
            <w:tcBorders>
              <w:top w:val="single" w:sz="4" w:space="0" w:color="auto"/>
              <w:left w:val="single" w:sz="4" w:space="0" w:color="auto"/>
              <w:bottom w:val="single" w:sz="4" w:space="0" w:color="auto"/>
              <w:right w:val="single" w:sz="4" w:space="0" w:color="auto"/>
            </w:tcBorders>
            <w:vAlign w:val="center"/>
          </w:tcPr>
          <w:p w14:paraId="4BEAE1C0" w14:textId="69328D8D" w:rsidR="00456597" w:rsidRPr="00A00B9B" w:rsidRDefault="00545E43" w:rsidP="00B55E29">
            <w:pPr>
              <w:spacing w:before="60" w:after="40" w:line="288" w:lineRule="auto"/>
              <w:ind w:firstLine="0"/>
              <w:jc w:val="right"/>
              <w:rPr>
                <w:rFonts w:cs="Tahoma"/>
                <w:sz w:val="18"/>
                <w:szCs w:val="18"/>
              </w:rPr>
            </w:pPr>
            <w:r>
              <w:rPr>
                <w:rFonts w:cs="Tahoma"/>
                <w:sz w:val="18"/>
                <w:szCs w:val="18"/>
              </w:rPr>
              <w:t>65</w:t>
            </w:r>
          </w:p>
        </w:tc>
      </w:tr>
      <w:tr w:rsidR="00B55E29" w:rsidRPr="00A00B9B" w14:paraId="433A5E6E"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2BE513A3" w14:textId="146BD5BF" w:rsidR="00B55E29" w:rsidRPr="00A00B9B" w:rsidRDefault="00B55E29" w:rsidP="00B55E29">
            <w:pPr>
              <w:spacing w:before="60" w:after="40" w:line="288" w:lineRule="auto"/>
              <w:ind w:firstLine="0"/>
              <w:jc w:val="center"/>
              <w:rPr>
                <w:rFonts w:cs="Tahoma"/>
                <w:b/>
                <w:sz w:val="18"/>
                <w:szCs w:val="18"/>
              </w:rPr>
            </w:pPr>
            <w:r>
              <w:rPr>
                <w:rFonts w:cs="Tahoma"/>
                <w:b/>
                <w:sz w:val="18"/>
                <w:szCs w:val="18"/>
              </w:rPr>
              <w:t>4</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0E2F2F68" w14:textId="3A2A4F55" w:rsidR="00B55E29" w:rsidRPr="00A00B9B" w:rsidRDefault="00B55E29" w:rsidP="00B55E29">
            <w:pPr>
              <w:spacing w:before="60" w:after="40" w:line="288" w:lineRule="auto"/>
              <w:ind w:firstLine="0"/>
              <w:jc w:val="left"/>
              <w:rPr>
                <w:rFonts w:cs="Tahoma"/>
                <w:b/>
                <w:sz w:val="18"/>
                <w:szCs w:val="18"/>
              </w:rPr>
            </w:pPr>
            <w:r w:rsidRPr="00A00B9B">
              <w:rPr>
                <w:rFonts w:cs="Tahoma"/>
                <w:b/>
                <w:sz w:val="18"/>
                <w:szCs w:val="18"/>
              </w:rPr>
              <w:t xml:space="preserve">Autobusy </w:t>
            </w:r>
            <w:r>
              <w:rPr>
                <w:rFonts w:cs="Tahoma"/>
                <w:b/>
                <w:sz w:val="18"/>
                <w:szCs w:val="18"/>
              </w:rPr>
              <w:t>wodorowe</w:t>
            </w:r>
          </w:p>
        </w:tc>
      </w:tr>
      <w:tr w:rsidR="00B55E29" w:rsidRPr="00A00B9B" w14:paraId="5A335E88"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1457DE6" w14:textId="2F7546D9" w:rsidR="00B55E29" w:rsidRPr="00A00B9B" w:rsidRDefault="00B55E29" w:rsidP="00B55E29">
            <w:pPr>
              <w:spacing w:before="60" w:after="40" w:line="288" w:lineRule="auto"/>
              <w:ind w:firstLine="0"/>
              <w:jc w:val="center"/>
              <w:rPr>
                <w:rFonts w:cs="Tahoma"/>
                <w:sz w:val="18"/>
                <w:szCs w:val="18"/>
              </w:rPr>
            </w:pPr>
            <w:r>
              <w:rPr>
                <w:rFonts w:cs="Tahoma"/>
                <w:sz w:val="18"/>
                <w:szCs w:val="18"/>
              </w:rPr>
              <w:t>4</w:t>
            </w:r>
            <w:r w:rsidRPr="00A00B9B">
              <w:rPr>
                <w:rFonts w:cs="Tahoma"/>
                <w:sz w:val="18"/>
                <w:szCs w:val="18"/>
              </w:rPr>
              <w:t>a</w:t>
            </w:r>
          </w:p>
        </w:tc>
        <w:tc>
          <w:tcPr>
            <w:tcW w:w="1985" w:type="dxa"/>
            <w:tcBorders>
              <w:top w:val="single" w:sz="4" w:space="0" w:color="auto"/>
              <w:left w:val="single" w:sz="4" w:space="0" w:color="auto"/>
              <w:bottom w:val="single" w:sz="4" w:space="0" w:color="auto"/>
              <w:right w:val="single" w:sz="4" w:space="0" w:color="auto"/>
            </w:tcBorders>
            <w:vAlign w:val="center"/>
          </w:tcPr>
          <w:p w14:paraId="51FBB586" w14:textId="77777777" w:rsidR="00B55E29" w:rsidRPr="00A00B9B" w:rsidRDefault="00B55E29" w:rsidP="00B55E29">
            <w:pPr>
              <w:spacing w:before="60" w:after="40" w:line="288" w:lineRule="auto"/>
              <w:ind w:firstLine="0"/>
              <w:jc w:val="left"/>
              <w:rPr>
                <w:rFonts w:cs="Tahoma"/>
                <w:sz w:val="18"/>
                <w:szCs w:val="18"/>
              </w:rPr>
            </w:pPr>
            <w:r w:rsidRPr="00A00B9B">
              <w:rPr>
                <w:rFonts w:cs="Tahoma"/>
                <w:sz w:val="18"/>
                <w:szCs w:val="18"/>
              </w:rPr>
              <w:t xml:space="preserve">Zakup/wycofanie </w:t>
            </w:r>
          </w:p>
        </w:tc>
        <w:tc>
          <w:tcPr>
            <w:tcW w:w="716" w:type="dxa"/>
            <w:tcBorders>
              <w:top w:val="single" w:sz="4" w:space="0" w:color="auto"/>
              <w:left w:val="single" w:sz="4" w:space="0" w:color="auto"/>
              <w:bottom w:val="single" w:sz="4" w:space="0" w:color="auto"/>
              <w:right w:val="single" w:sz="4" w:space="0" w:color="auto"/>
            </w:tcBorders>
            <w:vAlign w:val="center"/>
          </w:tcPr>
          <w:p w14:paraId="406FAEC5"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17909449"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0956A65" w14:textId="7F994D1C" w:rsidR="00B55E29" w:rsidRPr="00A00B9B" w:rsidRDefault="00545E43" w:rsidP="00B55E29">
            <w:pPr>
              <w:spacing w:before="60" w:after="40" w:line="288" w:lineRule="auto"/>
              <w:ind w:firstLine="0"/>
              <w:jc w:val="right"/>
              <w:rPr>
                <w:rFonts w:cs="Tahoma"/>
                <w:sz w:val="18"/>
                <w:szCs w:val="18"/>
              </w:rPr>
            </w:pPr>
            <w:r>
              <w:rPr>
                <w:rFonts w:cs="Tahoma"/>
                <w:sz w:val="18"/>
                <w:szCs w:val="18"/>
              </w:rPr>
              <w:t>-</w:t>
            </w:r>
            <w:r w:rsidR="00B55E29"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1F1F6F2C" w14:textId="4D16DDF8" w:rsidR="00B55E29" w:rsidRPr="00A00B9B" w:rsidRDefault="00545E43" w:rsidP="00B55E29">
            <w:pPr>
              <w:spacing w:before="60" w:after="40" w:line="288" w:lineRule="auto"/>
              <w:ind w:firstLine="0"/>
              <w:jc w:val="right"/>
              <w:rPr>
                <w:rFonts w:cs="Tahoma"/>
                <w:sz w:val="18"/>
                <w:szCs w:val="18"/>
              </w:rPr>
            </w:pPr>
            <w:r>
              <w:rPr>
                <w:rFonts w:cs="Tahoma"/>
                <w:sz w:val="18"/>
                <w:szCs w:val="18"/>
              </w:rPr>
              <w:t>-</w:t>
            </w:r>
            <w:r w:rsidR="00B55E29"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13F8B398" w14:textId="152C8B7F" w:rsidR="00B55E29" w:rsidRPr="00A00B9B" w:rsidRDefault="00545E43" w:rsidP="00B55E29">
            <w:pPr>
              <w:spacing w:before="60" w:after="40" w:line="288" w:lineRule="auto"/>
              <w:ind w:firstLine="0"/>
              <w:jc w:val="right"/>
              <w:rPr>
                <w:rFonts w:cs="Tahoma"/>
                <w:sz w:val="18"/>
                <w:szCs w:val="18"/>
              </w:rPr>
            </w:pPr>
            <w:r>
              <w:rPr>
                <w:rFonts w:cs="Tahoma"/>
                <w:sz w:val="18"/>
                <w:szCs w:val="18"/>
              </w:rPr>
              <w:t>2</w:t>
            </w:r>
            <w:r w:rsidR="00B55E29"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470E8212"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12A0BAB1" w14:textId="61DF4011" w:rsidR="00B55E29" w:rsidRPr="00A00B9B" w:rsidRDefault="00545E43" w:rsidP="00B55E29">
            <w:pPr>
              <w:spacing w:before="60" w:after="40" w:line="288" w:lineRule="auto"/>
              <w:ind w:firstLine="0"/>
              <w:jc w:val="right"/>
              <w:rPr>
                <w:rFonts w:cs="Tahoma"/>
                <w:sz w:val="18"/>
                <w:szCs w:val="18"/>
              </w:rPr>
            </w:pPr>
            <w:r>
              <w:rPr>
                <w:rFonts w:cs="Tahoma"/>
                <w:sz w:val="18"/>
                <w:szCs w:val="18"/>
              </w:rPr>
              <w:t>2</w:t>
            </w:r>
            <w:r w:rsidR="00B55E29"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3B26DD16" w14:textId="77777777" w:rsidR="00B55E29" w:rsidRPr="00A00B9B" w:rsidRDefault="00B55E29" w:rsidP="00B55E29">
            <w:pPr>
              <w:spacing w:before="60" w:after="40" w:line="288" w:lineRule="auto"/>
              <w:ind w:firstLine="0"/>
              <w:jc w:val="right"/>
              <w:rPr>
                <w:rFonts w:cs="Tahoma"/>
                <w:sz w:val="18"/>
                <w:szCs w:val="18"/>
              </w:rPr>
            </w:pPr>
            <w:r>
              <w:rPr>
                <w:rFonts w:cs="Tahoma"/>
                <w:sz w:val="18"/>
                <w:szCs w:val="18"/>
              </w:rPr>
              <w:t>4</w:t>
            </w: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5CFC6517"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59BF03DD"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10040D54"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06801368" w14:textId="3A530EA6" w:rsidR="00B55E29" w:rsidRPr="00A00B9B" w:rsidRDefault="00545E43" w:rsidP="00B55E29">
            <w:pPr>
              <w:spacing w:before="60" w:after="40" w:line="288" w:lineRule="auto"/>
              <w:ind w:firstLine="0"/>
              <w:jc w:val="right"/>
              <w:rPr>
                <w:rFonts w:cs="Tahoma"/>
                <w:sz w:val="18"/>
                <w:szCs w:val="18"/>
              </w:rPr>
            </w:pPr>
            <w:r>
              <w:rPr>
                <w:rFonts w:cs="Tahoma"/>
                <w:sz w:val="18"/>
                <w:szCs w:val="18"/>
              </w:rPr>
              <w:t>5</w:t>
            </w:r>
            <w:r w:rsidR="00B55E29"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7A751F9F"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7A4B025B"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c>
          <w:tcPr>
            <w:tcW w:w="716" w:type="dxa"/>
            <w:tcBorders>
              <w:top w:val="single" w:sz="4" w:space="0" w:color="auto"/>
              <w:left w:val="single" w:sz="4" w:space="0" w:color="auto"/>
              <w:bottom w:val="single" w:sz="4" w:space="0" w:color="auto"/>
              <w:right w:val="single" w:sz="4" w:space="0" w:color="auto"/>
            </w:tcBorders>
            <w:vAlign w:val="center"/>
          </w:tcPr>
          <w:p w14:paraId="2AA656F8"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c>
          <w:tcPr>
            <w:tcW w:w="717" w:type="dxa"/>
            <w:tcBorders>
              <w:top w:val="single" w:sz="4" w:space="0" w:color="auto"/>
              <w:left w:val="single" w:sz="4" w:space="0" w:color="auto"/>
              <w:bottom w:val="single" w:sz="4" w:space="0" w:color="auto"/>
              <w:right w:val="single" w:sz="4" w:space="0" w:color="auto"/>
            </w:tcBorders>
            <w:vAlign w:val="center"/>
          </w:tcPr>
          <w:p w14:paraId="4A632FF3" w14:textId="77777777"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w:t>
            </w:r>
          </w:p>
        </w:tc>
      </w:tr>
      <w:tr w:rsidR="00B55E29" w:rsidRPr="00A00B9B" w14:paraId="5DF66FEE"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FBE7EC3" w14:textId="487FF258" w:rsidR="00B55E29" w:rsidRPr="00A00B9B" w:rsidRDefault="00B55E29" w:rsidP="00B55E29">
            <w:pPr>
              <w:spacing w:before="60" w:after="40" w:line="288" w:lineRule="auto"/>
              <w:ind w:firstLine="0"/>
              <w:jc w:val="center"/>
              <w:rPr>
                <w:rFonts w:cs="Tahoma"/>
                <w:sz w:val="18"/>
                <w:szCs w:val="18"/>
              </w:rPr>
            </w:pPr>
            <w:r>
              <w:rPr>
                <w:rFonts w:cs="Tahoma"/>
                <w:sz w:val="18"/>
                <w:szCs w:val="18"/>
              </w:rPr>
              <w:t>4</w:t>
            </w:r>
            <w:r w:rsidRPr="00A00B9B">
              <w:rPr>
                <w:rFonts w:cs="Tahoma"/>
                <w:sz w:val="18"/>
                <w:szCs w:val="18"/>
              </w:rPr>
              <w:t>b</w:t>
            </w:r>
          </w:p>
        </w:tc>
        <w:tc>
          <w:tcPr>
            <w:tcW w:w="1985" w:type="dxa"/>
            <w:tcBorders>
              <w:top w:val="single" w:sz="4" w:space="0" w:color="auto"/>
              <w:left w:val="single" w:sz="4" w:space="0" w:color="auto"/>
              <w:bottom w:val="single" w:sz="4" w:space="0" w:color="auto"/>
              <w:right w:val="single" w:sz="4" w:space="0" w:color="auto"/>
            </w:tcBorders>
            <w:vAlign w:val="center"/>
          </w:tcPr>
          <w:p w14:paraId="4A120C9B" w14:textId="77777777" w:rsidR="00B55E29" w:rsidRPr="00A00B9B" w:rsidRDefault="00B55E29" w:rsidP="00B55E29">
            <w:pPr>
              <w:spacing w:before="60" w:after="40" w:line="288" w:lineRule="auto"/>
              <w:ind w:firstLine="0"/>
              <w:jc w:val="left"/>
              <w:rPr>
                <w:rFonts w:cs="Tahoma"/>
                <w:sz w:val="18"/>
                <w:szCs w:val="18"/>
              </w:rPr>
            </w:pPr>
            <w:r w:rsidRPr="00A00B9B">
              <w:rPr>
                <w:rFonts w:cs="Tahoma"/>
                <w:sz w:val="18"/>
                <w:szCs w:val="18"/>
              </w:rPr>
              <w:t>Stan na koniec roku</w:t>
            </w:r>
          </w:p>
        </w:tc>
        <w:tc>
          <w:tcPr>
            <w:tcW w:w="716" w:type="dxa"/>
            <w:tcBorders>
              <w:top w:val="single" w:sz="4" w:space="0" w:color="auto"/>
              <w:left w:val="single" w:sz="4" w:space="0" w:color="auto"/>
              <w:bottom w:val="single" w:sz="4" w:space="0" w:color="auto"/>
              <w:right w:val="single" w:sz="4" w:space="0" w:color="auto"/>
            </w:tcBorders>
            <w:vAlign w:val="center"/>
          </w:tcPr>
          <w:p w14:paraId="317A6343" w14:textId="6C81407A"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3F3EC9B9" w14:textId="35938A79" w:rsidR="00B55E29" w:rsidRPr="00A00B9B" w:rsidRDefault="00B55E29" w:rsidP="00B55E29">
            <w:pPr>
              <w:spacing w:before="60" w:after="40" w:line="288" w:lineRule="auto"/>
              <w:ind w:firstLine="0"/>
              <w:jc w:val="right"/>
              <w:rPr>
                <w:rFonts w:cs="Tahoma"/>
                <w:sz w:val="18"/>
                <w:szCs w:val="18"/>
              </w:rPr>
            </w:pP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66CD8383" w14:textId="305E5A0A" w:rsidR="00B55E29" w:rsidRPr="00A00B9B" w:rsidRDefault="00545E43" w:rsidP="00B55E29">
            <w:pPr>
              <w:spacing w:before="60" w:after="40" w:line="288" w:lineRule="auto"/>
              <w:ind w:firstLine="0"/>
              <w:jc w:val="right"/>
              <w:rPr>
                <w:rFonts w:cs="Tahoma"/>
                <w:sz w:val="18"/>
                <w:szCs w:val="18"/>
              </w:rPr>
            </w:pPr>
            <w:r>
              <w:rPr>
                <w:rFonts w:cs="Tahoma"/>
                <w:sz w:val="18"/>
                <w:szCs w:val="18"/>
              </w:rPr>
              <w:t>0</w:t>
            </w:r>
          </w:p>
        </w:tc>
        <w:tc>
          <w:tcPr>
            <w:tcW w:w="717" w:type="dxa"/>
            <w:tcBorders>
              <w:top w:val="single" w:sz="4" w:space="0" w:color="auto"/>
              <w:left w:val="single" w:sz="4" w:space="0" w:color="auto"/>
              <w:bottom w:val="single" w:sz="4" w:space="0" w:color="auto"/>
              <w:right w:val="single" w:sz="4" w:space="0" w:color="auto"/>
            </w:tcBorders>
            <w:vAlign w:val="center"/>
          </w:tcPr>
          <w:p w14:paraId="753B3977" w14:textId="2EB0FB4A" w:rsidR="00B55E29" w:rsidRPr="00A00B9B" w:rsidRDefault="00545E43" w:rsidP="00B55E29">
            <w:pPr>
              <w:spacing w:before="60" w:after="40" w:line="288" w:lineRule="auto"/>
              <w:ind w:firstLine="0"/>
              <w:jc w:val="right"/>
              <w:rPr>
                <w:rFonts w:cs="Tahoma"/>
                <w:sz w:val="18"/>
                <w:szCs w:val="18"/>
              </w:rPr>
            </w:pPr>
            <w:r>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7C187440" w14:textId="68F0512A" w:rsidR="00B55E29" w:rsidRPr="00A00B9B" w:rsidRDefault="00545E43" w:rsidP="00B55E29">
            <w:pPr>
              <w:spacing w:before="60" w:after="40" w:line="288" w:lineRule="auto"/>
              <w:ind w:firstLine="0"/>
              <w:jc w:val="right"/>
              <w:rPr>
                <w:rFonts w:cs="Tahoma"/>
                <w:sz w:val="18"/>
                <w:szCs w:val="18"/>
              </w:rPr>
            </w:pPr>
            <w:r>
              <w:rPr>
                <w:rFonts w:cs="Tahoma"/>
                <w:sz w:val="18"/>
                <w:szCs w:val="18"/>
              </w:rPr>
              <w:t>2</w:t>
            </w:r>
          </w:p>
        </w:tc>
        <w:tc>
          <w:tcPr>
            <w:tcW w:w="716" w:type="dxa"/>
            <w:tcBorders>
              <w:top w:val="single" w:sz="4" w:space="0" w:color="auto"/>
              <w:left w:val="single" w:sz="4" w:space="0" w:color="auto"/>
              <w:bottom w:val="single" w:sz="4" w:space="0" w:color="auto"/>
              <w:right w:val="single" w:sz="4" w:space="0" w:color="auto"/>
            </w:tcBorders>
            <w:vAlign w:val="center"/>
          </w:tcPr>
          <w:p w14:paraId="5130BC5A" w14:textId="4CA9C123" w:rsidR="00B55E29" w:rsidRPr="00A00B9B" w:rsidRDefault="00545E43" w:rsidP="00B55E29">
            <w:pPr>
              <w:spacing w:before="60" w:after="40" w:line="288" w:lineRule="auto"/>
              <w:ind w:firstLine="0"/>
              <w:jc w:val="right"/>
              <w:rPr>
                <w:rFonts w:cs="Tahoma"/>
                <w:sz w:val="18"/>
                <w:szCs w:val="18"/>
              </w:rPr>
            </w:pPr>
            <w:r>
              <w:rPr>
                <w:rFonts w:cs="Tahoma"/>
                <w:sz w:val="18"/>
                <w:szCs w:val="18"/>
              </w:rPr>
              <w:t>2</w:t>
            </w:r>
          </w:p>
        </w:tc>
        <w:tc>
          <w:tcPr>
            <w:tcW w:w="717" w:type="dxa"/>
            <w:tcBorders>
              <w:top w:val="single" w:sz="4" w:space="0" w:color="auto"/>
              <w:left w:val="single" w:sz="4" w:space="0" w:color="auto"/>
              <w:bottom w:val="single" w:sz="4" w:space="0" w:color="auto"/>
              <w:right w:val="single" w:sz="4" w:space="0" w:color="auto"/>
            </w:tcBorders>
            <w:vAlign w:val="center"/>
          </w:tcPr>
          <w:p w14:paraId="55B6A156" w14:textId="27634A50" w:rsidR="00B55E29" w:rsidRPr="00A00B9B" w:rsidRDefault="00545E43" w:rsidP="00B55E29">
            <w:pPr>
              <w:spacing w:before="60" w:after="40" w:line="288" w:lineRule="auto"/>
              <w:ind w:firstLine="0"/>
              <w:jc w:val="right"/>
              <w:rPr>
                <w:rFonts w:cs="Tahoma"/>
                <w:sz w:val="18"/>
                <w:szCs w:val="18"/>
              </w:rPr>
            </w:pPr>
            <w:r>
              <w:rPr>
                <w:rFonts w:cs="Tahoma"/>
                <w:sz w:val="18"/>
                <w:szCs w:val="18"/>
              </w:rPr>
              <w:t>4</w:t>
            </w:r>
          </w:p>
        </w:tc>
        <w:tc>
          <w:tcPr>
            <w:tcW w:w="716" w:type="dxa"/>
            <w:tcBorders>
              <w:top w:val="single" w:sz="4" w:space="0" w:color="auto"/>
              <w:left w:val="single" w:sz="4" w:space="0" w:color="auto"/>
              <w:bottom w:val="single" w:sz="4" w:space="0" w:color="auto"/>
              <w:right w:val="single" w:sz="4" w:space="0" w:color="auto"/>
            </w:tcBorders>
            <w:vAlign w:val="center"/>
          </w:tcPr>
          <w:p w14:paraId="5A583582" w14:textId="1056DEA3" w:rsidR="00B55E29" w:rsidRPr="00A00B9B" w:rsidRDefault="00545E43" w:rsidP="00B55E29">
            <w:pPr>
              <w:spacing w:before="60" w:after="40" w:line="288" w:lineRule="auto"/>
              <w:ind w:firstLine="0"/>
              <w:jc w:val="right"/>
              <w:rPr>
                <w:rFonts w:cs="Tahoma"/>
                <w:sz w:val="18"/>
                <w:szCs w:val="18"/>
              </w:rPr>
            </w:pPr>
            <w:r>
              <w:rPr>
                <w:rFonts w:cs="Tahoma"/>
                <w:sz w:val="18"/>
                <w:szCs w:val="18"/>
              </w:rPr>
              <w:t>8</w:t>
            </w:r>
          </w:p>
        </w:tc>
        <w:tc>
          <w:tcPr>
            <w:tcW w:w="716" w:type="dxa"/>
            <w:tcBorders>
              <w:top w:val="single" w:sz="4" w:space="0" w:color="auto"/>
              <w:left w:val="single" w:sz="4" w:space="0" w:color="auto"/>
              <w:bottom w:val="single" w:sz="4" w:space="0" w:color="auto"/>
              <w:right w:val="single" w:sz="4" w:space="0" w:color="auto"/>
            </w:tcBorders>
            <w:vAlign w:val="center"/>
          </w:tcPr>
          <w:p w14:paraId="0509B132" w14:textId="1F65B76B" w:rsidR="00B55E29" w:rsidRPr="00A00B9B" w:rsidRDefault="00545E43" w:rsidP="00B55E29">
            <w:pPr>
              <w:spacing w:before="60" w:after="40" w:line="288" w:lineRule="auto"/>
              <w:ind w:firstLine="0"/>
              <w:jc w:val="right"/>
              <w:rPr>
                <w:rFonts w:cs="Tahoma"/>
                <w:sz w:val="18"/>
                <w:szCs w:val="18"/>
              </w:rPr>
            </w:pPr>
            <w:r>
              <w:rPr>
                <w:rFonts w:cs="Tahoma"/>
                <w:sz w:val="18"/>
                <w:szCs w:val="18"/>
              </w:rPr>
              <w:t>8</w:t>
            </w:r>
          </w:p>
        </w:tc>
        <w:tc>
          <w:tcPr>
            <w:tcW w:w="717" w:type="dxa"/>
            <w:tcBorders>
              <w:top w:val="single" w:sz="4" w:space="0" w:color="auto"/>
              <w:left w:val="single" w:sz="4" w:space="0" w:color="auto"/>
              <w:bottom w:val="single" w:sz="4" w:space="0" w:color="auto"/>
              <w:right w:val="single" w:sz="4" w:space="0" w:color="auto"/>
            </w:tcBorders>
            <w:vAlign w:val="center"/>
          </w:tcPr>
          <w:p w14:paraId="5FDF6D08" w14:textId="1C3A57CB" w:rsidR="00B55E29" w:rsidRPr="00A00B9B" w:rsidRDefault="00545E43" w:rsidP="00B55E29">
            <w:pPr>
              <w:spacing w:before="60" w:after="40" w:line="288" w:lineRule="auto"/>
              <w:ind w:firstLine="0"/>
              <w:jc w:val="right"/>
              <w:rPr>
                <w:rFonts w:cs="Tahoma"/>
                <w:sz w:val="18"/>
                <w:szCs w:val="18"/>
              </w:rPr>
            </w:pPr>
            <w:r>
              <w:rPr>
                <w:rFonts w:cs="Tahoma"/>
                <w:sz w:val="18"/>
                <w:szCs w:val="18"/>
              </w:rPr>
              <w:t>8</w:t>
            </w:r>
          </w:p>
        </w:tc>
        <w:tc>
          <w:tcPr>
            <w:tcW w:w="716" w:type="dxa"/>
            <w:tcBorders>
              <w:top w:val="single" w:sz="4" w:space="0" w:color="auto"/>
              <w:left w:val="single" w:sz="4" w:space="0" w:color="auto"/>
              <w:bottom w:val="single" w:sz="4" w:space="0" w:color="auto"/>
              <w:right w:val="single" w:sz="4" w:space="0" w:color="auto"/>
            </w:tcBorders>
            <w:vAlign w:val="center"/>
          </w:tcPr>
          <w:p w14:paraId="1966A9A5" w14:textId="0546CB02" w:rsidR="00B55E29" w:rsidRPr="00A00B9B" w:rsidRDefault="00545E43" w:rsidP="00B55E29">
            <w:pPr>
              <w:spacing w:before="60" w:after="40" w:line="288" w:lineRule="auto"/>
              <w:ind w:firstLine="0"/>
              <w:jc w:val="right"/>
              <w:rPr>
                <w:rFonts w:cs="Tahoma"/>
                <w:sz w:val="18"/>
                <w:szCs w:val="18"/>
              </w:rPr>
            </w:pPr>
            <w:r>
              <w:rPr>
                <w:rFonts w:cs="Tahoma"/>
                <w:sz w:val="18"/>
                <w:szCs w:val="18"/>
              </w:rPr>
              <w:t>8</w:t>
            </w:r>
          </w:p>
        </w:tc>
        <w:tc>
          <w:tcPr>
            <w:tcW w:w="716" w:type="dxa"/>
            <w:tcBorders>
              <w:top w:val="single" w:sz="4" w:space="0" w:color="auto"/>
              <w:left w:val="single" w:sz="4" w:space="0" w:color="auto"/>
              <w:bottom w:val="single" w:sz="4" w:space="0" w:color="auto"/>
              <w:right w:val="single" w:sz="4" w:space="0" w:color="auto"/>
            </w:tcBorders>
            <w:vAlign w:val="center"/>
          </w:tcPr>
          <w:p w14:paraId="1286DB56" w14:textId="07E6D16A" w:rsidR="00B55E29" w:rsidRPr="00A00B9B" w:rsidRDefault="00545E43" w:rsidP="00B55E29">
            <w:pPr>
              <w:spacing w:before="60" w:after="40" w:line="288" w:lineRule="auto"/>
              <w:ind w:firstLine="0"/>
              <w:jc w:val="right"/>
              <w:rPr>
                <w:rFonts w:cs="Tahoma"/>
                <w:sz w:val="18"/>
                <w:szCs w:val="18"/>
              </w:rPr>
            </w:pPr>
            <w:r>
              <w:rPr>
                <w:rFonts w:cs="Tahoma"/>
                <w:sz w:val="18"/>
                <w:szCs w:val="18"/>
              </w:rPr>
              <w:t>13</w:t>
            </w:r>
          </w:p>
        </w:tc>
        <w:tc>
          <w:tcPr>
            <w:tcW w:w="717" w:type="dxa"/>
            <w:tcBorders>
              <w:top w:val="single" w:sz="4" w:space="0" w:color="auto"/>
              <w:left w:val="single" w:sz="4" w:space="0" w:color="auto"/>
              <w:bottom w:val="single" w:sz="4" w:space="0" w:color="auto"/>
              <w:right w:val="single" w:sz="4" w:space="0" w:color="auto"/>
            </w:tcBorders>
            <w:vAlign w:val="center"/>
          </w:tcPr>
          <w:p w14:paraId="5A993527" w14:textId="2863BC4B" w:rsidR="00B55E29" w:rsidRPr="00A00B9B" w:rsidRDefault="00545E43" w:rsidP="00B55E29">
            <w:pPr>
              <w:spacing w:before="60" w:after="40" w:line="288" w:lineRule="auto"/>
              <w:ind w:firstLine="0"/>
              <w:jc w:val="right"/>
              <w:rPr>
                <w:rFonts w:cs="Tahoma"/>
                <w:sz w:val="18"/>
                <w:szCs w:val="18"/>
              </w:rPr>
            </w:pPr>
            <w:r>
              <w:rPr>
                <w:rFonts w:cs="Tahoma"/>
                <w:sz w:val="18"/>
                <w:szCs w:val="18"/>
              </w:rPr>
              <w:t>13</w:t>
            </w:r>
          </w:p>
        </w:tc>
        <w:tc>
          <w:tcPr>
            <w:tcW w:w="716" w:type="dxa"/>
            <w:tcBorders>
              <w:top w:val="single" w:sz="4" w:space="0" w:color="auto"/>
              <w:left w:val="single" w:sz="4" w:space="0" w:color="auto"/>
              <w:bottom w:val="single" w:sz="4" w:space="0" w:color="auto"/>
              <w:right w:val="single" w:sz="4" w:space="0" w:color="auto"/>
            </w:tcBorders>
            <w:vAlign w:val="center"/>
          </w:tcPr>
          <w:p w14:paraId="4298FAE0" w14:textId="153B43FE" w:rsidR="00B55E29" w:rsidRPr="00A00B9B" w:rsidRDefault="00545E43" w:rsidP="00B55E29">
            <w:pPr>
              <w:spacing w:before="60" w:after="40" w:line="288" w:lineRule="auto"/>
              <w:ind w:firstLine="0"/>
              <w:jc w:val="right"/>
              <w:rPr>
                <w:rFonts w:cs="Tahoma"/>
                <w:sz w:val="18"/>
                <w:szCs w:val="18"/>
              </w:rPr>
            </w:pPr>
            <w:r>
              <w:rPr>
                <w:rFonts w:cs="Tahoma"/>
                <w:sz w:val="18"/>
                <w:szCs w:val="18"/>
              </w:rPr>
              <w:t>13</w:t>
            </w:r>
          </w:p>
        </w:tc>
        <w:tc>
          <w:tcPr>
            <w:tcW w:w="716" w:type="dxa"/>
            <w:tcBorders>
              <w:top w:val="single" w:sz="4" w:space="0" w:color="auto"/>
              <w:left w:val="single" w:sz="4" w:space="0" w:color="auto"/>
              <w:bottom w:val="single" w:sz="4" w:space="0" w:color="auto"/>
              <w:right w:val="single" w:sz="4" w:space="0" w:color="auto"/>
            </w:tcBorders>
            <w:vAlign w:val="center"/>
          </w:tcPr>
          <w:p w14:paraId="01DD37D3" w14:textId="1DAC2A56" w:rsidR="00B55E29" w:rsidRPr="00A00B9B" w:rsidRDefault="00545E43" w:rsidP="00B55E29">
            <w:pPr>
              <w:spacing w:before="60" w:after="40" w:line="288" w:lineRule="auto"/>
              <w:ind w:firstLine="0"/>
              <w:jc w:val="right"/>
              <w:rPr>
                <w:rFonts w:cs="Tahoma"/>
                <w:sz w:val="18"/>
                <w:szCs w:val="18"/>
              </w:rPr>
            </w:pPr>
            <w:r>
              <w:rPr>
                <w:rFonts w:cs="Tahoma"/>
                <w:sz w:val="18"/>
                <w:szCs w:val="18"/>
              </w:rPr>
              <w:t>13</w:t>
            </w:r>
          </w:p>
        </w:tc>
        <w:tc>
          <w:tcPr>
            <w:tcW w:w="717" w:type="dxa"/>
            <w:tcBorders>
              <w:top w:val="single" w:sz="4" w:space="0" w:color="auto"/>
              <w:left w:val="single" w:sz="4" w:space="0" w:color="auto"/>
              <w:bottom w:val="single" w:sz="4" w:space="0" w:color="auto"/>
              <w:right w:val="single" w:sz="4" w:space="0" w:color="auto"/>
            </w:tcBorders>
            <w:vAlign w:val="center"/>
          </w:tcPr>
          <w:p w14:paraId="1EB341F7" w14:textId="70E0EE85" w:rsidR="00B55E29" w:rsidRPr="00A00B9B" w:rsidRDefault="00545E43" w:rsidP="00B55E29">
            <w:pPr>
              <w:spacing w:before="60" w:after="40" w:line="288" w:lineRule="auto"/>
              <w:ind w:firstLine="0"/>
              <w:jc w:val="right"/>
              <w:rPr>
                <w:rFonts w:cs="Tahoma"/>
                <w:sz w:val="18"/>
                <w:szCs w:val="18"/>
              </w:rPr>
            </w:pPr>
            <w:r>
              <w:rPr>
                <w:rFonts w:cs="Tahoma"/>
                <w:sz w:val="18"/>
                <w:szCs w:val="18"/>
              </w:rPr>
              <w:t>13</w:t>
            </w:r>
          </w:p>
        </w:tc>
      </w:tr>
      <w:tr w:rsidR="00456597" w:rsidRPr="00A00B9B" w14:paraId="2BE69391"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09723DE2" w14:textId="43DEFDCC" w:rsidR="00456597" w:rsidRPr="00A00B9B" w:rsidRDefault="00B55E29" w:rsidP="00B55E29">
            <w:pPr>
              <w:spacing w:before="60" w:after="40" w:line="288" w:lineRule="auto"/>
              <w:ind w:firstLine="0"/>
              <w:jc w:val="center"/>
              <w:rPr>
                <w:rFonts w:cs="Tahoma"/>
                <w:b/>
                <w:sz w:val="18"/>
                <w:szCs w:val="18"/>
              </w:rPr>
            </w:pPr>
            <w:r>
              <w:rPr>
                <w:rFonts w:cs="Tahoma"/>
                <w:b/>
                <w:sz w:val="18"/>
                <w:szCs w:val="18"/>
              </w:rPr>
              <w:t>5</w:t>
            </w:r>
          </w:p>
        </w:tc>
        <w:tc>
          <w:tcPr>
            <w:tcW w:w="13446" w:type="dxa"/>
            <w:gridSpan w:val="17"/>
            <w:tcBorders>
              <w:top w:val="single" w:sz="4" w:space="0" w:color="auto"/>
              <w:left w:val="single" w:sz="4" w:space="0" w:color="auto"/>
              <w:bottom w:val="single" w:sz="4" w:space="0" w:color="auto"/>
              <w:right w:val="single" w:sz="4" w:space="0" w:color="auto"/>
            </w:tcBorders>
            <w:vAlign w:val="center"/>
          </w:tcPr>
          <w:p w14:paraId="7EBCCBE2" w14:textId="77777777" w:rsidR="00456597" w:rsidRPr="00A00B9B" w:rsidRDefault="00456597" w:rsidP="00B55E29">
            <w:pPr>
              <w:spacing w:before="60" w:after="40" w:line="288" w:lineRule="auto"/>
              <w:ind w:firstLine="0"/>
              <w:jc w:val="left"/>
              <w:rPr>
                <w:rFonts w:cs="Tahoma"/>
                <w:b/>
                <w:sz w:val="18"/>
                <w:szCs w:val="18"/>
              </w:rPr>
            </w:pPr>
            <w:r w:rsidRPr="00A00B9B">
              <w:rPr>
                <w:rFonts w:cs="Tahoma"/>
                <w:b/>
                <w:sz w:val="18"/>
                <w:szCs w:val="18"/>
              </w:rPr>
              <w:t>Ogółem stan taboru na koniec roku</w:t>
            </w:r>
          </w:p>
        </w:tc>
      </w:tr>
      <w:tr w:rsidR="00456597" w:rsidRPr="00A00B9B" w14:paraId="7E835B42"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47B7DBE5" w14:textId="1BBC28AC" w:rsidR="00456597" w:rsidRPr="00A00B9B" w:rsidRDefault="00B55E29" w:rsidP="00B55E29">
            <w:pPr>
              <w:spacing w:before="60" w:after="40" w:line="288" w:lineRule="auto"/>
              <w:ind w:firstLine="0"/>
              <w:jc w:val="center"/>
              <w:rPr>
                <w:rFonts w:cs="Tahoma"/>
                <w:sz w:val="18"/>
                <w:szCs w:val="18"/>
              </w:rPr>
            </w:pPr>
            <w:r>
              <w:rPr>
                <w:rFonts w:cs="Tahoma"/>
                <w:sz w:val="18"/>
                <w:szCs w:val="18"/>
              </w:rPr>
              <w:t>6</w:t>
            </w:r>
          </w:p>
        </w:tc>
        <w:tc>
          <w:tcPr>
            <w:tcW w:w="1985" w:type="dxa"/>
            <w:tcBorders>
              <w:top w:val="single" w:sz="4" w:space="0" w:color="auto"/>
              <w:left w:val="single" w:sz="4" w:space="0" w:color="auto"/>
              <w:bottom w:val="single" w:sz="4" w:space="0" w:color="auto"/>
              <w:right w:val="single" w:sz="4" w:space="0" w:color="auto"/>
            </w:tcBorders>
            <w:vAlign w:val="center"/>
          </w:tcPr>
          <w:p w14:paraId="737BBF33" w14:textId="77777777" w:rsidR="00456597" w:rsidRPr="00A00B9B" w:rsidRDefault="00456597" w:rsidP="00B55E29">
            <w:pPr>
              <w:spacing w:before="60" w:after="40" w:line="288" w:lineRule="auto"/>
              <w:ind w:firstLine="0"/>
              <w:jc w:val="left"/>
              <w:rPr>
                <w:rFonts w:cs="Tahoma"/>
                <w:sz w:val="18"/>
                <w:szCs w:val="18"/>
              </w:rPr>
            </w:pPr>
            <w:r w:rsidRPr="00A00B9B">
              <w:rPr>
                <w:rFonts w:cs="Tahoma"/>
                <w:sz w:val="18"/>
                <w:szCs w:val="18"/>
              </w:rPr>
              <w:t>Razem emisyjne</w:t>
            </w:r>
          </w:p>
        </w:tc>
        <w:tc>
          <w:tcPr>
            <w:tcW w:w="716" w:type="dxa"/>
            <w:tcBorders>
              <w:top w:val="single" w:sz="4" w:space="0" w:color="auto"/>
              <w:left w:val="single" w:sz="4" w:space="0" w:color="auto"/>
              <w:bottom w:val="single" w:sz="4" w:space="0" w:color="auto"/>
              <w:right w:val="single" w:sz="4" w:space="0" w:color="auto"/>
            </w:tcBorders>
            <w:vAlign w:val="center"/>
          </w:tcPr>
          <w:p w14:paraId="6D62EDA7" w14:textId="29762689" w:rsidR="00456597" w:rsidRPr="00A00B9B" w:rsidRDefault="00456597" w:rsidP="00B55E29">
            <w:pPr>
              <w:spacing w:before="60" w:after="40" w:line="288" w:lineRule="auto"/>
              <w:ind w:firstLine="0"/>
              <w:jc w:val="right"/>
              <w:rPr>
                <w:rFonts w:cs="Tahoma"/>
                <w:sz w:val="18"/>
                <w:szCs w:val="18"/>
              </w:rPr>
            </w:pPr>
            <w:r>
              <w:rPr>
                <w:rFonts w:cs="Tahoma"/>
                <w:sz w:val="18"/>
                <w:szCs w:val="18"/>
              </w:rPr>
              <w:t>216</w:t>
            </w:r>
          </w:p>
        </w:tc>
        <w:tc>
          <w:tcPr>
            <w:tcW w:w="716" w:type="dxa"/>
            <w:tcBorders>
              <w:top w:val="single" w:sz="4" w:space="0" w:color="auto"/>
              <w:left w:val="single" w:sz="4" w:space="0" w:color="auto"/>
              <w:bottom w:val="single" w:sz="4" w:space="0" w:color="auto"/>
              <w:right w:val="single" w:sz="4" w:space="0" w:color="auto"/>
            </w:tcBorders>
          </w:tcPr>
          <w:p w14:paraId="07440FB1" w14:textId="0785BE82" w:rsidR="00456597" w:rsidRPr="00A00B9B" w:rsidRDefault="00456597" w:rsidP="00B55E29">
            <w:pPr>
              <w:spacing w:before="60" w:after="40" w:line="288" w:lineRule="auto"/>
              <w:ind w:firstLine="0"/>
              <w:jc w:val="right"/>
              <w:rPr>
                <w:rFonts w:cs="Tahoma"/>
                <w:sz w:val="18"/>
                <w:szCs w:val="18"/>
              </w:rPr>
            </w:pPr>
            <w:r>
              <w:rPr>
                <w:rFonts w:cs="Tahoma"/>
                <w:sz w:val="18"/>
                <w:szCs w:val="18"/>
              </w:rPr>
              <w:t>211</w:t>
            </w:r>
          </w:p>
        </w:tc>
        <w:tc>
          <w:tcPr>
            <w:tcW w:w="716" w:type="dxa"/>
            <w:tcBorders>
              <w:top w:val="single" w:sz="4" w:space="0" w:color="auto"/>
              <w:left w:val="single" w:sz="4" w:space="0" w:color="auto"/>
              <w:bottom w:val="single" w:sz="4" w:space="0" w:color="auto"/>
              <w:right w:val="single" w:sz="4" w:space="0" w:color="auto"/>
            </w:tcBorders>
          </w:tcPr>
          <w:p w14:paraId="591A9BB1" w14:textId="26A69007" w:rsidR="00456597" w:rsidRPr="00A00B9B" w:rsidRDefault="00456597" w:rsidP="00B55E29">
            <w:pPr>
              <w:spacing w:before="60" w:after="40" w:line="288" w:lineRule="auto"/>
              <w:ind w:firstLine="0"/>
              <w:jc w:val="right"/>
              <w:rPr>
                <w:rFonts w:cs="Tahoma"/>
                <w:sz w:val="18"/>
                <w:szCs w:val="18"/>
              </w:rPr>
            </w:pPr>
            <w:r>
              <w:rPr>
                <w:rFonts w:cs="Tahoma"/>
                <w:sz w:val="18"/>
                <w:szCs w:val="18"/>
              </w:rPr>
              <w:t>208</w:t>
            </w:r>
          </w:p>
        </w:tc>
        <w:tc>
          <w:tcPr>
            <w:tcW w:w="717" w:type="dxa"/>
            <w:tcBorders>
              <w:top w:val="single" w:sz="4" w:space="0" w:color="auto"/>
              <w:left w:val="single" w:sz="4" w:space="0" w:color="auto"/>
              <w:bottom w:val="single" w:sz="4" w:space="0" w:color="auto"/>
              <w:right w:val="single" w:sz="4" w:space="0" w:color="auto"/>
            </w:tcBorders>
          </w:tcPr>
          <w:p w14:paraId="6CD3BD73" w14:textId="3BD413C8" w:rsidR="00456597" w:rsidRPr="00A00B9B" w:rsidRDefault="00456597" w:rsidP="00B55E29">
            <w:pPr>
              <w:spacing w:before="60" w:after="40" w:line="288" w:lineRule="auto"/>
              <w:ind w:firstLine="0"/>
              <w:jc w:val="right"/>
              <w:rPr>
                <w:rFonts w:cs="Tahoma"/>
                <w:sz w:val="18"/>
                <w:szCs w:val="18"/>
              </w:rPr>
            </w:pPr>
            <w:r>
              <w:rPr>
                <w:rFonts w:cs="Tahoma"/>
                <w:sz w:val="18"/>
                <w:szCs w:val="18"/>
              </w:rPr>
              <w:t>180</w:t>
            </w:r>
          </w:p>
        </w:tc>
        <w:tc>
          <w:tcPr>
            <w:tcW w:w="716" w:type="dxa"/>
            <w:tcBorders>
              <w:top w:val="single" w:sz="4" w:space="0" w:color="auto"/>
              <w:left w:val="single" w:sz="4" w:space="0" w:color="auto"/>
              <w:bottom w:val="single" w:sz="4" w:space="0" w:color="auto"/>
              <w:right w:val="single" w:sz="4" w:space="0" w:color="auto"/>
            </w:tcBorders>
          </w:tcPr>
          <w:p w14:paraId="1217D10D" w14:textId="0B19A932" w:rsidR="00456597" w:rsidRPr="00A00B9B" w:rsidRDefault="00456597" w:rsidP="00B55E29">
            <w:pPr>
              <w:spacing w:before="60" w:after="40" w:line="288" w:lineRule="auto"/>
              <w:ind w:firstLine="0"/>
              <w:jc w:val="right"/>
              <w:rPr>
                <w:rFonts w:cs="Tahoma"/>
                <w:sz w:val="18"/>
                <w:szCs w:val="18"/>
              </w:rPr>
            </w:pPr>
            <w:r>
              <w:rPr>
                <w:rFonts w:cs="Tahoma"/>
                <w:sz w:val="18"/>
                <w:szCs w:val="18"/>
              </w:rPr>
              <w:t>180</w:t>
            </w:r>
          </w:p>
        </w:tc>
        <w:tc>
          <w:tcPr>
            <w:tcW w:w="716" w:type="dxa"/>
            <w:tcBorders>
              <w:top w:val="single" w:sz="4" w:space="0" w:color="auto"/>
              <w:left w:val="single" w:sz="4" w:space="0" w:color="auto"/>
              <w:bottom w:val="single" w:sz="4" w:space="0" w:color="auto"/>
              <w:right w:val="single" w:sz="4" w:space="0" w:color="auto"/>
            </w:tcBorders>
          </w:tcPr>
          <w:p w14:paraId="36BBA555" w14:textId="301C29B8" w:rsidR="00456597" w:rsidRPr="00A00B9B" w:rsidRDefault="00456597" w:rsidP="00B55E29">
            <w:pPr>
              <w:spacing w:before="60" w:after="40" w:line="288" w:lineRule="auto"/>
              <w:ind w:firstLine="0"/>
              <w:jc w:val="right"/>
              <w:rPr>
                <w:rFonts w:cs="Tahoma"/>
                <w:sz w:val="18"/>
                <w:szCs w:val="18"/>
              </w:rPr>
            </w:pPr>
            <w:r>
              <w:rPr>
                <w:rFonts w:cs="Tahoma"/>
                <w:sz w:val="18"/>
                <w:szCs w:val="18"/>
              </w:rPr>
              <w:t>180</w:t>
            </w:r>
          </w:p>
        </w:tc>
        <w:tc>
          <w:tcPr>
            <w:tcW w:w="717" w:type="dxa"/>
            <w:tcBorders>
              <w:top w:val="single" w:sz="4" w:space="0" w:color="auto"/>
              <w:left w:val="single" w:sz="4" w:space="0" w:color="auto"/>
              <w:bottom w:val="single" w:sz="4" w:space="0" w:color="auto"/>
              <w:right w:val="single" w:sz="4" w:space="0" w:color="auto"/>
            </w:tcBorders>
          </w:tcPr>
          <w:p w14:paraId="57C27DE7" w14:textId="1C90A2AB" w:rsidR="00456597" w:rsidRPr="00A00B9B" w:rsidRDefault="00456597" w:rsidP="00B55E29">
            <w:pPr>
              <w:spacing w:before="60" w:after="40" w:line="288" w:lineRule="auto"/>
              <w:ind w:firstLine="0"/>
              <w:jc w:val="right"/>
              <w:rPr>
                <w:rFonts w:cs="Tahoma"/>
                <w:sz w:val="18"/>
                <w:szCs w:val="18"/>
              </w:rPr>
            </w:pPr>
            <w:r>
              <w:rPr>
                <w:rFonts w:cs="Tahoma"/>
                <w:sz w:val="18"/>
                <w:szCs w:val="18"/>
              </w:rPr>
              <w:t>158</w:t>
            </w:r>
          </w:p>
        </w:tc>
        <w:tc>
          <w:tcPr>
            <w:tcW w:w="716" w:type="dxa"/>
            <w:tcBorders>
              <w:top w:val="single" w:sz="4" w:space="0" w:color="auto"/>
              <w:left w:val="single" w:sz="4" w:space="0" w:color="auto"/>
              <w:bottom w:val="single" w:sz="4" w:space="0" w:color="auto"/>
              <w:right w:val="single" w:sz="4" w:space="0" w:color="auto"/>
            </w:tcBorders>
          </w:tcPr>
          <w:p w14:paraId="5B64E075" w14:textId="3CD2C983" w:rsidR="00456597" w:rsidRPr="00A00B9B" w:rsidRDefault="00456597" w:rsidP="00B55E29">
            <w:pPr>
              <w:spacing w:before="60" w:after="40" w:line="288" w:lineRule="auto"/>
              <w:ind w:firstLine="0"/>
              <w:jc w:val="right"/>
              <w:rPr>
                <w:rFonts w:cs="Tahoma"/>
                <w:sz w:val="18"/>
                <w:szCs w:val="18"/>
              </w:rPr>
            </w:pPr>
            <w:r>
              <w:rPr>
                <w:rFonts w:cs="Tahoma"/>
                <w:sz w:val="18"/>
                <w:szCs w:val="18"/>
              </w:rPr>
              <w:t>154</w:t>
            </w:r>
          </w:p>
        </w:tc>
        <w:tc>
          <w:tcPr>
            <w:tcW w:w="716" w:type="dxa"/>
            <w:tcBorders>
              <w:top w:val="single" w:sz="4" w:space="0" w:color="auto"/>
              <w:left w:val="single" w:sz="4" w:space="0" w:color="auto"/>
              <w:bottom w:val="single" w:sz="4" w:space="0" w:color="auto"/>
              <w:right w:val="single" w:sz="4" w:space="0" w:color="auto"/>
            </w:tcBorders>
          </w:tcPr>
          <w:p w14:paraId="4803C4AA" w14:textId="1D955EB5" w:rsidR="00456597" w:rsidRPr="00A00B9B" w:rsidRDefault="00456597" w:rsidP="00B55E29">
            <w:pPr>
              <w:spacing w:before="60" w:after="40" w:line="288" w:lineRule="auto"/>
              <w:ind w:firstLine="0"/>
              <w:jc w:val="right"/>
              <w:rPr>
                <w:rFonts w:cs="Tahoma"/>
                <w:sz w:val="18"/>
                <w:szCs w:val="18"/>
              </w:rPr>
            </w:pPr>
            <w:r>
              <w:rPr>
                <w:rFonts w:cs="Tahoma"/>
                <w:sz w:val="18"/>
                <w:szCs w:val="18"/>
              </w:rPr>
              <w:t>154</w:t>
            </w:r>
          </w:p>
        </w:tc>
        <w:tc>
          <w:tcPr>
            <w:tcW w:w="717" w:type="dxa"/>
            <w:tcBorders>
              <w:top w:val="single" w:sz="4" w:space="0" w:color="auto"/>
              <w:left w:val="single" w:sz="4" w:space="0" w:color="auto"/>
              <w:bottom w:val="single" w:sz="4" w:space="0" w:color="auto"/>
              <w:right w:val="single" w:sz="4" w:space="0" w:color="auto"/>
            </w:tcBorders>
          </w:tcPr>
          <w:p w14:paraId="539C97A1" w14:textId="058912BB" w:rsidR="00456597" w:rsidRPr="00A00B9B" w:rsidRDefault="00456597" w:rsidP="00B55E29">
            <w:pPr>
              <w:spacing w:before="60" w:after="40" w:line="288" w:lineRule="auto"/>
              <w:ind w:firstLine="0"/>
              <w:jc w:val="right"/>
              <w:rPr>
                <w:rFonts w:cs="Tahoma"/>
                <w:sz w:val="18"/>
                <w:szCs w:val="18"/>
              </w:rPr>
            </w:pPr>
            <w:r>
              <w:rPr>
                <w:rFonts w:cs="Tahoma"/>
                <w:sz w:val="18"/>
                <w:szCs w:val="18"/>
              </w:rPr>
              <w:t>154</w:t>
            </w:r>
          </w:p>
        </w:tc>
        <w:tc>
          <w:tcPr>
            <w:tcW w:w="716" w:type="dxa"/>
            <w:tcBorders>
              <w:top w:val="single" w:sz="4" w:space="0" w:color="auto"/>
              <w:left w:val="single" w:sz="4" w:space="0" w:color="auto"/>
              <w:bottom w:val="single" w:sz="4" w:space="0" w:color="auto"/>
              <w:right w:val="single" w:sz="4" w:space="0" w:color="auto"/>
            </w:tcBorders>
          </w:tcPr>
          <w:p w14:paraId="3971EE94" w14:textId="7A9AC398" w:rsidR="00456597" w:rsidRPr="00A00B9B" w:rsidRDefault="00456597" w:rsidP="00B55E29">
            <w:pPr>
              <w:spacing w:before="60" w:after="40" w:line="288" w:lineRule="auto"/>
              <w:ind w:firstLine="0"/>
              <w:jc w:val="right"/>
              <w:rPr>
                <w:rFonts w:cs="Tahoma"/>
                <w:sz w:val="18"/>
                <w:szCs w:val="18"/>
              </w:rPr>
            </w:pPr>
            <w:r>
              <w:rPr>
                <w:rFonts w:cs="Tahoma"/>
                <w:sz w:val="18"/>
                <w:szCs w:val="18"/>
              </w:rPr>
              <w:t>154</w:t>
            </w:r>
          </w:p>
        </w:tc>
        <w:tc>
          <w:tcPr>
            <w:tcW w:w="716" w:type="dxa"/>
            <w:tcBorders>
              <w:top w:val="single" w:sz="4" w:space="0" w:color="auto"/>
              <w:left w:val="single" w:sz="4" w:space="0" w:color="auto"/>
              <w:bottom w:val="single" w:sz="4" w:space="0" w:color="auto"/>
              <w:right w:val="single" w:sz="4" w:space="0" w:color="auto"/>
            </w:tcBorders>
          </w:tcPr>
          <w:p w14:paraId="62DA7D9A" w14:textId="46910478" w:rsidR="00456597" w:rsidRPr="00A00B9B" w:rsidRDefault="00456597" w:rsidP="00B55E29">
            <w:pPr>
              <w:spacing w:before="60" w:after="40" w:line="288" w:lineRule="auto"/>
              <w:ind w:firstLine="0"/>
              <w:jc w:val="right"/>
              <w:rPr>
                <w:rFonts w:cs="Tahoma"/>
                <w:sz w:val="18"/>
                <w:szCs w:val="18"/>
              </w:rPr>
            </w:pPr>
            <w:r>
              <w:rPr>
                <w:rFonts w:cs="Tahoma"/>
                <w:sz w:val="18"/>
                <w:szCs w:val="18"/>
              </w:rPr>
              <w:t>149</w:t>
            </w:r>
          </w:p>
        </w:tc>
        <w:tc>
          <w:tcPr>
            <w:tcW w:w="717" w:type="dxa"/>
            <w:tcBorders>
              <w:top w:val="single" w:sz="4" w:space="0" w:color="auto"/>
              <w:left w:val="single" w:sz="4" w:space="0" w:color="auto"/>
              <w:bottom w:val="single" w:sz="4" w:space="0" w:color="auto"/>
              <w:right w:val="single" w:sz="4" w:space="0" w:color="auto"/>
            </w:tcBorders>
          </w:tcPr>
          <w:p w14:paraId="731174FA" w14:textId="7ACDAF5E" w:rsidR="00456597" w:rsidRPr="00A00B9B" w:rsidRDefault="00456597" w:rsidP="00B55E29">
            <w:pPr>
              <w:spacing w:before="60" w:after="40" w:line="288" w:lineRule="auto"/>
              <w:ind w:firstLine="0"/>
              <w:jc w:val="right"/>
              <w:rPr>
                <w:rFonts w:cs="Tahoma"/>
                <w:sz w:val="18"/>
                <w:szCs w:val="18"/>
              </w:rPr>
            </w:pPr>
            <w:r>
              <w:rPr>
                <w:rFonts w:cs="Tahoma"/>
                <w:sz w:val="18"/>
                <w:szCs w:val="18"/>
              </w:rPr>
              <w:t>149</w:t>
            </w:r>
          </w:p>
        </w:tc>
        <w:tc>
          <w:tcPr>
            <w:tcW w:w="716" w:type="dxa"/>
            <w:tcBorders>
              <w:top w:val="single" w:sz="4" w:space="0" w:color="auto"/>
              <w:left w:val="single" w:sz="4" w:space="0" w:color="auto"/>
              <w:bottom w:val="single" w:sz="4" w:space="0" w:color="auto"/>
              <w:right w:val="single" w:sz="4" w:space="0" w:color="auto"/>
            </w:tcBorders>
          </w:tcPr>
          <w:p w14:paraId="7FC19A92" w14:textId="4D712FB0" w:rsidR="00456597" w:rsidRPr="00A00B9B" w:rsidRDefault="00456597" w:rsidP="00B55E29">
            <w:pPr>
              <w:spacing w:before="60" w:after="40" w:line="288" w:lineRule="auto"/>
              <w:ind w:firstLine="0"/>
              <w:jc w:val="right"/>
              <w:rPr>
                <w:rFonts w:cs="Tahoma"/>
                <w:sz w:val="18"/>
                <w:szCs w:val="18"/>
              </w:rPr>
            </w:pPr>
            <w:r>
              <w:rPr>
                <w:rFonts w:cs="Tahoma"/>
                <w:sz w:val="18"/>
                <w:szCs w:val="18"/>
              </w:rPr>
              <w:t>149</w:t>
            </w:r>
          </w:p>
        </w:tc>
        <w:tc>
          <w:tcPr>
            <w:tcW w:w="716" w:type="dxa"/>
            <w:tcBorders>
              <w:top w:val="single" w:sz="4" w:space="0" w:color="auto"/>
              <w:left w:val="single" w:sz="4" w:space="0" w:color="auto"/>
              <w:bottom w:val="single" w:sz="4" w:space="0" w:color="auto"/>
              <w:right w:val="single" w:sz="4" w:space="0" w:color="auto"/>
            </w:tcBorders>
          </w:tcPr>
          <w:p w14:paraId="4153C7B4" w14:textId="3C653DF4" w:rsidR="00456597" w:rsidRPr="00A00B9B" w:rsidRDefault="00456597" w:rsidP="00B55E29">
            <w:pPr>
              <w:spacing w:before="60" w:after="40" w:line="288" w:lineRule="auto"/>
              <w:ind w:firstLine="0"/>
              <w:jc w:val="right"/>
              <w:rPr>
                <w:rFonts w:cs="Tahoma"/>
                <w:sz w:val="18"/>
                <w:szCs w:val="18"/>
              </w:rPr>
            </w:pPr>
            <w:r>
              <w:rPr>
                <w:rFonts w:cs="Tahoma"/>
                <w:sz w:val="18"/>
                <w:szCs w:val="18"/>
              </w:rPr>
              <w:t>149</w:t>
            </w:r>
          </w:p>
        </w:tc>
        <w:tc>
          <w:tcPr>
            <w:tcW w:w="717" w:type="dxa"/>
            <w:tcBorders>
              <w:top w:val="single" w:sz="4" w:space="0" w:color="auto"/>
              <w:left w:val="single" w:sz="4" w:space="0" w:color="auto"/>
              <w:bottom w:val="single" w:sz="4" w:space="0" w:color="auto"/>
              <w:right w:val="single" w:sz="4" w:space="0" w:color="auto"/>
            </w:tcBorders>
          </w:tcPr>
          <w:p w14:paraId="46211730" w14:textId="7CD098D0" w:rsidR="00456597" w:rsidRPr="00A00B9B" w:rsidRDefault="00456597" w:rsidP="00B55E29">
            <w:pPr>
              <w:spacing w:before="60" w:after="40" w:line="288" w:lineRule="auto"/>
              <w:ind w:firstLine="0"/>
              <w:jc w:val="right"/>
              <w:rPr>
                <w:rFonts w:cs="Tahoma"/>
                <w:sz w:val="18"/>
                <w:szCs w:val="18"/>
              </w:rPr>
            </w:pPr>
            <w:r>
              <w:rPr>
                <w:rFonts w:cs="Tahoma"/>
                <w:sz w:val="18"/>
                <w:szCs w:val="18"/>
              </w:rPr>
              <w:t>149</w:t>
            </w:r>
          </w:p>
        </w:tc>
      </w:tr>
      <w:tr w:rsidR="00456597" w:rsidRPr="00A00B9B" w14:paraId="5DA140A8"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1050F67B" w14:textId="3A2520D8" w:rsidR="00456597" w:rsidRPr="00A00B9B" w:rsidRDefault="00B55E29" w:rsidP="00B55E29">
            <w:pPr>
              <w:spacing w:before="60" w:after="40" w:line="288" w:lineRule="auto"/>
              <w:ind w:firstLine="0"/>
              <w:jc w:val="center"/>
              <w:rPr>
                <w:rFonts w:cs="Tahoma"/>
                <w:sz w:val="18"/>
                <w:szCs w:val="18"/>
              </w:rPr>
            </w:pPr>
            <w:r>
              <w:rPr>
                <w:rFonts w:cs="Tahoma"/>
                <w:sz w:val="18"/>
                <w:szCs w:val="18"/>
              </w:rPr>
              <w:t>7</w:t>
            </w:r>
          </w:p>
        </w:tc>
        <w:tc>
          <w:tcPr>
            <w:tcW w:w="1985" w:type="dxa"/>
            <w:tcBorders>
              <w:top w:val="single" w:sz="4" w:space="0" w:color="auto"/>
              <w:left w:val="single" w:sz="4" w:space="0" w:color="auto"/>
              <w:bottom w:val="single" w:sz="4" w:space="0" w:color="auto"/>
              <w:right w:val="single" w:sz="4" w:space="0" w:color="auto"/>
            </w:tcBorders>
            <w:vAlign w:val="center"/>
          </w:tcPr>
          <w:p w14:paraId="0D0C77C5" w14:textId="77777777" w:rsidR="00456597" w:rsidRPr="00A00B9B" w:rsidRDefault="00456597" w:rsidP="00B55E29">
            <w:pPr>
              <w:spacing w:before="60" w:after="40" w:line="288" w:lineRule="auto"/>
              <w:ind w:firstLine="0"/>
              <w:jc w:val="left"/>
              <w:rPr>
                <w:rFonts w:cs="Tahoma"/>
                <w:sz w:val="18"/>
                <w:szCs w:val="18"/>
              </w:rPr>
            </w:pPr>
            <w:r w:rsidRPr="00A00B9B">
              <w:rPr>
                <w:rFonts w:cs="Tahoma"/>
                <w:sz w:val="18"/>
                <w:szCs w:val="18"/>
              </w:rPr>
              <w:t>Zeroemisyjne</w:t>
            </w:r>
          </w:p>
        </w:tc>
        <w:tc>
          <w:tcPr>
            <w:tcW w:w="716" w:type="dxa"/>
            <w:tcBorders>
              <w:top w:val="single" w:sz="4" w:space="0" w:color="auto"/>
              <w:left w:val="single" w:sz="4" w:space="0" w:color="auto"/>
              <w:bottom w:val="single" w:sz="4" w:space="0" w:color="auto"/>
              <w:right w:val="single" w:sz="4" w:space="0" w:color="auto"/>
            </w:tcBorders>
            <w:vAlign w:val="center"/>
          </w:tcPr>
          <w:p w14:paraId="325B850D" w14:textId="6DA8E9C7" w:rsidR="00456597" w:rsidRPr="00A00B9B" w:rsidRDefault="00456597" w:rsidP="00B55E29">
            <w:pPr>
              <w:spacing w:before="60" w:after="40" w:line="288" w:lineRule="auto"/>
              <w:ind w:firstLine="0"/>
              <w:jc w:val="right"/>
              <w:rPr>
                <w:rFonts w:cs="Tahoma"/>
                <w:sz w:val="18"/>
                <w:szCs w:val="18"/>
              </w:rPr>
            </w:pPr>
            <w:r>
              <w:rPr>
                <w:rFonts w:cs="Tahoma"/>
                <w:sz w:val="18"/>
                <w:szCs w:val="18"/>
              </w:rPr>
              <w:t>1</w:t>
            </w: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7C0C1E4F" w14:textId="75FA5D6F" w:rsidR="00456597" w:rsidRPr="00A00B9B" w:rsidRDefault="00456597" w:rsidP="00B55E29">
            <w:pPr>
              <w:spacing w:before="60" w:after="40" w:line="288" w:lineRule="auto"/>
              <w:ind w:firstLine="0"/>
              <w:jc w:val="right"/>
              <w:rPr>
                <w:rFonts w:cs="Tahoma"/>
                <w:sz w:val="18"/>
                <w:szCs w:val="18"/>
              </w:rPr>
            </w:pPr>
            <w:r>
              <w:rPr>
                <w:rFonts w:cs="Tahoma"/>
                <w:sz w:val="18"/>
                <w:szCs w:val="18"/>
              </w:rPr>
              <w:t>1</w:t>
            </w:r>
            <w:r w:rsidRPr="00A00B9B">
              <w:rPr>
                <w:rFonts w:cs="Tahoma"/>
                <w:sz w:val="18"/>
                <w:szCs w:val="18"/>
              </w:rPr>
              <w:t>0</w:t>
            </w:r>
          </w:p>
        </w:tc>
        <w:tc>
          <w:tcPr>
            <w:tcW w:w="716" w:type="dxa"/>
            <w:tcBorders>
              <w:top w:val="single" w:sz="4" w:space="0" w:color="auto"/>
              <w:left w:val="single" w:sz="4" w:space="0" w:color="auto"/>
              <w:bottom w:val="single" w:sz="4" w:space="0" w:color="auto"/>
              <w:right w:val="single" w:sz="4" w:space="0" w:color="auto"/>
            </w:tcBorders>
            <w:vAlign w:val="center"/>
          </w:tcPr>
          <w:p w14:paraId="77F3ADB0" w14:textId="36078D8C" w:rsidR="00456597" w:rsidRPr="00A00B9B" w:rsidRDefault="00456597" w:rsidP="00B55E29">
            <w:pPr>
              <w:spacing w:before="60" w:after="40" w:line="288" w:lineRule="auto"/>
              <w:ind w:firstLine="0"/>
              <w:jc w:val="right"/>
              <w:rPr>
                <w:rFonts w:cs="Tahoma"/>
                <w:sz w:val="18"/>
                <w:szCs w:val="18"/>
              </w:rPr>
            </w:pPr>
            <w:r>
              <w:rPr>
                <w:rFonts w:cs="Tahoma"/>
                <w:sz w:val="18"/>
                <w:szCs w:val="18"/>
              </w:rPr>
              <w:t>12</w:t>
            </w:r>
          </w:p>
        </w:tc>
        <w:tc>
          <w:tcPr>
            <w:tcW w:w="717" w:type="dxa"/>
            <w:tcBorders>
              <w:top w:val="single" w:sz="4" w:space="0" w:color="auto"/>
              <w:left w:val="single" w:sz="4" w:space="0" w:color="auto"/>
              <w:bottom w:val="single" w:sz="4" w:space="0" w:color="auto"/>
              <w:right w:val="single" w:sz="4" w:space="0" w:color="auto"/>
            </w:tcBorders>
            <w:vAlign w:val="center"/>
          </w:tcPr>
          <w:p w14:paraId="5A5B35D7" w14:textId="2C7D8E62" w:rsidR="00456597" w:rsidRPr="00A00B9B" w:rsidRDefault="00456597" w:rsidP="00B55E29">
            <w:pPr>
              <w:spacing w:before="60" w:after="40" w:line="288" w:lineRule="auto"/>
              <w:ind w:firstLine="0"/>
              <w:jc w:val="right"/>
              <w:rPr>
                <w:rFonts w:cs="Tahoma"/>
                <w:sz w:val="18"/>
                <w:szCs w:val="18"/>
              </w:rPr>
            </w:pPr>
            <w:r>
              <w:rPr>
                <w:rFonts w:cs="Tahoma"/>
                <w:sz w:val="18"/>
                <w:szCs w:val="18"/>
              </w:rPr>
              <w:t>45</w:t>
            </w:r>
          </w:p>
        </w:tc>
        <w:tc>
          <w:tcPr>
            <w:tcW w:w="716" w:type="dxa"/>
            <w:tcBorders>
              <w:top w:val="single" w:sz="4" w:space="0" w:color="auto"/>
              <w:left w:val="single" w:sz="4" w:space="0" w:color="auto"/>
              <w:bottom w:val="single" w:sz="4" w:space="0" w:color="auto"/>
              <w:right w:val="single" w:sz="4" w:space="0" w:color="auto"/>
            </w:tcBorders>
            <w:vAlign w:val="center"/>
          </w:tcPr>
          <w:p w14:paraId="782D7183" w14:textId="0AA5FC3D" w:rsidR="00456597" w:rsidRPr="00A00B9B" w:rsidRDefault="00456597" w:rsidP="00B55E29">
            <w:pPr>
              <w:spacing w:before="60" w:after="40" w:line="288" w:lineRule="auto"/>
              <w:ind w:firstLine="0"/>
              <w:jc w:val="right"/>
              <w:rPr>
                <w:rFonts w:cs="Tahoma"/>
                <w:sz w:val="18"/>
                <w:szCs w:val="18"/>
              </w:rPr>
            </w:pPr>
            <w:r>
              <w:rPr>
                <w:rFonts w:cs="Tahoma"/>
                <w:sz w:val="18"/>
                <w:szCs w:val="18"/>
              </w:rPr>
              <w:t>4</w:t>
            </w:r>
            <w:r w:rsidR="00545E43">
              <w:rPr>
                <w:rFonts w:cs="Tahoma"/>
                <w:sz w:val="18"/>
                <w:szCs w:val="18"/>
              </w:rPr>
              <w:t>7</w:t>
            </w:r>
          </w:p>
        </w:tc>
        <w:tc>
          <w:tcPr>
            <w:tcW w:w="716" w:type="dxa"/>
            <w:tcBorders>
              <w:top w:val="single" w:sz="4" w:space="0" w:color="auto"/>
              <w:left w:val="single" w:sz="4" w:space="0" w:color="auto"/>
              <w:bottom w:val="single" w:sz="4" w:space="0" w:color="auto"/>
              <w:right w:val="single" w:sz="4" w:space="0" w:color="auto"/>
            </w:tcBorders>
            <w:vAlign w:val="center"/>
          </w:tcPr>
          <w:p w14:paraId="0268AAD3" w14:textId="19468DF2" w:rsidR="00456597" w:rsidRPr="00A00B9B" w:rsidRDefault="00545E43" w:rsidP="00B55E29">
            <w:pPr>
              <w:spacing w:before="60" w:after="40" w:line="288" w:lineRule="auto"/>
              <w:ind w:firstLine="0"/>
              <w:jc w:val="right"/>
              <w:rPr>
                <w:rFonts w:cs="Tahoma"/>
                <w:sz w:val="18"/>
                <w:szCs w:val="18"/>
              </w:rPr>
            </w:pPr>
            <w:r>
              <w:rPr>
                <w:rFonts w:cs="Tahoma"/>
                <w:sz w:val="18"/>
                <w:szCs w:val="18"/>
              </w:rPr>
              <w:t>47</w:t>
            </w:r>
          </w:p>
        </w:tc>
        <w:tc>
          <w:tcPr>
            <w:tcW w:w="717" w:type="dxa"/>
            <w:tcBorders>
              <w:top w:val="single" w:sz="4" w:space="0" w:color="auto"/>
              <w:left w:val="single" w:sz="4" w:space="0" w:color="auto"/>
              <w:bottom w:val="single" w:sz="4" w:space="0" w:color="auto"/>
              <w:right w:val="single" w:sz="4" w:space="0" w:color="auto"/>
            </w:tcBorders>
            <w:vAlign w:val="center"/>
          </w:tcPr>
          <w:p w14:paraId="046E1A6D" w14:textId="1587A879" w:rsidR="00456597" w:rsidRPr="00A00B9B" w:rsidRDefault="00545E43" w:rsidP="00B55E29">
            <w:pPr>
              <w:spacing w:before="60" w:after="40" w:line="288" w:lineRule="auto"/>
              <w:ind w:firstLine="0"/>
              <w:jc w:val="right"/>
              <w:rPr>
                <w:rFonts w:cs="Tahoma"/>
                <w:sz w:val="18"/>
                <w:szCs w:val="18"/>
              </w:rPr>
            </w:pPr>
            <w:r>
              <w:rPr>
                <w:rFonts w:cs="Tahoma"/>
                <w:sz w:val="18"/>
                <w:szCs w:val="18"/>
              </w:rPr>
              <w:t>69</w:t>
            </w:r>
          </w:p>
        </w:tc>
        <w:tc>
          <w:tcPr>
            <w:tcW w:w="716" w:type="dxa"/>
            <w:tcBorders>
              <w:top w:val="single" w:sz="4" w:space="0" w:color="auto"/>
              <w:left w:val="single" w:sz="4" w:space="0" w:color="auto"/>
              <w:bottom w:val="single" w:sz="4" w:space="0" w:color="auto"/>
              <w:right w:val="single" w:sz="4" w:space="0" w:color="auto"/>
            </w:tcBorders>
            <w:vAlign w:val="center"/>
          </w:tcPr>
          <w:p w14:paraId="0EF87CCD" w14:textId="030C43C1" w:rsidR="00456597" w:rsidRPr="00A00B9B" w:rsidRDefault="00456597" w:rsidP="00B55E29">
            <w:pPr>
              <w:spacing w:before="60" w:after="40" w:line="288" w:lineRule="auto"/>
              <w:ind w:firstLine="0"/>
              <w:jc w:val="right"/>
              <w:rPr>
                <w:rFonts w:cs="Tahoma"/>
                <w:sz w:val="18"/>
                <w:szCs w:val="18"/>
              </w:rPr>
            </w:pPr>
            <w:r>
              <w:rPr>
                <w:rFonts w:cs="Tahoma"/>
                <w:sz w:val="18"/>
                <w:szCs w:val="18"/>
              </w:rPr>
              <w:t>73</w:t>
            </w:r>
          </w:p>
        </w:tc>
        <w:tc>
          <w:tcPr>
            <w:tcW w:w="716" w:type="dxa"/>
            <w:tcBorders>
              <w:top w:val="single" w:sz="4" w:space="0" w:color="auto"/>
              <w:left w:val="single" w:sz="4" w:space="0" w:color="auto"/>
              <w:bottom w:val="single" w:sz="4" w:space="0" w:color="auto"/>
              <w:right w:val="single" w:sz="4" w:space="0" w:color="auto"/>
            </w:tcBorders>
            <w:vAlign w:val="center"/>
          </w:tcPr>
          <w:p w14:paraId="6DD88D97" w14:textId="163BAD4D" w:rsidR="00456597" w:rsidRPr="00A00B9B" w:rsidRDefault="00456597" w:rsidP="00B55E29">
            <w:pPr>
              <w:spacing w:before="60" w:after="40" w:line="288" w:lineRule="auto"/>
              <w:ind w:firstLine="0"/>
              <w:jc w:val="right"/>
              <w:rPr>
                <w:rFonts w:cs="Tahoma"/>
                <w:sz w:val="18"/>
                <w:szCs w:val="18"/>
              </w:rPr>
            </w:pPr>
            <w:r>
              <w:rPr>
                <w:rFonts w:cs="Tahoma"/>
                <w:sz w:val="18"/>
                <w:szCs w:val="18"/>
              </w:rPr>
              <w:t>73</w:t>
            </w:r>
          </w:p>
        </w:tc>
        <w:tc>
          <w:tcPr>
            <w:tcW w:w="717" w:type="dxa"/>
            <w:tcBorders>
              <w:top w:val="single" w:sz="4" w:space="0" w:color="auto"/>
              <w:left w:val="single" w:sz="4" w:space="0" w:color="auto"/>
              <w:bottom w:val="single" w:sz="4" w:space="0" w:color="auto"/>
              <w:right w:val="single" w:sz="4" w:space="0" w:color="auto"/>
            </w:tcBorders>
            <w:vAlign w:val="center"/>
          </w:tcPr>
          <w:p w14:paraId="27BCD59A" w14:textId="21FDF5F1" w:rsidR="00456597" w:rsidRPr="00A00B9B" w:rsidRDefault="00456597" w:rsidP="00B55E29">
            <w:pPr>
              <w:spacing w:before="60" w:after="40" w:line="288" w:lineRule="auto"/>
              <w:ind w:firstLine="0"/>
              <w:jc w:val="right"/>
              <w:rPr>
                <w:rFonts w:cs="Tahoma"/>
                <w:sz w:val="18"/>
                <w:szCs w:val="18"/>
              </w:rPr>
            </w:pPr>
            <w:r>
              <w:rPr>
                <w:rFonts w:cs="Tahoma"/>
                <w:sz w:val="18"/>
                <w:szCs w:val="18"/>
              </w:rPr>
              <w:t>73</w:t>
            </w:r>
          </w:p>
        </w:tc>
        <w:tc>
          <w:tcPr>
            <w:tcW w:w="716" w:type="dxa"/>
            <w:tcBorders>
              <w:top w:val="single" w:sz="4" w:space="0" w:color="auto"/>
              <w:left w:val="single" w:sz="4" w:space="0" w:color="auto"/>
              <w:bottom w:val="single" w:sz="4" w:space="0" w:color="auto"/>
              <w:right w:val="single" w:sz="4" w:space="0" w:color="auto"/>
            </w:tcBorders>
            <w:vAlign w:val="center"/>
          </w:tcPr>
          <w:p w14:paraId="125B3ADB" w14:textId="393C1CEB" w:rsidR="00456597" w:rsidRPr="00A00B9B" w:rsidRDefault="00456597" w:rsidP="00B55E29">
            <w:pPr>
              <w:spacing w:before="60" w:after="40" w:line="288" w:lineRule="auto"/>
              <w:ind w:firstLine="0"/>
              <w:jc w:val="right"/>
              <w:rPr>
                <w:rFonts w:cs="Tahoma"/>
                <w:sz w:val="18"/>
                <w:szCs w:val="18"/>
              </w:rPr>
            </w:pPr>
            <w:r>
              <w:rPr>
                <w:rFonts w:cs="Tahoma"/>
                <w:sz w:val="18"/>
                <w:szCs w:val="18"/>
              </w:rPr>
              <w:t>73</w:t>
            </w:r>
          </w:p>
        </w:tc>
        <w:tc>
          <w:tcPr>
            <w:tcW w:w="716" w:type="dxa"/>
            <w:tcBorders>
              <w:top w:val="single" w:sz="4" w:space="0" w:color="auto"/>
              <w:left w:val="single" w:sz="4" w:space="0" w:color="auto"/>
              <w:bottom w:val="single" w:sz="4" w:space="0" w:color="auto"/>
              <w:right w:val="single" w:sz="4" w:space="0" w:color="auto"/>
            </w:tcBorders>
            <w:vAlign w:val="center"/>
          </w:tcPr>
          <w:p w14:paraId="50EDA917" w14:textId="1B301579" w:rsidR="00456597" w:rsidRPr="00A00B9B" w:rsidRDefault="00456597" w:rsidP="00545E43">
            <w:pPr>
              <w:spacing w:before="60" w:after="40" w:line="288" w:lineRule="auto"/>
              <w:ind w:firstLine="0"/>
              <w:jc w:val="right"/>
              <w:rPr>
                <w:rFonts w:cs="Tahoma"/>
                <w:sz w:val="18"/>
                <w:szCs w:val="18"/>
              </w:rPr>
            </w:pPr>
            <w:r>
              <w:rPr>
                <w:rFonts w:cs="Tahoma"/>
                <w:sz w:val="18"/>
                <w:szCs w:val="18"/>
              </w:rPr>
              <w:t>7</w:t>
            </w:r>
            <w:r w:rsidR="00545E43">
              <w:rPr>
                <w:rFonts w:cs="Tahoma"/>
                <w:sz w:val="18"/>
                <w:szCs w:val="18"/>
              </w:rPr>
              <w:t>8</w:t>
            </w:r>
          </w:p>
        </w:tc>
        <w:tc>
          <w:tcPr>
            <w:tcW w:w="717" w:type="dxa"/>
            <w:tcBorders>
              <w:top w:val="single" w:sz="4" w:space="0" w:color="auto"/>
              <w:left w:val="single" w:sz="4" w:space="0" w:color="auto"/>
              <w:bottom w:val="single" w:sz="4" w:space="0" w:color="auto"/>
              <w:right w:val="single" w:sz="4" w:space="0" w:color="auto"/>
            </w:tcBorders>
            <w:vAlign w:val="center"/>
          </w:tcPr>
          <w:p w14:paraId="487CC6C6" w14:textId="0DF67D91" w:rsidR="00456597" w:rsidRPr="00A00B9B" w:rsidRDefault="00456597" w:rsidP="00545E43">
            <w:pPr>
              <w:spacing w:before="60" w:after="40" w:line="288" w:lineRule="auto"/>
              <w:ind w:firstLine="0"/>
              <w:jc w:val="right"/>
              <w:rPr>
                <w:rFonts w:cs="Tahoma"/>
                <w:sz w:val="18"/>
                <w:szCs w:val="18"/>
              </w:rPr>
            </w:pPr>
            <w:r>
              <w:rPr>
                <w:rFonts w:cs="Tahoma"/>
                <w:sz w:val="18"/>
                <w:szCs w:val="18"/>
              </w:rPr>
              <w:t>7</w:t>
            </w:r>
            <w:r w:rsidR="00545E43">
              <w:rPr>
                <w:rFonts w:cs="Tahoma"/>
                <w:sz w:val="18"/>
                <w:szCs w:val="18"/>
              </w:rPr>
              <w:t>8</w:t>
            </w:r>
          </w:p>
        </w:tc>
        <w:tc>
          <w:tcPr>
            <w:tcW w:w="716" w:type="dxa"/>
            <w:tcBorders>
              <w:top w:val="single" w:sz="4" w:space="0" w:color="auto"/>
              <w:left w:val="single" w:sz="4" w:space="0" w:color="auto"/>
              <w:bottom w:val="single" w:sz="4" w:space="0" w:color="auto"/>
              <w:right w:val="single" w:sz="4" w:space="0" w:color="auto"/>
            </w:tcBorders>
            <w:vAlign w:val="center"/>
          </w:tcPr>
          <w:p w14:paraId="75E27796" w14:textId="46D0C3CE" w:rsidR="00456597" w:rsidRPr="00A00B9B" w:rsidRDefault="00456597" w:rsidP="00545E43">
            <w:pPr>
              <w:spacing w:before="60" w:after="40" w:line="288" w:lineRule="auto"/>
              <w:ind w:firstLine="0"/>
              <w:jc w:val="right"/>
              <w:rPr>
                <w:rFonts w:cs="Tahoma"/>
                <w:sz w:val="18"/>
                <w:szCs w:val="18"/>
              </w:rPr>
            </w:pPr>
            <w:r>
              <w:rPr>
                <w:rFonts w:cs="Tahoma"/>
                <w:sz w:val="18"/>
                <w:szCs w:val="18"/>
              </w:rPr>
              <w:t>7</w:t>
            </w:r>
            <w:r w:rsidR="00545E43">
              <w:rPr>
                <w:rFonts w:cs="Tahoma"/>
                <w:sz w:val="18"/>
                <w:szCs w:val="18"/>
              </w:rPr>
              <w:t>8</w:t>
            </w:r>
          </w:p>
        </w:tc>
        <w:tc>
          <w:tcPr>
            <w:tcW w:w="716" w:type="dxa"/>
            <w:tcBorders>
              <w:top w:val="single" w:sz="4" w:space="0" w:color="auto"/>
              <w:left w:val="single" w:sz="4" w:space="0" w:color="auto"/>
              <w:bottom w:val="single" w:sz="4" w:space="0" w:color="auto"/>
              <w:right w:val="single" w:sz="4" w:space="0" w:color="auto"/>
            </w:tcBorders>
            <w:vAlign w:val="center"/>
          </w:tcPr>
          <w:p w14:paraId="0C12B7A5" w14:textId="21EB7F09" w:rsidR="00456597" w:rsidRPr="00A00B9B" w:rsidRDefault="00456597" w:rsidP="00545E43">
            <w:pPr>
              <w:spacing w:before="60" w:after="40" w:line="288" w:lineRule="auto"/>
              <w:ind w:firstLine="0"/>
              <w:jc w:val="right"/>
              <w:rPr>
                <w:rFonts w:cs="Tahoma"/>
                <w:sz w:val="18"/>
                <w:szCs w:val="18"/>
              </w:rPr>
            </w:pPr>
            <w:r>
              <w:rPr>
                <w:rFonts w:cs="Tahoma"/>
                <w:sz w:val="18"/>
                <w:szCs w:val="18"/>
              </w:rPr>
              <w:t>7</w:t>
            </w:r>
            <w:r w:rsidR="00545E43">
              <w:rPr>
                <w:rFonts w:cs="Tahoma"/>
                <w:sz w:val="18"/>
                <w:szCs w:val="18"/>
              </w:rPr>
              <w:t>8</w:t>
            </w:r>
          </w:p>
        </w:tc>
        <w:tc>
          <w:tcPr>
            <w:tcW w:w="717" w:type="dxa"/>
            <w:tcBorders>
              <w:top w:val="single" w:sz="4" w:space="0" w:color="auto"/>
              <w:left w:val="single" w:sz="4" w:space="0" w:color="auto"/>
              <w:bottom w:val="single" w:sz="4" w:space="0" w:color="auto"/>
              <w:right w:val="single" w:sz="4" w:space="0" w:color="auto"/>
            </w:tcBorders>
            <w:vAlign w:val="center"/>
          </w:tcPr>
          <w:p w14:paraId="451BFC0C" w14:textId="46C0AC85" w:rsidR="00456597" w:rsidRPr="00A00B9B" w:rsidRDefault="00456597" w:rsidP="00545E43">
            <w:pPr>
              <w:spacing w:before="60" w:after="40" w:line="288" w:lineRule="auto"/>
              <w:ind w:firstLine="0"/>
              <w:jc w:val="right"/>
              <w:rPr>
                <w:rFonts w:cs="Tahoma"/>
                <w:sz w:val="18"/>
                <w:szCs w:val="18"/>
              </w:rPr>
            </w:pPr>
            <w:r>
              <w:rPr>
                <w:rFonts w:cs="Tahoma"/>
                <w:sz w:val="18"/>
                <w:szCs w:val="18"/>
              </w:rPr>
              <w:t>7</w:t>
            </w:r>
            <w:r w:rsidR="00545E43">
              <w:rPr>
                <w:rFonts w:cs="Tahoma"/>
                <w:sz w:val="18"/>
                <w:szCs w:val="18"/>
              </w:rPr>
              <w:t>8</w:t>
            </w:r>
          </w:p>
        </w:tc>
      </w:tr>
      <w:tr w:rsidR="00456597" w:rsidRPr="00A00B9B" w14:paraId="18370529" w14:textId="77777777" w:rsidTr="00B55E29">
        <w:trPr>
          <w:cantSplit/>
          <w:jc w:val="center"/>
        </w:trPr>
        <w:tc>
          <w:tcPr>
            <w:tcW w:w="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3A673E" w14:textId="213D1922" w:rsidR="00456597" w:rsidRPr="00A00B9B" w:rsidRDefault="00B55E29" w:rsidP="00B55E29">
            <w:pPr>
              <w:spacing w:before="60" w:after="40" w:line="288" w:lineRule="auto"/>
              <w:ind w:firstLine="0"/>
              <w:jc w:val="center"/>
              <w:rPr>
                <w:rFonts w:cs="Tahoma"/>
                <w:i/>
                <w:sz w:val="18"/>
                <w:szCs w:val="18"/>
              </w:rPr>
            </w:pPr>
            <w:r>
              <w:rPr>
                <w:rFonts w:cs="Tahoma"/>
                <w:i/>
                <w:sz w:val="18"/>
                <w:szCs w:val="18"/>
              </w:rPr>
              <w:t>7</w:t>
            </w:r>
            <w:r w:rsidR="00456597" w:rsidRPr="00A00B9B">
              <w:rPr>
                <w:rFonts w:cs="Tahoma"/>
                <w:i/>
                <w:sz w:val="18"/>
                <w:szCs w:val="18"/>
              </w:rPr>
              <w:t>a</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9772D0" w14:textId="77777777" w:rsidR="00456597" w:rsidRPr="00A00B9B" w:rsidRDefault="00456597" w:rsidP="00B55E29">
            <w:pPr>
              <w:spacing w:before="60" w:after="40" w:line="288" w:lineRule="auto"/>
              <w:ind w:firstLine="0"/>
              <w:jc w:val="left"/>
              <w:rPr>
                <w:rFonts w:cs="Tahoma"/>
                <w:i/>
                <w:sz w:val="18"/>
                <w:szCs w:val="18"/>
              </w:rPr>
            </w:pPr>
            <w:r w:rsidRPr="00A00B9B">
              <w:rPr>
                <w:rFonts w:cs="Tahoma"/>
                <w:i/>
                <w:sz w:val="18"/>
                <w:szCs w:val="18"/>
              </w:rPr>
              <w:t>Udział we flocie</w:t>
            </w:r>
            <w:r>
              <w:rPr>
                <w:rFonts w:cs="Tahoma"/>
                <w:i/>
                <w:sz w:val="18"/>
                <w:szCs w:val="18"/>
              </w:rPr>
              <w:t xml:space="preserve"> </w:t>
            </w:r>
            <w:r w:rsidRPr="00A00B9B">
              <w:rPr>
                <w:rFonts w:cs="Tahoma"/>
                <w:i/>
                <w:sz w:val="18"/>
                <w:szCs w:val="18"/>
              </w:rPr>
              <w:t>[%]</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1C85BB" w14:textId="33CC139F" w:rsidR="00456597" w:rsidRPr="00A00B9B" w:rsidRDefault="00456597" w:rsidP="00B55E29">
            <w:pPr>
              <w:spacing w:before="60" w:after="40" w:line="288" w:lineRule="auto"/>
              <w:ind w:firstLine="0"/>
              <w:jc w:val="right"/>
              <w:rPr>
                <w:rFonts w:cs="Tahoma"/>
                <w:i/>
                <w:sz w:val="18"/>
                <w:szCs w:val="18"/>
              </w:rPr>
            </w:pPr>
            <w:r>
              <w:rPr>
                <w:rFonts w:cs="Tahoma"/>
                <w:i/>
                <w:sz w:val="18"/>
                <w:szCs w:val="18"/>
              </w:rPr>
              <w:t>4,4</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432DA1" w14:textId="6AF6A5A9" w:rsidR="00456597" w:rsidRPr="00A00B9B" w:rsidRDefault="00456597" w:rsidP="00B55E29">
            <w:pPr>
              <w:spacing w:before="60" w:after="40" w:line="288" w:lineRule="auto"/>
              <w:ind w:firstLine="0"/>
              <w:jc w:val="right"/>
              <w:rPr>
                <w:rFonts w:cs="Tahoma"/>
                <w:i/>
                <w:sz w:val="18"/>
                <w:szCs w:val="18"/>
              </w:rPr>
            </w:pPr>
            <w:r>
              <w:rPr>
                <w:rFonts w:cs="Tahoma"/>
                <w:i/>
                <w:sz w:val="18"/>
                <w:szCs w:val="18"/>
              </w:rPr>
              <w:t>4,5</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3A3309" w14:textId="56843735" w:rsidR="00456597" w:rsidRPr="00A00B9B" w:rsidRDefault="00456597" w:rsidP="00B55E29">
            <w:pPr>
              <w:spacing w:before="60" w:after="40" w:line="288" w:lineRule="auto"/>
              <w:ind w:firstLine="0"/>
              <w:jc w:val="right"/>
              <w:rPr>
                <w:rFonts w:cs="Tahoma"/>
                <w:i/>
                <w:sz w:val="18"/>
                <w:szCs w:val="18"/>
              </w:rPr>
            </w:pPr>
            <w:r>
              <w:rPr>
                <w:rFonts w:cs="Tahoma"/>
                <w:i/>
                <w:sz w:val="18"/>
                <w:szCs w:val="18"/>
              </w:rPr>
              <w:t>5,5</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C4A6ED" w14:textId="1D6C1E66" w:rsidR="00456597" w:rsidRPr="00A00B9B" w:rsidRDefault="00456597" w:rsidP="00B55E29">
            <w:pPr>
              <w:spacing w:before="60" w:after="40" w:line="288" w:lineRule="auto"/>
              <w:ind w:firstLine="0"/>
              <w:jc w:val="right"/>
              <w:rPr>
                <w:rFonts w:cs="Tahoma"/>
                <w:i/>
                <w:sz w:val="18"/>
                <w:szCs w:val="18"/>
              </w:rPr>
            </w:pPr>
            <w:r>
              <w:rPr>
                <w:rFonts w:cs="Tahoma"/>
                <w:i/>
                <w:sz w:val="18"/>
                <w:szCs w:val="18"/>
              </w:rPr>
              <w:t>20,0</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44B6F4" w14:textId="7672673B" w:rsidR="00456597" w:rsidRPr="00A00B9B" w:rsidRDefault="00456597" w:rsidP="00545E43">
            <w:pPr>
              <w:spacing w:before="60" w:after="40" w:line="288" w:lineRule="auto"/>
              <w:ind w:firstLine="0"/>
              <w:jc w:val="right"/>
              <w:rPr>
                <w:rFonts w:cs="Tahoma"/>
                <w:i/>
                <w:sz w:val="18"/>
                <w:szCs w:val="18"/>
              </w:rPr>
            </w:pPr>
            <w:r>
              <w:rPr>
                <w:rFonts w:cs="Tahoma"/>
                <w:i/>
                <w:sz w:val="18"/>
                <w:szCs w:val="18"/>
              </w:rPr>
              <w:t>20,</w:t>
            </w:r>
            <w:r w:rsidR="00545E43">
              <w:rPr>
                <w:rFonts w:cs="Tahoma"/>
                <w:i/>
                <w:sz w:val="18"/>
                <w:szCs w:val="18"/>
              </w:rPr>
              <w:t>7</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2B74D9" w14:textId="7E6EFDDF" w:rsidR="00456597" w:rsidRPr="00A00B9B" w:rsidRDefault="00456597" w:rsidP="00545E43">
            <w:pPr>
              <w:spacing w:before="60" w:after="40" w:line="288" w:lineRule="auto"/>
              <w:ind w:firstLine="0"/>
              <w:jc w:val="right"/>
              <w:rPr>
                <w:rFonts w:cs="Tahoma"/>
                <w:i/>
                <w:sz w:val="18"/>
                <w:szCs w:val="18"/>
              </w:rPr>
            </w:pPr>
            <w:r>
              <w:rPr>
                <w:rFonts w:cs="Tahoma"/>
                <w:i/>
                <w:sz w:val="18"/>
                <w:szCs w:val="18"/>
              </w:rPr>
              <w:t>20,</w:t>
            </w:r>
            <w:r w:rsidR="00545E43">
              <w:rPr>
                <w:rFonts w:cs="Tahoma"/>
                <w:i/>
                <w:sz w:val="18"/>
                <w:szCs w:val="18"/>
              </w:rPr>
              <w:t>7</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2E8A3E" w14:textId="672E9AEB" w:rsidR="00456597" w:rsidRPr="00A00B9B" w:rsidRDefault="00456597" w:rsidP="00B55E29">
            <w:pPr>
              <w:spacing w:before="60" w:after="40" w:line="288" w:lineRule="auto"/>
              <w:ind w:firstLine="0"/>
              <w:jc w:val="right"/>
              <w:rPr>
                <w:rFonts w:cs="Tahoma"/>
                <w:i/>
                <w:sz w:val="18"/>
                <w:szCs w:val="18"/>
              </w:rPr>
            </w:pPr>
            <w:r>
              <w:rPr>
                <w:rFonts w:cs="Tahoma"/>
                <w:i/>
                <w:sz w:val="18"/>
                <w:szCs w:val="18"/>
              </w:rPr>
              <w:t>30,4</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7A2519" w14:textId="6FE6D9F3" w:rsidR="00456597" w:rsidRPr="00A00B9B" w:rsidRDefault="00456597" w:rsidP="00B55E29">
            <w:pPr>
              <w:spacing w:before="60" w:after="40" w:line="288" w:lineRule="auto"/>
              <w:ind w:firstLine="0"/>
              <w:jc w:val="right"/>
              <w:rPr>
                <w:rFonts w:cs="Tahoma"/>
                <w:i/>
                <w:sz w:val="18"/>
                <w:szCs w:val="18"/>
              </w:rPr>
            </w:pPr>
            <w:r>
              <w:rPr>
                <w:rFonts w:cs="Tahoma"/>
                <w:i/>
                <w:sz w:val="18"/>
                <w:szCs w:val="18"/>
              </w:rPr>
              <w:t>32,2</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EDE8E0" w14:textId="01AEECAC" w:rsidR="00456597" w:rsidRPr="00A00B9B" w:rsidRDefault="00456597" w:rsidP="00B55E29">
            <w:pPr>
              <w:spacing w:before="60" w:after="40" w:line="288" w:lineRule="auto"/>
              <w:ind w:firstLine="0"/>
              <w:jc w:val="right"/>
              <w:rPr>
                <w:rFonts w:cs="Tahoma"/>
                <w:i/>
                <w:sz w:val="18"/>
                <w:szCs w:val="18"/>
              </w:rPr>
            </w:pPr>
            <w:r>
              <w:rPr>
                <w:rFonts w:cs="Tahoma"/>
                <w:i/>
                <w:sz w:val="18"/>
                <w:szCs w:val="18"/>
              </w:rPr>
              <w:t>32,2</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0BCD71" w14:textId="392ACABD" w:rsidR="00456597" w:rsidRPr="00A00B9B" w:rsidRDefault="00456597" w:rsidP="00B55E29">
            <w:pPr>
              <w:spacing w:before="60" w:after="40" w:line="288" w:lineRule="auto"/>
              <w:ind w:firstLine="0"/>
              <w:jc w:val="right"/>
              <w:rPr>
                <w:rFonts w:cs="Tahoma"/>
                <w:i/>
                <w:sz w:val="18"/>
                <w:szCs w:val="18"/>
              </w:rPr>
            </w:pPr>
            <w:r>
              <w:rPr>
                <w:rFonts w:cs="Tahoma"/>
                <w:i/>
                <w:sz w:val="18"/>
                <w:szCs w:val="18"/>
              </w:rPr>
              <w:t>32,2</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D52976" w14:textId="4665CA04" w:rsidR="00456597" w:rsidRPr="00A00B9B" w:rsidRDefault="00456597" w:rsidP="00B55E29">
            <w:pPr>
              <w:spacing w:before="60" w:after="40" w:line="288" w:lineRule="auto"/>
              <w:ind w:firstLine="0"/>
              <w:jc w:val="right"/>
              <w:rPr>
                <w:rFonts w:cs="Tahoma"/>
                <w:i/>
                <w:sz w:val="18"/>
                <w:szCs w:val="18"/>
              </w:rPr>
            </w:pPr>
            <w:r>
              <w:rPr>
                <w:rFonts w:cs="Tahoma"/>
                <w:i/>
                <w:sz w:val="18"/>
                <w:szCs w:val="18"/>
              </w:rPr>
              <w:t>32,2</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A483AA" w14:textId="593462F8" w:rsidR="00456597" w:rsidRPr="00A00B9B" w:rsidRDefault="00456597" w:rsidP="00545E43">
            <w:pPr>
              <w:spacing w:before="60" w:after="40" w:line="288" w:lineRule="auto"/>
              <w:ind w:firstLine="0"/>
              <w:jc w:val="right"/>
              <w:rPr>
                <w:rFonts w:cs="Tahoma"/>
                <w:i/>
                <w:sz w:val="18"/>
                <w:szCs w:val="18"/>
              </w:rPr>
            </w:pPr>
            <w:r>
              <w:rPr>
                <w:rFonts w:cs="Tahoma"/>
                <w:i/>
                <w:sz w:val="18"/>
                <w:szCs w:val="18"/>
              </w:rPr>
              <w:t>34,</w:t>
            </w:r>
            <w:r w:rsidR="00545E43">
              <w:rPr>
                <w:rFonts w:cs="Tahoma"/>
                <w:i/>
                <w:sz w:val="18"/>
                <w:szCs w:val="18"/>
              </w:rPr>
              <w:t>4</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5BC489" w14:textId="3E0959D6" w:rsidR="00456597" w:rsidRPr="00A00B9B" w:rsidRDefault="00456597" w:rsidP="00545E43">
            <w:pPr>
              <w:spacing w:before="60" w:after="40" w:line="288" w:lineRule="auto"/>
              <w:ind w:firstLine="0"/>
              <w:jc w:val="right"/>
              <w:rPr>
                <w:rFonts w:cs="Tahoma"/>
                <w:i/>
                <w:sz w:val="18"/>
                <w:szCs w:val="18"/>
              </w:rPr>
            </w:pPr>
            <w:r>
              <w:rPr>
                <w:rFonts w:cs="Tahoma"/>
                <w:i/>
                <w:sz w:val="18"/>
                <w:szCs w:val="18"/>
              </w:rPr>
              <w:t>34,</w:t>
            </w:r>
            <w:r w:rsidR="00545E43">
              <w:rPr>
                <w:rFonts w:cs="Tahoma"/>
                <w:i/>
                <w:sz w:val="18"/>
                <w:szCs w:val="18"/>
              </w:rPr>
              <w:t>4</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8F82F5" w14:textId="25D3034A" w:rsidR="00456597" w:rsidRPr="00A00B9B" w:rsidRDefault="00456597" w:rsidP="00545E43">
            <w:pPr>
              <w:spacing w:before="60" w:after="40" w:line="288" w:lineRule="auto"/>
              <w:ind w:firstLine="0"/>
              <w:jc w:val="right"/>
              <w:rPr>
                <w:rFonts w:cs="Tahoma"/>
                <w:i/>
                <w:sz w:val="18"/>
                <w:szCs w:val="18"/>
              </w:rPr>
            </w:pPr>
            <w:r>
              <w:rPr>
                <w:rFonts w:cs="Tahoma"/>
                <w:i/>
                <w:sz w:val="18"/>
                <w:szCs w:val="18"/>
              </w:rPr>
              <w:t>34,</w:t>
            </w:r>
            <w:r w:rsidR="00545E43">
              <w:rPr>
                <w:rFonts w:cs="Tahoma"/>
                <w:i/>
                <w:sz w:val="18"/>
                <w:szCs w:val="18"/>
              </w:rPr>
              <w:t>4</w:t>
            </w:r>
          </w:p>
        </w:tc>
        <w:tc>
          <w:tcPr>
            <w:tcW w:w="71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9F938D" w14:textId="36627848" w:rsidR="00456597" w:rsidRPr="00A00B9B" w:rsidRDefault="00456597" w:rsidP="00545E43">
            <w:pPr>
              <w:spacing w:before="60" w:after="40" w:line="288" w:lineRule="auto"/>
              <w:ind w:firstLine="0"/>
              <w:jc w:val="right"/>
              <w:rPr>
                <w:rFonts w:cs="Tahoma"/>
                <w:i/>
                <w:sz w:val="18"/>
                <w:szCs w:val="18"/>
              </w:rPr>
            </w:pPr>
            <w:r>
              <w:rPr>
                <w:rFonts w:cs="Tahoma"/>
                <w:i/>
                <w:sz w:val="18"/>
                <w:szCs w:val="18"/>
              </w:rPr>
              <w:t>34,</w:t>
            </w:r>
            <w:r w:rsidR="00545E43">
              <w:rPr>
                <w:rFonts w:cs="Tahoma"/>
                <w:i/>
                <w:sz w:val="18"/>
                <w:szCs w:val="18"/>
              </w:rPr>
              <w:t>4</w:t>
            </w:r>
          </w:p>
        </w:tc>
        <w:tc>
          <w:tcPr>
            <w:tcW w:w="71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EC3194" w14:textId="605F9447" w:rsidR="00456597" w:rsidRPr="00A00B9B" w:rsidRDefault="00456597" w:rsidP="00545E43">
            <w:pPr>
              <w:spacing w:before="60" w:after="40" w:line="288" w:lineRule="auto"/>
              <w:ind w:firstLine="0"/>
              <w:jc w:val="right"/>
              <w:rPr>
                <w:rFonts w:cs="Tahoma"/>
                <w:i/>
                <w:sz w:val="18"/>
                <w:szCs w:val="18"/>
              </w:rPr>
            </w:pPr>
            <w:r>
              <w:rPr>
                <w:rFonts w:cs="Tahoma"/>
                <w:i/>
                <w:sz w:val="18"/>
                <w:szCs w:val="18"/>
              </w:rPr>
              <w:t>34,</w:t>
            </w:r>
            <w:r w:rsidR="00545E43">
              <w:rPr>
                <w:rFonts w:cs="Tahoma"/>
                <w:i/>
                <w:sz w:val="18"/>
                <w:szCs w:val="18"/>
              </w:rPr>
              <w:t>4</w:t>
            </w:r>
          </w:p>
        </w:tc>
      </w:tr>
      <w:tr w:rsidR="00456597" w:rsidRPr="00A00B9B" w14:paraId="1B5AA8FF" w14:textId="77777777" w:rsidTr="005F1C24">
        <w:trPr>
          <w:cantSplit/>
          <w:jc w:val="center"/>
        </w:trPr>
        <w:tc>
          <w:tcPr>
            <w:tcW w:w="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CDBC41" w14:textId="700AB87F" w:rsidR="00456597" w:rsidRPr="00A00B9B" w:rsidRDefault="00B55E29" w:rsidP="00B55E29">
            <w:pPr>
              <w:spacing w:before="60" w:after="40" w:line="288" w:lineRule="auto"/>
              <w:ind w:firstLine="0"/>
              <w:jc w:val="center"/>
              <w:rPr>
                <w:rFonts w:cs="Tahoma"/>
                <w:i/>
                <w:sz w:val="18"/>
                <w:szCs w:val="18"/>
              </w:rPr>
            </w:pPr>
            <w:r>
              <w:rPr>
                <w:rFonts w:cs="Tahoma"/>
                <w:i/>
                <w:sz w:val="18"/>
                <w:szCs w:val="18"/>
              </w:rPr>
              <w:t>8</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BBD299" w14:textId="77777777" w:rsidR="00456597" w:rsidRPr="00A00B9B" w:rsidRDefault="00456597" w:rsidP="00B55E29">
            <w:pPr>
              <w:spacing w:before="60" w:after="40" w:line="288" w:lineRule="auto"/>
              <w:ind w:firstLine="0"/>
              <w:jc w:val="left"/>
              <w:rPr>
                <w:rFonts w:cs="Tahoma"/>
                <w:i/>
                <w:sz w:val="18"/>
                <w:szCs w:val="18"/>
              </w:rPr>
            </w:pPr>
            <w:r w:rsidRPr="00A00B9B">
              <w:rPr>
                <w:rFonts w:cs="Tahoma"/>
                <w:i/>
                <w:sz w:val="18"/>
                <w:szCs w:val="18"/>
              </w:rPr>
              <w:t>Średni wiek floty [lat]</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8AE7E9" w14:textId="2E03443D" w:rsidR="00456597" w:rsidRPr="00FA7A70" w:rsidRDefault="00456597" w:rsidP="00B55E29">
            <w:pPr>
              <w:spacing w:before="60" w:after="40" w:line="288" w:lineRule="auto"/>
              <w:ind w:firstLine="0"/>
              <w:jc w:val="right"/>
              <w:rPr>
                <w:rFonts w:cs="Tahoma"/>
                <w:i/>
                <w:sz w:val="18"/>
                <w:szCs w:val="18"/>
              </w:rPr>
            </w:pPr>
            <w:r>
              <w:rPr>
                <w:rFonts w:cs="Tahoma"/>
                <w:i/>
                <w:sz w:val="18"/>
                <w:szCs w:val="18"/>
              </w:rPr>
              <w:t>6,2</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EFB58E" w14:textId="78B3DC00" w:rsidR="00456597" w:rsidRPr="00FA7A70" w:rsidRDefault="00456597" w:rsidP="00B55E29">
            <w:pPr>
              <w:spacing w:before="60" w:after="40" w:line="288" w:lineRule="auto"/>
              <w:ind w:firstLine="0"/>
              <w:jc w:val="right"/>
              <w:rPr>
                <w:rFonts w:cs="Tahoma"/>
                <w:i/>
                <w:sz w:val="18"/>
                <w:szCs w:val="18"/>
              </w:rPr>
            </w:pPr>
            <w:r>
              <w:rPr>
                <w:rFonts w:cs="Tahoma"/>
                <w:i/>
                <w:sz w:val="18"/>
                <w:szCs w:val="18"/>
              </w:rPr>
              <w:t>7,2</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14CF3F" w14:textId="0E8B62FD" w:rsidR="00456597" w:rsidRPr="00FA7A70" w:rsidRDefault="00456597" w:rsidP="00B55E29">
            <w:pPr>
              <w:spacing w:before="60" w:after="40" w:line="288" w:lineRule="auto"/>
              <w:ind w:firstLine="0"/>
              <w:jc w:val="right"/>
              <w:rPr>
                <w:rFonts w:cs="Tahoma"/>
                <w:i/>
                <w:sz w:val="18"/>
                <w:szCs w:val="18"/>
              </w:rPr>
            </w:pPr>
            <w:r>
              <w:rPr>
                <w:rFonts w:cs="Tahoma"/>
                <w:i/>
                <w:sz w:val="18"/>
                <w:szCs w:val="18"/>
              </w:rPr>
              <w:t>7,9</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5F6260" w14:textId="6F3AD248" w:rsidR="00456597" w:rsidRPr="00FA7A70" w:rsidRDefault="00456597" w:rsidP="00B55E29">
            <w:pPr>
              <w:spacing w:before="60" w:after="40" w:line="288" w:lineRule="auto"/>
              <w:ind w:firstLine="0"/>
              <w:jc w:val="right"/>
              <w:rPr>
                <w:rFonts w:cs="Tahoma"/>
                <w:i/>
                <w:sz w:val="18"/>
                <w:szCs w:val="18"/>
              </w:rPr>
            </w:pPr>
            <w:r>
              <w:rPr>
                <w:rFonts w:cs="Tahoma"/>
                <w:i/>
                <w:sz w:val="18"/>
                <w:szCs w:val="18"/>
              </w:rPr>
              <w:t>7,3</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4DE972" w14:textId="6ADFBFFF" w:rsidR="00456597" w:rsidRPr="00FA7A70" w:rsidRDefault="00456597" w:rsidP="00B55E29">
            <w:pPr>
              <w:spacing w:before="60" w:after="40" w:line="288" w:lineRule="auto"/>
              <w:ind w:firstLine="0"/>
              <w:jc w:val="right"/>
              <w:rPr>
                <w:rFonts w:cs="Tahoma"/>
                <w:i/>
                <w:sz w:val="18"/>
                <w:szCs w:val="18"/>
              </w:rPr>
            </w:pPr>
            <w:r>
              <w:rPr>
                <w:rFonts w:cs="Tahoma"/>
                <w:i/>
                <w:sz w:val="18"/>
                <w:szCs w:val="18"/>
              </w:rPr>
              <w:t>6,5</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19BD3" w14:textId="16DB31E8" w:rsidR="00456597" w:rsidRPr="00FA7A70" w:rsidRDefault="00456597" w:rsidP="00545E43">
            <w:pPr>
              <w:spacing w:before="60" w:after="40" w:line="288" w:lineRule="auto"/>
              <w:ind w:firstLine="0"/>
              <w:jc w:val="right"/>
              <w:rPr>
                <w:rFonts w:cs="Tahoma"/>
                <w:i/>
                <w:sz w:val="18"/>
                <w:szCs w:val="18"/>
              </w:rPr>
            </w:pPr>
            <w:r>
              <w:rPr>
                <w:rFonts w:cs="Tahoma"/>
                <w:i/>
                <w:sz w:val="18"/>
                <w:szCs w:val="18"/>
              </w:rPr>
              <w:t>7,</w:t>
            </w:r>
            <w:r w:rsidR="00545E43">
              <w:rPr>
                <w:rFonts w:cs="Tahoma"/>
                <w:i/>
                <w:sz w:val="18"/>
                <w:szCs w:val="18"/>
              </w:rPr>
              <w:t>4</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C3A63A" w14:textId="5B3BD971" w:rsidR="00456597" w:rsidRPr="00FA7A70" w:rsidRDefault="00456597" w:rsidP="00545E43">
            <w:pPr>
              <w:spacing w:before="60" w:after="40" w:line="288" w:lineRule="auto"/>
              <w:ind w:firstLine="0"/>
              <w:jc w:val="right"/>
              <w:rPr>
                <w:rFonts w:cs="Tahoma"/>
                <w:i/>
                <w:sz w:val="18"/>
                <w:szCs w:val="18"/>
              </w:rPr>
            </w:pPr>
            <w:r>
              <w:rPr>
                <w:rFonts w:cs="Tahoma"/>
                <w:i/>
                <w:sz w:val="18"/>
                <w:szCs w:val="18"/>
              </w:rPr>
              <w:t>8,</w:t>
            </w:r>
            <w:r w:rsidR="00545E43">
              <w:rPr>
                <w:rFonts w:cs="Tahoma"/>
                <w:i/>
                <w:sz w:val="18"/>
                <w:szCs w:val="18"/>
              </w:rPr>
              <w:t>4</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CCB7DE" w14:textId="6B58313A" w:rsidR="00456597" w:rsidRPr="00FA7A70" w:rsidRDefault="00456597" w:rsidP="00B55E29">
            <w:pPr>
              <w:spacing w:before="60" w:after="40" w:line="288" w:lineRule="auto"/>
              <w:ind w:firstLine="0"/>
              <w:jc w:val="right"/>
              <w:rPr>
                <w:rFonts w:cs="Tahoma"/>
                <w:i/>
                <w:sz w:val="18"/>
                <w:szCs w:val="18"/>
              </w:rPr>
            </w:pPr>
            <w:r>
              <w:rPr>
                <w:rFonts w:cs="Tahoma"/>
                <w:i/>
                <w:sz w:val="18"/>
                <w:szCs w:val="18"/>
              </w:rPr>
              <w:t>7,5</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B68D59" w14:textId="1B73CEBB" w:rsidR="00456597" w:rsidRPr="00FA7A70" w:rsidRDefault="00456597" w:rsidP="00B55E29">
            <w:pPr>
              <w:spacing w:before="60" w:after="40" w:line="288" w:lineRule="auto"/>
              <w:ind w:firstLine="0"/>
              <w:jc w:val="right"/>
              <w:rPr>
                <w:rFonts w:cs="Tahoma"/>
                <w:i/>
                <w:sz w:val="18"/>
                <w:szCs w:val="18"/>
              </w:rPr>
            </w:pPr>
            <w:r>
              <w:rPr>
                <w:rFonts w:cs="Tahoma"/>
                <w:i/>
                <w:sz w:val="18"/>
                <w:szCs w:val="18"/>
              </w:rPr>
              <w:t>6,8</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597709" w14:textId="193F015D" w:rsidR="00456597" w:rsidRPr="00FA7A70" w:rsidRDefault="00456597" w:rsidP="00545E43">
            <w:pPr>
              <w:spacing w:before="60" w:after="40" w:line="288" w:lineRule="auto"/>
              <w:ind w:firstLine="0"/>
              <w:jc w:val="right"/>
              <w:rPr>
                <w:rFonts w:cs="Tahoma"/>
                <w:i/>
                <w:sz w:val="18"/>
                <w:szCs w:val="18"/>
              </w:rPr>
            </w:pPr>
            <w:r>
              <w:rPr>
                <w:rFonts w:cs="Tahoma"/>
                <w:i/>
                <w:sz w:val="18"/>
                <w:szCs w:val="18"/>
              </w:rPr>
              <w:t>7,</w:t>
            </w:r>
            <w:r w:rsidR="00545E43">
              <w:rPr>
                <w:rFonts w:cs="Tahoma"/>
                <w:i/>
                <w:sz w:val="18"/>
                <w:szCs w:val="18"/>
              </w:rPr>
              <w:t>7</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3856BC" w14:textId="0055778C" w:rsidR="00456597" w:rsidRPr="00FA7A70" w:rsidRDefault="00456597" w:rsidP="00545E43">
            <w:pPr>
              <w:spacing w:before="60" w:after="40" w:line="288" w:lineRule="auto"/>
              <w:ind w:firstLine="0"/>
              <w:jc w:val="right"/>
              <w:rPr>
                <w:rFonts w:cs="Tahoma"/>
                <w:i/>
                <w:sz w:val="18"/>
                <w:szCs w:val="18"/>
              </w:rPr>
            </w:pPr>
            <w:r>
              <w:rPr>
                <w:rFonts w:cs="Tahoma"/>
                <w:i/>
                <w:sz w:val="18"/>
                <w:szCs w:val="18"/>
              </w:rPr>
              <w:t>8,</w:t>
            </w:r>
            <w:r w:rsidR="00545E43">
              <w:rPr>
                <w:rFonts w:cs="Tahoma"/>
                <w:i/>
                <w:sz w:val="18"/>
                <w:szCs w:val="18"/>
              </w:rPr>
              <w:t>3</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642231" w14:textId="195EEE18" w:rsidR="00456597" w:rsidRPr="00FA7A70" w:rsidRDefault="00456597" w:rsidP="00545E43">
            <w:pPr>
              <w:spacing w:before="60" w:after="40" w:line="288" w:lineRule="auto"/>
              <w:ind w:firstLine="0"/>
              <w:jc w:val="right"/>
              <w:rPr>
                <w:rFonts w:cs="Tahoma"/>
                <w:i/>
                <w:sz w:val="18"/>
                <w:szCs w:val="18"/>
              </w:rPr>
            </w:pPr>
            <w:r>
              <w:rPr>
                <w:rFonts w:cs="Tahoma"/>
                <w:i/>
                <w:sz w:val="18"/>
                <w:szCs w:val="18"/>
              </w:rPr>
              <w:t>9,</w:t>
            </w:r>
            <w:r w:rsidR="00545E43">
              <w:rPr>
                <w:rFonts w:cs="Tahoma"/>
                <w:i/>
                <w:sz w:val="18"/>
                <w:szCs w:val="18"/>
              </w:rPr>
              <w:t>1</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809EF8" w14:textId="6F3901D1" w:rsidR="00456597" w:rsidRPr="00FA7A70" w:rsidRDefault="00456597" w:rsidP="00545E43">
            <w:pPr>
              <w:spacing w:before="60" w:after="40" w:line="288" w:lineRule="auto"/>
              <w:ind w:firstLine="0"/>
              <w:jc w:val="right"/>
              <w:rPr>
                <w:rFonts w:cs="Tahoma"/>
                <w:i/>
                <w:sz w:val="18"/>
                <w:szCs w:val="18"/>
              </w:rPr>
            </w:pPr>
            <w:r>
              <w:rPr>
                <w:rFonts w:cs="Tahoma"/>
                <w:i/>
                <w:sz w:val="18"/>
                <w:szCs w:val="18"/>
              </w:rPr>
              <w:t>9,</w:t>
            </w:r>
            <w:r w:rsidR="00545E43">
              <w:rPr>
                <w:rFonts w:cs="Tahoma"/>
                <w:i/>
                <w:sz w:val="18"/>
                <w:szCs w:val="18"/>
              </w:rPr>
              <w:t>4</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5F82F5" w14:textId="5C32C3FA" w:rsidR="00456597" w:rsidRPr="00FA7A70" w:rsidRDefault="00456597" w:rsidP="00B55E29">
            <w:pPr>
              <w:spacing w:before="60" w:after="40" w:line="288" w:lineRule="auto"/>
              <w:ind w:firstLine="0"/>
              <w:jc w:val="right"/>
              <w:rPr>
                <w:rFonts w:cs="Tahoma"/>
                <w:i/>
                <w:sz w:val="18"/>
                <w:szCs w:val="18"/>
              </w:rPr>
            </w:pPr>
            <w:r>
              <w:rPr>
                <w:rFonts w:cs="Tahoma"/>
                <w:i/>
                <w:sz w:val="18"/>
                <w:szCs w:val="18"/>
              </w:rPr>
              <w:t>9,6</w:t>
            </w:r>
          </w:p>
        </w:tc>
        <w:tc>
          <w:tcPr>
            <w:tcW w:w="7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2FDC4E" w14:textId="32F98339" w:rsidR="00456597" w:rsidRPr="00FA7A70" w:rsidRDefault="00456597" w:rsidP="00545E43">
            <w:pPr>
              <w:spacing w:before="60" w:after="40" w:line="288" w:lineRule="auto"/>
              <w:ind w:firstLine="0"/>
              <w:jc w:val="right"/>
              <w:rPr>
                <w:rFonts w:cs="Tahoma"/>
                <w:i/>
                <w:sz w:val="18"/>
                <w:szCs w:val="18"/>
              </w:rPr>
            </w:pPr>
            <w:r>
              <w:rPr>
                <w:rFonts w:cs="Tahoma"/>
                <w:i/>
                <w:sz w:val="18"/>
                <w:szCs w:val="18"/>
              </w:rPr>
              <w:t>9,</w:t>
            </w:r>
            <w:r w:rsidR="00545E43">
              <w:rPr>
                <w:rFonts w:cs="Tahoma"/>
                <w:i/>
                <w:sz w:val="18"/>
                <w:szCs w:val="18"/>
              </w:rPr>
              <w:t>4</w:t>
            </w:r>
          </w:p>
        </w:tc>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235402" w14:textId="0C708787" w:rsidR="00456597" w:rsidRPr="00FA7A70" w:rsidRDefault="00456597" w:rsidP="00B55E29">
            <w:pPr>
              <w:spacing w:before="60" w:after="40" w:line="288" w:lineRule="auto"/>
              <w:ind w:firstLine="0"/>
              <w:jc w:val="right"/>
              <w:rPr>
                <w:rFonts w:cs="Tahoma"/>
                <w:i/>
                <w:sz w:val="18"/>
                <w:szCs w:val="18"/>
              </w:rPr>
            </w:pPr>
            <w:r>
              <w:rPr>
                <w:rFonts w:cs="Tahoma"/>
                <w:i/>
                <w:sz w:val="18"/>
                <w:szCs w:val="18"/>
              </w:rPr>
              <w:t>9,2</w:t>
            </w:r>
          </w:p>
        </w:tc>
      </w:tr>
    </w:tbl>
    <w:p w14:paraId="0011F111" w14:textId="52085D9B" w:rsidR="00490B8A" w:rsidRDefault="00490B8A" w:rsidP="00B55E29">
      <w:pPr>
        <w:spacing w:before="120" w:after="240"/>
        <w:ind w:firstLine="0"/>
        <w:jc w:val="left"/>
        <w:rPr>
          <w:rFonts w:cs="Tahoma"/>
          <w:sz w:val="20"/>
          <w:szCs w:val="20"/>
        </w:rPr>
      </w:pPr>
      <w:r w:rsidRPr="00A00B9B">
        <w:rPr>
          <w:rFonts w:cs="Tahoma"/>
          <w:sz w:val="20"/>
          <w:szCs w:val="20"/>
        </w:rPr>
        <w:t xml:space="preserve">Źródło: opracowanie własne na podstawie danych </w:t>
      </w:r>
      <w:r w:rsidR="00C73F5E">
        <w:rPr>
          <w:rFonts w:cs="Tahoma"/>
          <w:sz w:val="20"/>
          <w:szCs w:val="20"/>
        </w:rPr>
        <w:t>MPK</w:t>
      </w:r>
      <w:r w:rsidR="006F3550">
        <w:rPr>
          <w:rFonts w:cs="Tahoma"/>
          <w:sz w:val="20"/>
          <w:szCs w:val="20"/>
        </w:rPr>
        <w:t>-Rzeszów</w:t>
      </w:r>
      <w:r w:rsidR="00C73F5E">
        <w:rPr>
          <w:rFonts w:cs="Tahoma"/>
          <w:sz w:val="20"/>
          <w:szCs w:val="20"/>
        </w:rPr>
        <w:t xml:space="preserve"> </w:t>
      </w:r>
      <w:r w:rsidRPr="00A00B9B">
        <w:rPr>
          <w:rFonts w:cs="Tahoma"/>
          <w:sz w:val="20"/>
          <w:szCs w:val="20"/>
        </w:rPr>
        <w:t>sp. z o.o.</w:t>
      </w:r>
    </w:p>
    <w:p w14:paraId="38BADDB8" w14:textId="77777777" w:rsidR="00490B8A" w:rsidRDefault="00490B8A" w:rsidP="00545E43">
      <w:pPr>
        <w:spacing w:before="120" w:after="240"/>
        <w:ind w:firstLine="0"/>
        <w:jc w:val="left"/>
        <w:rPr>
          <w:rFonts w:cs="Tahoma"/>
          <w:sz w:val="20"/>
          <w:szCs w:val="20"/>
        </w:rPr>
      </w:pPr>
    </w:p>
    <w:p w14:paraId="68489241" w14:textId="2361A2D0" w:rsidR="00C760E0" w:rsidRPr="00A00B9B" w:rsidRDefault="00C760E0" w:rsidP="00545E43">
      <w:pPr>
        <w:pStyle w:val="Legenda"/>
        <w:keepNext/>
        <w:spacing w:before="240" w:after="0"/>
        <w:ind w:firstLine="0"/>
        <w:jc w:val="left"/>
        <w:rPr>
          <w:rFonts w:cs="Tahoma"/>
        </w:rPr>
      </w:pPr>
    </w:p>
    <w:p w14:paraId="1F12EB3F" w14:textId="77777777" w:rsidR="00C760E0" w:rsidRPr="00A00B9B" w:rsidRDefault="00C760E0" w:rsidP="00545E43">
      <w:pPr>
        <w:spacing w:before="120" w:after="240"/>
        <w:ind w:firstLine="0"/>
        <w:jc w:val="left"/>
        <w:rPr>
          <w:rFonts w:cs="Tahoma"/>
          <w:sz w:val="20"/>
          <w:szCs w:val="20"/>
        </w:rPr>
        <w:sectPr w:rsidR="00C760E0" w:rsidRPr="00A00B9B" w:rsidSect="00D41C79">
          <w:pgSz w:w="16838" w:h="11906" w:orient="landscape"/>
          <w:pgMar w:top="1417" w:right="1417" w:bottom="1417" w:left="1417" w:header="708" w:footer="708" w:gutter="0"/>
          <w:cols w:space="708"/>
          <w:docGrid w:linePitch="360"/>
        </w:sectPr>
      </w:pPr>
    </w:p>
    <w:p w14:paraId="129C5DF6" w14:textId="257A29D6" w:rsidR="00F848F7" w:rsidRPr="00A00B9B" w:rsidRDefault="000F452B" w:rsidP="00B3145C">
      <w:pPr>
        <w:rPr>
          <w:rFonts w:cs="Tahoma"/>
          <w:szCs w:val="22"/>
        </w:rPr>
      </w:pPr>
      <w:r w:rsidRPr="00A00B9B">
        <w:rPr>
          <w:rFonts w:cs="Tahoma"/>
          <w:szCs w:val="22"/>
        </w:rPr>
        <w:lastRenderedPageBreak/>
        <w:t xml:space="preserve">W </w:t>
      </w:r>
      <w:r w:rsidR="00F848F7" w:rsidRPr="00A00B9B">
        <w:rPr>
          <w:rFonts w:cs="Tahoma"/>
          <w:szCs w:val="22"/>
        </w:rPr>
        <w:t>tabeli</w:t>
      </w:r>
      <w:r w:rsidR="003D6230" w:rsidRPr="00A00B9B">
        <w:rPr>
          <w:rFonts w:cs="Tahoma"/>
          <w:szCs w:val="22"/>
        </w:rPr>
        <w:t> 8</w:t>
      </w:r>
      <w:r w:rsidR="00F848F7" w:rsidRPr="00A00B9B">
        <w:rPr>
          <w:rFonts w:cs="Tahoma"/>
          <w:szCs w:val="22"/>
        </w:rPr>
        <w:t xml:space="preserve"> przedstawiono wskaźniki krotności – o ile razy większa jest gęstość zaludnienia </w:t>
      </w:r>
      <w:r w:rsidRPr="00A00B9B">
        <w:rPr>
          <w:rFonts w:cs="Tahoma"/>
          <w:szCs w:val="22"/>
        </w:rPr>
        <w:t xml:space="preserve">w obszarze obsługiwanym liniami miejskimi </w:t>
      </w:r>
      <w:r w:rsidR="00C73F5E">
        <w:rPr>
          <w:rFonts w:cs="Tahoma"/>
          <w:szCs w:val="22"/>
        </w:rPr>
        <w:t>rzeszowskie</w:t>
      </w:r>
      <w:r w:rsidR="00AE0C28">
        <w:rPr>
          <w:rFonts w:cs="Tahoma"/>
          <w:szCs w:val="22"/>
        </w:rPr>
        <w:t>j</w:t>
      </w:r>
      <w:r w:rsidR="00265608">
        <w:rPr>
          <w:rFonts w:cs="Tahoma"/>
          <w:szCs w:val="22"/>
        </w:rPr>
        <w:t xml:space="preserve"> </w:t>
      </w:r>
      <w:r w:rsidRPr="00A00B9B">
        <w:rPr>
          <w:rFonts w:cs="Tahoma"/>
          <w:szCs w:val="22"/>
        </w:rPr>
        <w:t>komunikacj</w:t>
      </w:r>
      <w:r w:rsidR="009301D5" w:rsidRPr="00A00B9B">
        <w:rPr>
          <w:rFonts w:cs="Tahoma"/>
          <w:szCs w:val="22"/>
        </w:rPr>
        <w:t xml:space="preserve">i miejskiej </w:t>
      </w:r>
      <w:r w:rsidR="008E04F3" w:rsidRPr="00A00B9B">
        <w:rPr>
          <w:rFonts w:cs="Tahoma"/>
          <w:szCs w:val="22"/>
        </w:rPr>
        <w:t>(obszar miasta) w </w:t>
      </w:r>
      <w:r w:rsidRPr="00A00B9B">
        <w:rPr>
          <w:rFonts w:cs="Tahoma"/>
          <w:szCs w:val="22"/>
        </w:rPr>
        <w:t>stosunku do średniej dla</w:t>
      </w:r>
      <w:r w:rsidR="009301D5" w:rsidRPr="00A00B9B">
        <w:rPr>
          <w:rFonts w:cs="Tahoma"/>
          <w:szCs w:val="22"/>
        </w:rPr>
        <w:t xml:space="preserve"> całego obsługiwanego obszaru, </w:t>
      </w:r>
      <w:r w:rsidRPr="00A00B9B">
        <w:rPr>
          <w:rFonts w:cs="Tahoma"/>
          <w:szCs w:val="22"/>
        </w:rPr>
        <w:t>miast w Polsce i terenu całej Polski oraz wskaźniki wzrostu – o ile procent jest wyższa gęstość zaludnienia w obszarze obsługiwanym liniami miejskimi w</w:t>
      </w:r>
      <w:r w:rsidR="009301D5" w:rsidRPr="00A00B9B">
        <w:rPr>
          <w:rFonts w:cs="Tahoma"/>
          <w:szCs w:val="22"/>
        </w:rPr>
        <w:t> </w:t>
      </w:r>
      <w:r w:rsidRPr="00A00B9B">
        <w:rPr>
          <w:rFonts w:cs="Tahoma"/>
          <w:szCs w:val="22"/>
        </w:rPr>
        <w:t>porównaniu do średniej gęstości zaludnienia w polskich miastach. Wskaźniki te uwzględniono w</w:t>
      </w:r>
      <w:r w:rsidR="009301D5" w:rsidRPr="00A00B9B">
        <w:rPr>
          <w:rFonts w:cs="Tahoma"/>
          <w:szCs w:val="22"/>
        </w:rPr>
        <w:t> </w:t>
      </w:r>
      <w:r w:rsidRPr="00A00B9B">
        <w:rPr>
          <w:rFonts w:cs="Tahoma"/>
          <w:szCs w:val="22"/>
        </w:rPr>
        <w:t>wycenie wpływu emisji substancji szkodliwych innych niż gazy cieplarniane na zdrowie i</w:t>
      </w:r>
      <w:r w:rsidR="009301D5" w:rsidRPr="00A00B9B">
        <w:rPr>
          <w:rFonts w:cs="Tahoma"/>
          <w:szCs w:val="22"/>
        </w:rPr>
        <w:t> </w:t>
      </w:r>
      <w:r w:rsidRPr="00A00B9B">
        <w:rPr>
          <w:rFonts w:cs="Tahoma"/>
          <w:szCs w:val="22"/>
        </w:rPr>
        <w:t>życie mieszkańców w analizie kosztów i korzyści w dalszej części opracowania.</w:t>
      </w:r>
    </w:p>
    <w:p w14:paraId="49525DB1" w14:textId="072E12A4" w:rsidR="002C3E0A" w:rsidRDefault="00826469" w:rsidP="00B3145C">
      <w:pPr>
        <w:pStyle w:val="Legenda"/>
        <w:keepNext/>
        <w:spacing w:before="240"/>
        <w:ind w:firstLine="0"/>
        <w:jc w:val="left"/>
        <w:rPr>
          <w:color w:val="000000"/>
          <w:sz w:val="22"/>
          <w:szCs w:val="22"/>
        </w:rPr>
      </w:pPr>
      <w:r w:rsidRPr="00A00B9B">
        <w:rPr>
          <w:color w:val="000000"/>
          <w:sz w:val="22"/>
          <w:szCs w:val="22"/>
        </w:rPr>
        <w:t xml:space="preserve">Tab. </w:t>
      </w:r>
      <w:r w:rsidRPr="00A00B9B">
        <w:rPr>
          <w:color w:val="000000"/>
          <w:sz w:val="22"/>
          <w:szCs w:val="22"/>
        </w:rPr>
        <w:fldChar w:fldCharType="begin"/>
      </w:r>
      <w:r w:rsidRPr="00A00B9B">
        <w:rPr>
          <w:color w:val="000000"/>
          <w:sz w:val="22"/>
          <w:szCs w:val="22"/>
        </w:rPr>
        <w:instrText xml:space="preserve"> SEQ Tab. \* ARABIC </w:instrText>
      </w:r>
      <w:r w:rsidRPr="00A00B9B">
        <w:rPr>
          <w:color w:val="000000"/>
          <w:sz w:val="22"/>
          <w:szCs w:val="22"/>
        </w:rPr>
        <w:fldChar w:fldCharType="separate"/>
      </w:r>
      <w:r w:rsidR="004605BC">
        <w:rPr>
          <w:noProof/>
          <w:color w:val="000000"/>
          <w:sz w:val="22"/>
          <w:szCs w:val="22"/>
        </w:rPr>
        <w:t>8</w:t>
      </w:r>
      <w:r w:rsidRPr="00A00B9B">
        <w:rPr>
          <w:color w:val="000000"/>
          <w:sz w:val="22"/>
          <w:szCs w:val="22"/>
        </w:rPr>
        <w:fldChar w:fldCharType="end"/>
      </w:r>
      <w:r w:rsidRPr="00A00B9B">
        <w:rPr>
          <w:color w:val="000000"/>
          <w:sz w:val="22"/>
          <w:szCs w:val="22"/>
        </w:rPr>
        <w:t>.</w:t>
      </w:r>
      <w:r w:rsidR="00A75564" w:rsidRPr="00A00B9B">
        <w:rPr>
          <w:color w:val="000000"/>
          <w:sz w:val="22"/>
          <w:szCs w:val="22"/>
        </w:rPr>
        <w:t xml:space="preserve"> </w:t>
      </w:r>
      <w:r w:rsidR="002C3E0A" w:rsidRPr="002C3E0A">
        <w:rPr>
          <w:color w:val="000000"/>
          <w:sz w:val="22"/>
          <w:szCs w:val="22"/>
        </w:rPr>
        <w:t>Parametry i wskaźniki dotyczące ludności i powierzchni</w:t>
      </w:r>
      <w:r w:rsidR="002C3E0A">
        <w:rPr>
          <w:color w:val="000000"/>
          <w:sz w:val="22"/>
          <w:szCs w:val="22"/>
        </w:rPr>
        <w:t xml:space="preserve"> </w:t>
      </w:r>
      <w:r w:rsidR="00221687">
        <w:rPr>
          <w:color w:val="000000"/>
          <w:sz w:val="22"/>
          <w:szCs w:val="22"/>
        </w:rPr>
        <w:t>Rzeszowa</w:t>
      </w:r>
      <w:r w:rsidR="002C3E0A">
        <w:rPr>
          <w:color w:val="000000"/>
          <w:sz w:val="22"/>
          <w:szCs w:val="22"/>
        </w:rPr>
        <w:br/>
      </w:r>
      <w:r w:rsidR="002C3E0A" w:rsidRPr="002C3E0A">
        <w:rPr>
          <w:color w:val="000000"/>
          <w:sz w:val="22"/>
          <w:szCs w:val="22"/>
        </w:rPr>
        <w:t>na tle kraju i miast w kraju – stan na 31 grudnia 2020 r.</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509"/>
        <w:gridCol w:w="1509"/>
        <w:gridCol w:w="1510"/>
        <w:gridCol w:w="1560"/>
        <w:gridCol w:w="1417"/>
        <w:gridCol w:w="1567"/>
      </w:tblGrid>
      <w:tr w:rsidR="00C04C3C" w:rsidRPr="00A00B9B" w14:paraId="61B35917" w14:textId="77777777" w:rsidTr="00F848F7">
        <w:trPr>
          <w:cantSplit/>
          <w:tblHeader/>
          <w:jc w:val="center"/>
        </w:trPr>
        <w:tc>
          <w:tcPr>
            <w:tcW w:w="4528" w:type="dxa"/>
            <w:gridSpan w:val="3"/>
            <w:shd w:val="clear" w:color="auto" w:fill="FFFF99"/>
            <w:vAlign w:val="center"/>
          </w:tcPr>
          <w:p w14:paraId="6FFCA4D2" w14:textId="03EDA3A0" w:rsidR="00C04C3C" w:rsidRPr="00A00B9B" w:rsidRDefault="00C04C3C" w:rsidP="00B3145C">
            <w:pPr>
              <w:spacing w:before="60" w:after="40" w:line="264" w:lineRule="auto"/>
              <w:ind w:firstLine="0"/>
              <w:jc w:val="center"/>
              <w:rPr>
                <w:rFonts w:cs="Tahoma"/>
                <w:b/>
                <w:sz w:val="20"/>
                <w:szCs w:val="20"/>
              </w:rPr>
            </w:pPr>
            <w:r w:rsidRPr="00A00B9B">
              <w:rPr>
                <w:rFonts w:cs="Tahoma"/>
                <w:b/>
                <w:sz w:val="20"/>
                <w:szCs w:val="20"/>
              </w:rPr>
              <w:t xml:space="preserve">Parametry charakteryzujące </w:t>
            </w:r>
            <w:r w:rsidR="00221687">
              <w:rPr>
                <w:rFonts w:cs="Tahoma"/>
                <w:b/>
                <w:sz w:val="20"/>
                <w:szCs w:val="20"/>
              </w:rPr>
              <w:t>Rzesz</w:t>
            </w:r>
            <w:r w:rsidR="00B3145C">
              <w:rPr>
                <w:rFonts w:cs="Tahoma"/>
                <w:b/>
                <w:sz w:val="20"/>
                <w:szCs w:val="20"/>
              </w:rPr>
              <w:t>ów</w:t>
            </w:r>
          </w:p>
        </w:tc>
        <w:tc>
          <w:tcPr>
            <w:tcW w:w="4544" w:type="dxa"/>
            <w:gridSpan w:val="3"/>
            <w:shd w:val="clear" w:color="auto" w:fill="FFFF99"/>
            <w:vAlign w:val="center"/>
          </w:tcPr>
          <w:p w14:paraId="4A4C06F2" w14:textId="77777777" w:rsidR="00C04C3C" w:rsidRPr="00A00B9B" w:rsidRDefault="00C04C3C" w:rsidP="00B3145C">
            <w:pPr>
              <w:spacing w:before="60" w:after="40" w:line="264" w:lineRule="auto"/>
              <w:ind w:firstLine="0"/>
              <w:jc w:val="center"/>
              <w:rPr>
                <w:rFonts w:cs="Tahoma"/>
                <w:b/>
                <w:sz w:val="20"/>
                <w:szCs w:val="20"/>
              </w:rPr>
            </w:pPr>
            <w:r w:rsidRPr="00A00B9B">
              <w:rPr>
                <w:rFonts w:cs="Tahoma"/>
                <w:b/>
                <w:sz w:val="20"/>
                <w:szCs w:val="20"/>
              </w:rPr>
              <w:t>Wskaźniki</w:t>
            </w:r>
          </w:p>
        </w:tc>
      </w:tr>
      <w:tr w:rsidR="00C04C3C" w:rsidRPr="00A00B9B" w14:paraId="1F94D997" w14:textId="77777777" w:rsidTr="008E04F3">
        <w:trPr>
          <w:cantSplit/>
          <w:tblHeader/>
          <w:jc w:val="center"/>
        </w:trPr>
        <w:tc>
          <w:tcPr>
            <w:tcW w:w="1509" w:type="dxa"/>
            <w:vMerge w:val="restart"/>
            <w:shd w:val="clear" w:color="auto" w:fill="FFFF99"/>
            <w:vAlign w:val="center"/>
          </w:tcPr>
          <w:p w14:paraId="6CBD4CAE" w14:textId="77777777" w:rsidR="00C04C3C" w:rsidRPr="00A00B9B" w:rsidRDefault="00C04C3C" w:rsidP="00B3145C">
            <w:pPr>
              <w:spacing w:before="60" w:after="40" w:line="264" w:lineRule="auto"/>
              <w:ind w:firstLine="0"/>
              <w:jc w:val="center"/>
              <w:rPr>
                <w:rFonts w:cs="Tahoma"/>
                <w:b/>
                <w:sz w:val="20"/>
                <w:szCs w:val="20"/>
              </w:rPr>
            </w:pPr>
            <w:r w:rsidRPr="00A00B9B">
              <w:rPr>
                <w:rFonts w:cs="Tahoma"/>
                <w:b/>
                <w:sz w:val="20"/>
                <w:szCs w:val="20"/>
              </w:rPr>
              <w:t>liczba</w:t>
            </w:r>
            <w:r w:rsidRPr="00A00B9B">
              <w:rPr>
                <w:rFonts w:cs="Tahoma"/>
                <w:b/>
                <w:sz w:val="20"/>
                <w:szCs w:val="20"/>
              </w:rPr>
              <w:br/>
              <w:t>mieszkańców</w:t>
            </w:r>
          </w:p>
          <w:p w14:paraId="386DA5C4" w14:textId="3533974A" w:rsidR="000F452B" w:rsidRPr="00A00B9B" w:rsidRDefault="000F452B" w:rsidP="00B3145C">
            <w:pPr>
              <w:spacing w:before="60" w:after="40" w:line="264" w:lineRule="auto"/>
              <w:ind w:firstLine="0"/>
              <w:jc w:val="center"/>
              <w:rPr>
                <w:rFonts w:cs="Tahoma"/>
                <w:b/>
                <w:sz w:val="20"/>
                <w:szCs w:val="20"/>
              </w:rPr>
            </w:pPr>
            <w:r w:rsidRPr="00A00B9B">
              <w:rPr>
                <w:rFonts w:cs="Tahoma"/>
                <w:b/>
                <w:sz w:val="20"/>
                <w:szCs w:val="20"/>
              </w:rPr>
              <w:t>[tys.]</w:t>
            </w:r>
          </w:p>
        </w:tc>
        <w:tc>
          <w:tcPr>
            <w:tcW w:w="1509" w:type="dxa"/>
            <w:vMerge w:val="restart"/>
            <w:shd w:val="clear" w:color="auto" w:fill="FFFF99"/>
            <w:vAlign w:val="center"/>
          </w:tcPr>
          <w:p w14:paraId="617D24F2" w14:textId="610CB6AF" w:rsidR="00C04C3C" w:rsidRPr="00A00B9B" w:rsidRDefault="00C04C3C" w:rsidP="00B3145C">
            <w:pPr>
              <w:spacing w:before="60" w:after="40" w:line="264" w:lineRule="auto"/>
              <w:ind w:firstLine="0"/>
              <w:jc w:val="center"/>
              <w:rPr>
                <w:rFonts w:cs="Tahoma"/>
                <w:b/>
                <w:sz w:val="20"/>
                <w:szCs w:val="20"/>
              </w:rPr>
            </w:pPr>
            <w:r w:rsidRPr="00A00B9B">
              <w:rPr>
                <w:rFonts w:cs="Tahoma"/>
                <w:b/>
                <w:sz w:val="20"/>
                <w:szCs w:val="20"/>
              </w:rPr>
              <w:t>powierzchnia</w:t>
            </w:r>
            <w:r w:rsidR="00F848F7" w:rsidRPr="00A00B9B">
              <w:rPr>
                <w:rFonts w:cs="Tahoma"/>
                <w:b/>
                <w:sz w:val="20"/>
                <w:szCs w:val="20"/>
              </w:rPr>
              <w:t xml:space="preserve"> </w:t>
            </w:r>
            <w:r w:rsidRPr="00A00B9B">
              <w:rPr>
                <w:rFonts w:cs="Tahoma"/>
                <w:b/>
                <w:sz w:val="20"/>
                <w:szCs w:val="20"/>
              </w:rPr>
              <w:t>[km</w:t>
            </w:r>
            <w:r w:rsidRPr="00A00B9B">
              <w:rPr>
                <w:rFonts w:cs="Tahoma"/>
                <w:b/>
                <w:sz w:val="20"/>
                <w:szCs w:val="20"/>
                <w:vertAlign w:val="superscript"/>
              </w:rPr>
              <w:t>2</w:t>
            </w:r>
            <w:r w:rsidRPr="00A00B9B">
              <w:rPr>
                <w:rFonts w:cs="Tahoma"/>
                <w:b/>
                <w:sz w:val="20"/>
                <w:szCs w:val="20"/>
              </w:rPr>
              <w:t>]</w:t>
            </w:r>
          </w:p>
        </w:tc>
        <w:tc>
          <w:tcPr>
            <w:tcW w:w="1510" w:type="dxa"/>
            <w:vMerge w:val="restart"/>
            <w:shd w:val="clear" w:color="auto" w:fill="FFFF99"/>
            <w:vAlign w:val="center"/>
          </w:tcPr>
          <w:p w14:paraId="18FF4277" w14:textId="77777777" w:rsidR="00C04C3C" w:rsidRPr="00A00B9B" w:rsidRDefault="00C04C3C" w:rsidP="00B3145C">
            <w:pPr>
              <w:spacing w:before="60" w:after="40" w:line="264" w:lineRule="auto"/>
              <w:ind w:firstLine="0"/>
              <w:jc w:val="center"/>
              <w:rPr>
                <w:rFonts w:cs="Tahoma"/>
                <w:b/>
                <w:sz w:val="20"/>
                <w:szCs w:val="20"/>
              </w:rPr>
            </w:pPr>
            <w:r w:rsidRPr="00A00B9B">
              <w:rPr>
                <w:rFonts w:cs="Tahoma"/>
                <w:b/>
                <w:sz w:val="20"/>
                <w:szCs w:val="20"/>
              </w:rPr>
              <w:t>gęstość</w:t>
            </w:r>
            <w:r w:rsidRPr="00A00B9B">
              <w:rPr>
                <w:rFonts w:cs="Tahoma"/>
                <w:b/>
                <w:sz w:val="20"/>
                <w:szCs w:val="20"/>
              </w:rPr>
              <w:br/>
              <w:t>zaludnienia [osób/km</w:t>
            </w:r>
            <w:r w:rsidRPr="00A00B9B">
              <w:rPr>
                <w:rFonts w:cs="Tahoma"/>
                <w:b/>
                <w:sz w:val="20"/>
                <w:szCs w:val="20"/>
                <w:vertAlign w:val="superscript"/>
              </w:rPr>
              <w:t>2</w:t>
            </w:r>
            <w:r w:rsidRPr="00A00B9B">
              <w:rPr>
                <w:rFonts w:cs="Tahoma"/>
                <w:b/>
                <w:sz w:val="20"/>
                <w:szCs w:val="20"/>
              </w:rPr>
              <w:t>]</w:t>
            </w:r>
          </w:p>
        </w:tc>
        <w:tc>
          <w:tcPr>
            <w:tcW w:w="2977" w:type="dxa"/>
            <w:gridSpan w:val="2"/>
            <w:shd w:val="clear" w:color="auto" w:fill="FFFF99"/>
            <w:vAlign w:val="center"/>
          </w:tcPr>
          <w:p w14:paraId="13A58DF3" w14:textId="77777777" w:rsidR="00C04C3C" w:rsidRPr="00A00B9B" w:rsidRDefault="00C04C3C" w:rsidP="00B3145C">
            <w:pPr>
              <w:spacing w:before="60" w:after="40" w:line="264" w:lineRule="auto"/>
              <w:ind w:firstLine="0"/>
              <w:jc w:val="center"/>
              <w:rPr>
                <w:rFonts w:cs="Tahoma"/>
                <w:b/>
                <w:sz w:val="20"/>
                <w:szCs w:val="20"/>
              </w:rPr>
            </w:pPr>
            <w:r w:rsidRPr="00A00B9B">
              <w:rPr>
                <w:rFonts w:cs="Tahoma"/>
                <w:b/>
                <w:sz w:val="20"/>
                <w:szCs w:val="20"/>
              </w:rPr>
              <w:t>krotności w stosunku do</w:t>
            </w:r>
          </w:p>
        </w:tc>
        <w:tc>
          <w:tcPr>
            <w:tcW w:w="1567" w:type="dxa"/>
            <w:vMerge w:val="restart"/>
            <w:shd w:val="clear" w:color="auto" w:fill="FFFF99"/>
            <w:vAlign w:val="center"/>
          </w:tcPr>
          <w:p w14:paraId="51435807" w14:textId="20DB7608" w:rsidR="00C04C3C" w:rsidRPr="00A00B9B" w:rsidRDefault="00C04C3C" w:rsidP="00B3145C">
            <w:pPr>
              <w:spacing w:before="60" w:after="40" w:line="264" w:lineRule="auto"/>
              <w:ind w:firstLine="0"/>
              <w:jc w:val="center"/>
              <w:rPr>
                <w:rFonts w:cs="Tahoma"/>
                <w:b/>
                <w:sz w:val="20"/>
                <w:szCs w:val="20"/>
              </w:rPr>
            </w:pPr>
            <w:r w:rsidRPr="00A00B9B">
              <w:rPr>
                <w:rFonts w:cs="Tahoma"/>
                <w:b/>
                <w:sz w:val="20"/>
                <w:szCs w:val="20"/>
              </w:rPr>
              <w:t>wzrostu</w:t>
            </w:r>
            <w:r w:rsidR="00730090" w:rsidRPr="00A00B9B">
              <w:rPr>
                <w:rFonts w:cs="Tahoma"/>
                <w:b/>
                <w:sz w:val="20"/>
                <w:szCs w:val="20"/>
              </w:rPr>
              <w:br/>
            </w:r>
            <w:r w:rsidRPr="00A00B9B">
              <w:rPr>
                <w:rFonts w:cs="Tahoma"/>
                <w:b/>
                <w:sz w:val="20"/>
                <w:szCs w:val="20"/>
              </w:rPr>
              <w:t>wobec miast</w:t>
            </w:r>
            <w:r w:rsidRPr="00A00B9B">
              <w:rPr>
                <w:rFonts w:cs="Tahoma"/>
                <w:b/>
                <w:sz w:val="20"/>
                <w:szCs w:val="20"/>
              </w:rPr>
              <w:br/>
              <w:t>w Polsce</w:t>
            </w:r>
            <w:r w:rsidRPr="00A00B9B">
              <w:rPr>
                <w:rFonts w:cs="Tahoma"/>
                <w:b/>
                <w:sz w:val="20"/>
                <w:szCs w:val="20"/>
              </w:rPr>
              <w:br/>
              <w:t>[%]</w:t>
            </w:r>
          </w:p>
        </w:tc>
      </w:tr>
      <w:tr w:rsidR="008E04F3" w:rsidRPr="00A00B9B" w14:paraId="00DB6E5F" w14:textId="77777777" w:rsidTr="008E04F3">
        <w:trPr>
          <w:cantSplit/>
          <w:tblHeader/>
          <w:jc w:val="center"/>
        </w:trPr>
        <w:tc>
          <w:tcPr>
            <w:tcW w:w="1509" w:type="dxa"/>
            <w:vMerge/>
            <w:tcBorders>
              <w:bottom w:val="single" w:sz="6" w:space="0" w:color="auto"/>
            </w:tcBorders>
            <w:shd w:val="clear" w:color="auto" w:fill="FFFF99"/>
            <w:vAlign w:val="center"/>
          </w:tcPr>
          <w:p w14:paraId="2C6C2F8D" w14:textId="77777777" w:rsidR="008E04F3" w:rsidRPr="00A00B9B" w:rsidRDefault="008E04F3" w:rsidP="00B3145C">
            <w:pPr>
              <w:spacing w:before="60" w:after="40" w:line="264" w:lineRule="auto"/>
              <w:ind w:firstLine="0"/>
              <w:jc w:val="center"/>
              <w:rPr>
                <w:rFonts w:cs="Tahoma"/>
                <w:b/>
                <w:sz w:val="20"/>
                <w:szCs w:val="20"/>
              </w:rPr>
            </w:pPr>
          </w:p>
        </w:tc>
        <w:tc>
          <w:tcPr>
            <w:tcW w:w="1509" w:type="dxa"/>
            <w:vMerge/>
            <w:tcBorders>
              <w:bottom w:val="single" w:sz="6" w:space="0" w:color="auto"/>
            </w:tcBorders>
            <w:shd w:val="clear" w:color="auto" w:fill="FFFF99"/>
            <w:vAlign w:val="center"/>
          </w:tcPr>
          <w:p w14:paraId="4D6908D1" w14:textId="77777777" w:rsidR="008E04F3" w:rsidRPr="00A00B9B" w:rsidRDefault="008E04F3" w:rsidP="00B3145C">
            <w:pPr>
              <w:spacing w:before="60" w:after="40" w:line="264" w:lineRule="auto"/>
              <w:ind w:firstLine="0"/>
              <w:jc w:val="center"/>
              <w:rPr>
                <w:rFonts w:cs="Tahoma"/>
                <w:b/>
                <w:sz w:val="20"/>
                <w:szCs w:val="20"/>
              </w:rPr>
            </w:pPr>
          </w:p>
        </w:tc>
        <w:tc>
          <w:tcPr>
            <w:tcW w:w="1510" w:type="dxa"/>
            <w:vMerge/>
            <w:tcBorders>
              <w:bottom w:val="single" w:sz="6" w:space="0" w:color="auto"/>
            </w:tcBorders>
            <w:shd w:val="clear" w:color="auto" w:fill="FFFF99"/>
            <w:vAlign w:val="center"/>
          </w:tcPr>
          <w:p w14:paraId="51841689" w14:textId="77777777" w:rsidR="008E04F3" w:rsidRPr="00A00B9B" w:rsidRDefault="008E04F3" w:rsidP="00B3145C">
            <w:pPr>
              <w:spacing w:before="60" w:after="40" w:line="264" w:lineRule="auto"/>
              <w:ind w:firstLine="0"/>
              <w:jc w:val="center"/>
              <w:rPr>
                <w:rFonts w:cs="Tahoma"/>
                <w:b/>
                <w:sz w:val="20"/>
                <w:szCs w:val="20"/>
              </w:rPr>
            </w:pPr>
          </w:p>
        </w:tc>
        <w:tc>
          <w:tcPr>
            <w:tcW w:w="1560" w:type="dxa"/>
            <w:tcBorders>
              <w:bottom w:val="single" w:sz="6" w:space="0" w:color="auto"/>
            </w:tcBorders>
            <w:shd w:val="clear" w:color="auto" w:fill="FFFF99"/>
            <w:vAlign w:val="center"/>
          </w:tcPr>
          <w:p w14:paraId="53617317" w14:textId="47986A8A" w:rsidR="008E04F3" w:rsidRPr="00A00B9B" w:rsidRDefault="008E04F3" w:rsidP="00B3145C">
            <w:pPr>
              <w:spacing w:before="60" w:after="40" w:line="264" w:lineRule="auto"/>
              <w:ind w:firstLine="0"/>
              <w:jc w:val="center"/>
              <w:rPr>
                <w:rFonts w:cs="Tahoma"/>
                <w:b/>
                <w:sz w:val="20"/>
                <w:szCs w:val="20"/>
              </w:rPr>
            </w:pPr>
            <w:r w:rsidRPr="00A00B9B">
              <w:rPr>
                <w:rFonts w:cs="Tahoma"/>
                <w:b/>
                <w:sz w:val="20"/>
                <w:szCs w:val="20"/>
              </w:rPr>
              <w:t>miast</w:t>
            </w:r>
            <w:r w:rsidRPr="00A00B9B">
              <w:rPr>
                <w:rFonts w:cs="Tahoma"/>
                <w:b/>
                <w:sz w:val="20"/>
                <w:szCs w:val="20"/>
              </w:rPr>
              <w:br/>
              <w:t>w Polsce</w:t>
            </w:r>
          </w:p>
        </w:tc>
        <w:tc>
          <w:tcPr>
            <w:tcW w:w="1417" w:type="dxa"/>
            <w:tcBorders>
              <w:bottom w:val="single" w:sz="6" w:space="0" w:color="auto"/>
            </w:tcBorders>
            <w:shd w:val="clear" w:color="auto" w:fill="FFFF99"/>
            <w:vAlign w:val="center"/>
          </w:tcPr>
          <w:p w14:paraId="5C8913B8" w14:textId="3D3BFCEF" w:rsidR="008E04F3" w:rsidRPr="00A00B9B" w:rsidRDefault="008E04F3" w:rsidP="00B3145C">
            <w:pPr>
              <w:spacing w:before="60" w:after="40" w:line="264" w:lineRule="auto"/>
              <w:ind w:firstLine="0"/>
              <w:jc w:val="center"/>
              <w:rPr>
                <w:rFonts w:cs="Tahoma"/>
                <w:b/>
                <w:sz w:val="20"/>
                <w:szCs w:val="20"/>
              </w:rPr>
            </w:pPr>
            <w:r w:rsidRPr="00A00B9B">
              <w:rPr>
                <w:rFonts w:cs="Tahoma"/>
                <w:b/>
                <w:sz w:val="20"/>
                <w:szCs w:val="20"/>
              </w:rPr>
              <w:t>Polski</w:t>
            </w:r>
          </w:p>
        </w:tc>
        <w:tc>
          <w:tcPr>
            <w:tcW w:w="1567" w:type="dxa"/>
            <w:vMerge/>
            <w:tcBorders>
              <w:bottom w:val="single" w:sz="6" w:space="0" w:color="auto"/>
            </w:tcBorders>
            <w:shd w:val="clear" w:color="auto" w:fill="FFFF99"/>
            <w:vAlign w:val="center"/>
          </w:tcPr>
          <w:p w14:paraId="11C655EF" w14:textId="77777777" w:rsidR="008E04F3" w:rsidRPr="00A00B9B" w:rsidRDefault="008E04F3" w:rsidP="00B3145C">
            <w:pPr>
              <w:spacing w:before="60" w:after="40" w:line="264" w:lineRule="auto"/>
              <w:ind w:firstLine="0"/>
              <w:jc w:val="center"/>
              <w:rPr>
                <w:rFonts w:cs="Tahoma"/>
                <w:b/>
                <w:sz w:val="20"/>
                <w:szCs w:val="20"/>
              </w:rPr>
            </w:pPr>
          </w:p>
        </w:tc>
      </w:tr>
      <w:tr w:rsidR="008E04F3" w:rsidRPr="00A00B9B" w14:paraId="61146F52" w14:textId="77777777" w:rsidTr="008E04F3">
        <w:trPr>
          <w:cantSplit/>
          <w:jc w:val="center"/>
        </w:trPr>
        <w:tc>
          <w:tcPr>
            <w:tcW w:w="1509" w:type="dxa"/>
            <w:tcBorders>
              <w:top w:val="single" w:sz="6" w:space="0" w:color="auto"/>
              <w:left w:val="single" w:sz="4" w:space="0" w:color="auto"/>
              <w:bottom w:val="single" w:sz="6" w:space="0" w:color="auto"/>
              <w:right w:val="single" w:sz="4" w:space="0" w:color="auto"/>
            </w:tcBorders>
            <w:shd w:val="clear" w:color="auto" w:fill="auto"/>
            <w:vAlign w:val="center"/>
          </w:tcPr>
          <w:p w14:paraId="6B23522D" w14:textId="0D27B896" w:rsidR="008E04F3" w:rsidRPr="00A00B9B" w:rsidRDefault="00B3145C" w:rsidP="00B3145C">
            <w:pPr>
              <w:spacing w:before="60" w:after="40" w:line="264" w:lineRule="auto"/>
              <w:ind w:firstLine="0"/>
              <w:jc w:val="right"/>
              <w:rPr>
                <w:rFonts w:cs="Tahoma"/>
                <w:sz w:val="20"/>
                <w:szCs w:val="20"/>
              </w:rPr>
            </w:pPr>
            <w:r>
              <w:rPr>
                <w:rFonts w:cs="Tahoma"/>
                <w:sz w:val="20"/>
                <w:szCs w:val="20"/>
              </w:rPr>
              <w:t>196,6</w:t>
            </w:r>
          </w:p>
        </w:tc>
        <w:tc>
          <w:tcPr>
            <w:tcW w:w="1509" w:type="dxa"/>
            <w:tcBorders>
              <w:top w:val="single" w:sz="6" w:space="0" w:color="auto"/>
              <w:left w:val="single" w:sz="4" w:space="0" w:color="auto"/>
              <w:bottom w:val="single" w:sz="6" w:space="0" w:color="auto"/>
              <w:right w:val="single" w:sz="4" w:space="0" w:color="auto"/>
            </w:tcBorders>
            <w:shd w:val="clear" w:color="auto" w:fill="auto"/>
            <w:vAlign w:val="center"/>
          </w:tcPr>
          <w:p w14:paraId="4514754B" w14:textId="1F6C843B" w:rsidR="008E04F3" w:rsidRPr="00A00B9B" w:rsidRDefault="00B3145C" w:rsidP="00B3145C">
            <w:pPr>
              <w:spacing w:before="60" w:after="40" w:line="264" w:lineRule="auto"/>
              <w:ind w:firstLine="0"/>
              <w:jc w:val="right"/>
              <w:rPr>
                <w:rFonts w:cs="Tahoma"/>
                <w:sz w:val="20"/>
                <w:szCs w:val="20"/>
              </w:rPr>
            </w:pPr>
            <w:r>
              <w:rPr>
                <w:rFonts w:cs="Tahoma"/>
                <w:sz w:val="20"/>
                <w:szCs w:val="20"/>
              </w:rPr>
              <w:t>43,24</w:t>
            </w:r>
          </w:p>
        </w:tc>
        <w:tc>
          <w:tcPr>
            <w:tcW w:w="1510" w:type="dxa"/>
            <w:tcBorders>
              <w:top w:val="single" w:sz="6" w:space="0" w:color="auto"/>
              <w:left w:val="single" w:sz="4" w:space="0" w:color="auto"/>
              <w:bottom w:val="single" w:sz="6" w:space="0" w:color="auto"/>
              <w:right w:val="single" w:sz="4" w:space="0" w:color="auto"/>
            </w:tcBorders>
            <w:shd w:val="clear" w:color="auto" w:fill="auto"/>
            <w:vAlign w:val="center"/>
          </w:tcPr>
          <w:p w14:paraId="3CE49C48" w14:textId="6F50C6D3" w:rsidR="008E04F3" w:rsidRPr="00A00B9B" w:rsidRDefault="008E04F3" w:rsidP="00B3145C">
            <w:pPr>
              <w:spacing w:before="60" w:after="40" w:line="264" w:lineRule="auto"/>
              <w:ind w:firstLine="0"/>
              <w:jc w:val="right"/>
              <w:rPr>
                <w:rFonts w:cs="Tahoma"/>
                <w:sz w:val="20"/>
                <w:szCs w:val="20"/>
              </w:rPr>
            </w:pPr>
            <w:r w:rsidRPr="00A00B9B">
              <w:rPr>
                <w:rFonts w:cs="Tahoma"/>
                <w:sz w:val="20"/>
                <w:szCs w:val="20"/>
              </w:rPr>
              <w:t>1 </w:t>
            </w:r>
            <w:r w:rsidR="00B3145C">
              <w:rPr>
                <w:rFonts w:cs="Tahoma"/>
                <w:sz w:val="20"/>
                <w:szCs w:val="20"/>
              </w:rPr>
              <w:t>553</w:t>
            </w:r>
          </w:p>
        </w:tc>
        <w:tc>
          <w:tcPr>
            <w:tcW w:w="1560" w:type="dxa"/>
            <w:tcBorders>
              <w:top w:val="single" w:sz="6" w:space="0" w:color="auto"/>
              <w:left w:val="single" w:sz="4" w:space="0" w:color="auto"/>
              <w:bottom w:val="single" w:sz="6" w:space="0" w:color="auto"/>
              <w:right w:val="single" w:sz="4" w:space="0" w:color="auto"/>
            </w:tcBorders>
            <w:shd w:val="clear" w:color="auto" w:fill="auto"/>
            <w:vAlign w:val="center"/>
          </w:tcPr>
          <w:p w14:paraId="294C4E6C" w14:textId="59FDDB7F" w:rsidR="008E04F3" w:rsidRPr="00A00B9B" w:rsidRDefault="008E04F3" w:rsidP="00B3145C">
            <w:pPr>
              <w:spacing w:before="60" w:after="40" w:line="264" w:lineRule="auto"/>
              <w:ind w:firstLine="0"/>
              <w:jc w:val="right"/>
              <w:rPr>
                <w:rFonts w:cs="Tahoma"/>
                <w:sz w:val="20"/>
                <w:szCs w:val="20"/>
              </w:rPr>
            </w:pPr>
            <w:r w:rsidRPr="00A00B9B">
              <w:rPr>
                <w:rFonts w:cs="Tahoma"/>
                <w:sz w:val="20"/>
                <w:szCs w:val="20"/>
              </w:rPr>
              <w:t>1,</w:t>
            </w:r>
            <w:r w:rsidR="00B3145C">
              <w:rPr>
                <w:rFonts w:cs="Tahoma"/>
                <w:sz w:val="20"/>
                <w:szCs w:val="20"/>
              </w:rPr>
              <w:t>55</w:t>
            </w:r>
          </w:p>
        </w:tc>
        <w:tc>
          <w:tcPr>
            <w:tcW w:w="1417" w:type="dxa"/>
            <w:tcBorders>
              <w:top w:val="single" w:sz="6" w:space="0" w:color="auto"/>
              <w:left w:val="single" w:sz="4" w:space="0" w:color="auto"/>
              <w:bottom w:val="single" w:sz="6" w:space="0" w:color="auto"/>
              <w:right w:val="single" w:sz="4" w:space="0" w:color="auto"/>
            </w:tcBorders>
            <w:shd w:val="clear" w:color="auto" w:fill="auto"/>
            <w:vAlign w:val="center"/>
          </w:tcPr>
          <w:p w14:paraId="6F695E06" w14:textId="2C8E3191" w:rsidR="008E04F3" w:rsidRPr="00A00B9B" w:rsidRDefault="00B3145C" w:rsidP="00B3145C">
            <w:pPr>
              <w:spacing w:before="60" w:after="40" w:line="264" w:lineRule="auto"/>
              <w:ind w:firstLine="0"/>
              <w:jc w:val="right"/>
              <w:rPr>
                <w:rFonts w:cs="Tahoma"/>
                <w:sz w:val="20"/>
                <w:szCs w:val="20"/>
              </w:rPr>
            </w:pPr>
            <w:r>
              <w:rPr>
                <w:rFonts w:cs="Tahoma"/>
                <w:sz w:val="20"/>
                <w:szCs w:val="20"/>
              </w:rPr>
              <w:t>12,9</w:t>
            </w:r>
          </w:p>
        </w:tc>
        <w:tc>
          <w:tcPr>
            <w:tcW w:w="1567" w:type="dxa"/>
            <w:tcBorders>
              <w:top w:val="single" w:sz="6" w:space="0" w:color="auto"/>
              <w:left w:val="single" w:sz="4" w:space="0" w:color="auto"/>
              <w:bottom w:val="single" w:sz="6" w:space="0" w:color="auto"/>
              <w:right w:val="single" w:sz="4" w:space="0" w:color="auto"/>
            </w:tcBorders>
            <w:shd w:val="clear" w:color="auto" w:fill="auto"/>
            <w:vAlign w:val="center"/>
          </w:tcPr>
          <w:p w14:paraId="3848EF63" w14:textId="1B7FED64" w:rsidR="008E04F3" w:rsidRPr="00A00B9B" w:rsidRDefault="00B3145C" w:rsidP="00B3145C">
            <w:pPr>
              <w:spacing w:before="60" w:after="40" w:line="264" w:lineRule="auto"/>
              <w:ind w:firstLine="0"/>
              <w:jc w:val="right"/>
              <w:rPr>
                <w:rFonts w:cs="Tahoma"/>
                <w:sz w:val="20"/>
                <w:szCs w:val="20"/>
              </w:rPr>
            </w:pPr>
            <w:r>
              <w:rPr>
                <w:rFonts w:cs="Tahoma"/>
                <w:sz w:val="20"/>
                <w:szCs w:val="20"/>
              </w:rPr>
              <w:t>55</w:t>
            </w:r>
          </w:p>
        </w:tc>
      </w:tr>
    </w:tbl>
    <w:p w14:paraId="41347E90" w14:textId="77777777" w:rsidR="00C04C3C" w:rsidRPr="00A00B9B" w:rsidRDefault="00C04C3C" w:rsidP="00B3145C">
      <w:pPr>
        <w:spacing w:before="120" w:after="240"/>
        <w:ind w:firstLine="0"/>
        <w:rPr>
          <w:rFonts w:cs="Tahoma"/>
          <w:sz w:val="20"/>
          <w:szCs w:val="20"/>
        </w:rPr>
      </w:pPr>
      <w:r w:rsidRPr="00A00B9B">
        <w:rPr>
          <w:rFonts w:cs="Tahoma"/>
          <w:sz w:val="20"/>
          <w:szCs w:val="20"/>
        </w:rPr>
        <w:t>Źródło: dane Banku Danych Lokalnych GUS.</w:t>
      </w:r>
    </w:p>
    <w:p w14:paraId="1584FA37" w14:textId="073D520C" w:rsidR="00F848F7" w:rsidRPr="00A00B9B" w:rsidRDefault="003D6230" w:rsidP="00B3145C">
      <w:pPr>
        <w:rPr>
          <w:rFonts w:cs="Tahoma"/>
          <w:szCs w:val="22"/>
        </w:rPr>
      </w:pPr>
      <w:r w:rsidRPr="00A00B9B">
        <w:rPr>
          <w:rFonts w:cs="Tahoma"/>
          <w:szCs w:val="22"/>
        </w:rPr>
        <w:t>Dane zaprezentowane w tabeli 8</w:t>
      </w:r>
      <w:r w:rsidR="00F848F7" w:rsidRPr="00A00B9B">
        <w:rPr>
          <w:rFonts w:cs="Tahoma"/>
          <w:szCs w:val="22"/>
        </w:rPr>
        <w:t xml:space="preserve"> wskazują, że gęstość zaludnienia </w:t>
      </w:r>
      <w:r w:rsidR="00F1258F">
        <w:rPr>
          <w:rFonts w:cs="Tahoma"/>
          <w:szCs w:val="22"/>
        </w:rPr>
        <w:t>Rzeszowie</w:t>
      </w:r>
      <w:r w:rsidR="00AE0C28">
        <w:rPr>
          <w:rFonts w:cs="Tahoma"/>
          <w:szCs w:val="22"/>
        </w:rPr>
        <w:t xml:space="preserve"> </w:t>
      </w:r>
      <w:r w:rsidR="00F848F7" w:rsidRPr="00A00B9B">
        <w:rPr>
          <w:rFonts w:cs="Tahoma"/>
          <w:szCs w:val="22"/>
        </w:rPr>
        <w:t>jest znacznie wyższa niż przeciętna dla kraju (</w:t>
      </w:r>
      <w:r w:rsidR="00B3145C">
        <w:rPr>
          <w:rFonts w:cs="Tahoma"/>
          <w:szCs w:val="22"/>
        </w:rPr>
        <w:t>niemal</w:t>
      </w:r>
      <w:r w:rsidR="00927FC7" w:rsidRPr="00A00B9B">
        <w:rPr>
          <w:rFonts w:cs="Tahoma"/>
          <w:szCs w:val="22"/>
        </w:rPr>
        <w:t xml:space="preserve"> </w:t>
      </w:r>
      <w:r w:rsidR="00B3145C">
        <w:rPr>
          <w:rFonts w:cs="Tahoma"/>
          <w:szCs w:val="22"/>
        </w:rPr>
        <w:t>13</w:t>
      </w:r>
      <w:r w:rsidR="00F848F7" w:rsidRPr="00A00B9B">
        <w:rPr>
          <w:rFonts w:cs="Tahoma"/>
          <w:szCs w:val="22"/>
        </w:rPr>
        <w:t>-krotnie)</w:t>
      </w:r>
      <w:r w:rsidR="00B3145C">
        <w:rPr>
          <w:rFonts w:cs="Tahoma"/>
          <w:szCs w:val="22"/>
        </w:rPr>
        <w:t>, a także o ponad połowę wyższa w porównaniu</w:t>
      </w:r>
      <w:r w:rsidR="00F848F7" w:rsidRPr="00A00B9B">
        <w:rPr>
          <w:rFonts w:cs="Tahoma"/>
          <w:szCs w:val="22"/>
        </w:rPr>
        <w:t xml:space="preserve"> </w:t>
      </w:r>
      <w:r w:rsidR="00DE4A0F">
        <w:rPr>
          <w:rFonts w:cs="Tahoma"/>
          <w:szCs w:val="22"/>
        </w:rPr>
        <w:t xml:space="preserve">do </w:t>
      </w:r>
      <w:r w:rsidR="00F848F7" w:rsidRPr="00A00B9B">
        <w:rPr>
          <w:rFonts w:cs="Tahoma"/>
          <w:szCs w:val="22"/>
        </w:rPr>
        <w:t>miast w kraju, a</w:t>
      </w:r>
      <w:r w:rsidR="00CF5103" w:rsidRPr="00A00B9B">
        <w:rPr>
          <w:rFonts w:cs="Tahoma"/>
          <w:szCs w:val="22"/>
        </w:rPr>
        <w:t> </w:t>
      </w:r>
      <w:r w:rsidR="00F848F7" w:rsidRPr="00A00B9B">
        <w:rPr>
          <w:rFonts w:cs="Tahoma"/>
          <w:szCs w:val="22"/>
        </w:rPr>
        <w:t xml:space="preserve">więc liczba mieszkańców narażonych na </w:t>
      </w:r>
      <w:r w:rsidR="00351F0A" w:rsidRPr="00A00B9B">
        <w:rPr>
          <w:rFonts w:cs="Tahoma"/>
          <w:szCs w:val="22"/>
        </w:rPr>
        <w:t xml:space="preserve">tzw. </w:t>
      </w:r>
      <w:r w:rsidR="00F848F7" w:rsidRPr="00A00B9B">
        <w:rPr>
          <w:rFonts w:cs="Tahoma"/>
          <w:szCs w:val="22"/>
        </w:rPr>
        <w:t>niską emisję</w:t>
      </w:r>
      <w:r w:rsidR="00351F0A" w:rsidRPr="00A00B9B">
        <w:rPr>
          <w:rFonts w:cs="Tahoma"/>
          <w:szCs w:val="22"/>
        </w:rPr>
        <w:t>, w tym pochodzącą z</w:t>
      </w:r>
      <w:r w:rsidR="00F848F7" w:rsidRPr="00A00B9B">
        <w:rPr>
          <w:rFonts w:cs="Tahoma"/>
          <w:szCs w:val="22"/>
        </w:rPr>
        <w:t xml:space="preserve"> zanieczyszczeń ze środków transport</w:t>
      </w:r>
      <w:r w:rsidR="008E04F3" w:rsidRPr="00A00B9B">
        <w:rPr>
          <w:rFonts w:cs="Tahoma"/>
          <w:szCs w:val="22"/>
        </w:rPr>
        <w:t>u, jest także w </w:t>
      </w:r>
      <w:r w:rsidR="00F1258F">
        <w:rPr>
          <w:rFonts w:cs="Tahoma"/>
          <w:szCs w:val="22"/>
        </w:rPr>
        <w:t>Rzeszowie</w:t>
      </w:r>
      <w:r w:rsidR="00F848F7" w:rsidRPr="00A00B9B">
        <w:rPr>
          <w:rFonts w:cs="Tahoma"/>
          <w:szCs w:val="22"/>
        </w:rPr>
        <w:t xml:space="preserve"> proporcjonalnie większa</w:t>
      </w:r>
      <w:r w:rsidR="00DE4A0F">
        <w:rPr>
          <w:rFonts w:cs="Tahoma"/>
          <w:szCs w:val="22"/>
        </w:rPr>
        <w:t xml:space="preserve"> </w:t>
      </w:r>
      <w:bookmarkStart w:id="69" w:name="_Hlk85145418"/>
      <w:r w:rsidR="00DE4A0F">
        <w:rPr>
          <w:rFonts w:cs="Tahoma"/>
          <w:szCs w:val="22"/>
        </w:rPr>
        <w:t>niż przeciętnie w Polsce</w:t>
      </w:r>
      <w:r w:rsidR="00F848F7" w:rsidRPr="00A00B9B">
        <w:rPr>
          <w:rFonts w:cs="Tahoma"/>
          <w:szCs w:val="22"/>
        </w:rPr>
        <w:t>.</w:t>
      </w:r>
    </w:p>
    <w:bookmarkEnd w:id="69"/>
    <w:p w14:paraId="297FD24B" w14:textId="77777777" w:rsidR="00F848F7" w:rsidRPr="00A00B9B" w:rsidRDefault="00F848F7" w:rsidP="00B3145C">
      <w:pPr>
        <w:rPr>
          <w:rFonts w:cs="Tahoma"/>
          <w:szCs w:val="22"/>
        </w:rPr>
      </w:pPr>
      <w:r w:rsidRPr="00A00B9B">
        <w:rPr>
          <w:rFonts w:cs="Tahoma"/>
          <w:szCs w:val="22"/>
        </w:rPr>
        <w:t>Emisja zanieczyszczeń w obszarach o tak dużej gęstości zaludnienia wpływa więc w większym stopniu na stan zdrowia mieszkańców, niż przeciętna emisja zanieczyszczeń z oddalonych od ośrodków miejskich dużych elektrowni, nawet jeśli ich paliwem jest węgiel brunatny lub kamienny.</w:t>
      </w:r>
    </w:p>
    <w:p w14:paraId="35A5E03D" w14:textId="7FE9BCDE" w:rsidR="00DD7CC1" w:rsidRPr="00A00B9B" w:rsidRDefault="00D150C0" w:rsidP="00B3145C">
      <w:pPr>
        <w:pStyle w:val="Nagwek2"/>
        <w:spacing w:before="120"/>
        <w:ind w:left="567"/>
        <w:jc w:val="center"/>
      </w:pPr>
      <w:bookmarkStart w:id="70" w:name="_Toc528236524"/>
      <w:bookmarkStart w:id="71" w:name="_Toc89417675"/>
      <w:r w:rsidRPr="00A00B9B">
        <w:t>Wybór linii do obsługi taborem zeroemisyjnym</w:t>
      </w:r>
      <w:bookmarkEnd w:id="70"/>
      <w:r w:rsidR="006D0AB6">
        <w:br/>
      </w:r>
      <w:r w:rsidR="004527FE">
        <w:t>oraz optymalnej pojemności baterii autobusów</w:t>
      </w:r>
      <w:bookmarkEnd w:id="71"/>
    </w:p>
    <w:p w14:paraId="6951BF07" w14:textId="05053104" w:rsidR="007A7415" w:rsidRPr="00A00B9B" w:rsidRDefault="007A7415" w:rsidP="00B3145C">
      <w:bookmarkStart w:id="72" w:name="_Hlk529903383"/>
      <w:r w:rsidRPr="00A00B9B">
        <w:t>W ramach programu</w:t>
      </w:r>
      <w:r w:rsidR="0065046A">
        <w:t xml:space="preserve"> s</w:t>
      </w:r>
      <w:r w:rsidR="0065046A" w:rsidRPr="0065046A">
        <w:t>tymulowani</w:t>
      </w:r>
      <w:r w:rsidR="0065046A">
        <w:t>a</w:t>
      </w:r>
      <w:r w:rsidR="0065046A" w:rsidRPr="0065046A">
        <w:t xml:space="preserve"> rynku projektowania, produkcji i sprzedaży polskich pojazdów elektrycznych na potrzeby transportu publiczneg</w:t>
      </w:r>
      <w:r w:rsidR="0065046A">
        <w:t xml:space="preserve">o </w:t>
      </w:r>
      <w:r w:rsidRPr="00A00B9B">
        <w:t>przeprowadzono cykl warsztatów mających na celu wypracowanie księgi dobrych praktyk w zakresie elektromobilności w transporcie miejskim. Warsztaty te współorganizowały: Ministerstwo Rozwoju, Ministerstwo Energii, Polski Fundusz Rozwoju i Izba Gospodarcza Komunikacji Miejskiej.</w:t>
      </w:r>
    </w:p>
    <w:p w14:paraId="001A69FB" w14:textId="77777777" w:rsidR="007A7415" w:rsidRPr="00821AF6" w:rsidRDefault="007A7415" w:rsidP="00B3145C">
      <w:pPr>
        <w:rPr>
          <w:rFonts w:cs="Tahoma"/>
        </w:rPr>
      </w:pPr>
      <w:r w:rsidRPr="00A00B9B">
        <w:lastRenderedPageBreak/>
        <w:t xml:space="preserve">Przedstawicieli miast i operatorów zainteresowanych elektromobilnością w transporcie miejskim zobligowano do </w:t>
      </w:r>
      <w:r w:rsidRPr="00A00B9B">
        <w:rPr>
          <w:rFonts w:cs="Tahoma"/>
        </w:rPr>
        <w:t>zdefiniowania przesłanek, dla których reprezentowane przez nich samorządy decydują się wprowadzać do eksploatacji w transporcie miejskim autobusy el</w:t>
      </w:r>
      <w:r w:rsidRPr="00821AF6">
        <w:rPr>
          <w:rFonts w:cs="Tahoma"/>
        </w:rPr>
        <w:t>ektryczne (warsztaty odbywały się w czasie, kiedy nie obowiązywała jeszcze ustawa o elektromobilności, której zapisy obligują samorządy do określonych działań).</w:t>
      </w:r>
    </w:p>
    <w:p w14:paraId="10606E05" w14:textId="77777777" w:rsidR="007A7415" w:rsidRPr="00821AF6" w:rsidRDefault="007A7415" w:rsidP="00B3145C">
      <w:pPr>
        <w:rPr>
          <w:rFonts w:cs="Tahoma"/>
        </w:rPr>
      </w:pPr>
      <w:r w:rsidRPr="00821AF6">
        <w:rPr>
          <w:rFonts w:cs="Tahoma"/>
        </w:rPr>
        <w:t>Uzyskane odpowiedzi wskazały na cztery grupy przesłanek:</w:t>
      </w:r>
    </w:p>
    <w:p w14:paraId="5E697342"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środowiskowe (ekologiczne);</w:t>
      </w:r>
    </w:p>
    <w:p w14:paraId="0E779117"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społeczne;</w:t>
      </w:r>
    </w:p>
    <w:p w14:paraId="1C05CA71"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wizerunkowe (prestiż, innowacyjność);</w:t>
      </w:r>
    </w:p>
    <w:p w14:paraId="2534158A"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ekonomiczne.</w:t>
      </w:r>
    </w:p>
    <w:p w14:paraId="5A2B035B" w14:textId="67BABDEA" w:rsidR="007A7415" w:rsidRPr="00821AF6" w:rsidRDefault="007A7415" w:rsidP="00B3145C">
      <w:pPr>
        <w:rPr>
          <w:rFonts w:cs="Tahoma"/>
        </w:rPr>
      </w:pPr>
      <w:r w:rsidRPr="00821AF6">
        <w:rPr>
          <w:rFonts w:cs="Tahoma"/>
        </w:rPr>
        <w:t>Niemal we wszystkich miastach reprezentowanych w warsztatach zaplanowano wykorzystanie autobusów elektrycznych do uruchomienia nowych połączeń. Miałyby one obejmować ścisłe centra miast i osiedla o gęstej zabudowie mieszkaniowej, co byłoby istotą kampanii promujących nowe linie. Pomimo to zakładano, że autobusy elektryczne obsługiwać będą przede wszystkim już istniejącą sieć linii. Zastrzegano przy tym, że kształt tej sieci może, a</w:t>
      </w:r>
      <w:r w:rsidR="006D0AB6">
        <w:rPr>
          <w:rFonts w:cs="Tahoma"/>
        </w:rPr>
        <w:t> </w:t>
      </w:r>
      <w:r w:rsidRPr="00821AF6">
        <w:rPr>
          <w:rFonts w:cs="Tahoma"/>
        </w:rPr>
        <w:t>nawet i powinien ewoluować, np. pod wpływem wyników badań marketingowych, które powinny stanowić jedną z determinant podejmowania decyzji o alokacji pojazdów elektrycznych na poszczególnych zadaniach przewozowych.</w:t>
      </w:r>
    </w:p>
    <w:p w14:paraId="3F2CAB0D" w14:textId="77777777" w:rsidR="007A7415" w:rsidRPr="00821AF6" w:rsidRDefault="007A7415" w:rsidP="00B3145C">
      <w:pPr>
        <w:rPr>
          <w:rFonts w:cs="Tahoma"/>
        </w:rPr>
      </w:pPr>
      <w:r w:rsidRPr="00821AF6">
        <w:rPr>
          <w:rFonts w:cs="Tahoma"/>
        </w:rPr>
        <w:t>Za środowiskowy cel wprowadzenia autobusów elektrycznych uznano zmniejszenie lokalnej emisji spalin oraz poziomu hałasu.</w:t>
      </w:r>
    </w:p>
    <w:p w14:paraId="2FAAE844" w14:textId="301BD3A5" w:rsidR="007A7415" w:rsidRPr="00821AF6" w:rsidRDefault="007A7415" w:rsidP="00B3145C">
      <w:pPr>
        <w:rPr>
          <w:rFonts w:cs="Tahoma"/>
        </w:rPr>
      </w:pPr>
      <w:r w:rsidRPr="00821AF6">
        <w:rPr>
          <w:rFonts w:cs="Tahoma"/>
        </w:rPr>
        <w:t xml:space="preserve">Przesłanki środowiskowe silnie wiążą się z przesłankami społecznymi – niższa emisja hałasu emitowanego przez autobusy elektryczne oraz brak spalin, stanowią </w:t>
      </w:r>
      <w:r w:rsidR="00CB07D7" w:rsidRPr="00821AF6">
        <w:rPr>
          <w:rFonts w:cs="Tahoma"/>
        </w:rPr>
        <w:t>ważny</w:t>
      </w:r>
      <w:r w:rsidRPr="00821AF6">
        <w:rPr>
          <w:rFonts w:cs="Tahoma"/>
        </w:rPr>
        <w:t xml:space="preserve"> argument za wprowadzeniem komunikacji autobusowej do ścisłych centrów miast, wnętrz stref uzdrowiskowych i innych miejsc, w których nie ma zgody społecznej na eksploatację autobusów z napędem konwencjonalnym. Zauważalne i kompleksowe unowocześnienie taboru komunikacji miejskiej – związane z wprowadzeniem do eksploatacji autobusów elektrycznych – skutkuje także zwiększeniem akceptacji społecznej dla restrykcji wobec motoryzacji indywidualnej.</w:t>
      </w:r>
    </w:p>
    <w:p w14:paraId="4A9D4AAD" w14:textId="74D46F46" w:rsidR="007A7415" w:rsidRPr="00821AF6" w:rsidRDefault="007A7415" w:rsidP="00B3145C">
      <w:pPr>
        <w:rPr>
          <w:rFonts w:cs="Tahoma"/>
        </w:rPr>
      </w:pPr>
      <w:r w:rsidRPr="00821AF6">
        <w:rPr>
          <w:rFonts w:cs="Tahoma"/>
        </w:rPr>
        <w:t xml:space="preserve">Przedstawiciele największych miast wyrazili przekonanie, że ze względu na relatywnie wysoki koszt zakupu autobusów elektrycznych, ich eksploatacja ułatwi też przeforsowanie pasów </w:t>
      </w:r>
      <w:r w:rsidR="00F5316A" w:rsidRPr="00821AF6">
        <w:rPr>
          <w:rFonts w:cs="Tahoma"/>
        </w:rPr>
        <w:t xml:space="preserve">ruchu przeznaczonych </w:t>
      </w:r>
      <w:r w:rsidRPr="00821AF6">
        <w:rPr>
          <w:rFonts w:cs="Tahoma"/>
        </w:rPr>
        <w:t>wyłączn</w:t>
      </w:r>
      <w:r w:rsidR="00F5316A" w:rsidRPr="00821AF6">
        <w:rPr>
          <w:rFonts w:cs="Tahoma"/>
        </w:rPr>
        <w:t>ie</w:t>
      </w:r>
      <w:r w:rsidRPr="00821AF6">
        <w:rPr>
          <w:rFonts w:cs="Tahoma"/>
        </w:rPr>
        <w:t xml:space="preserve"> dla autobusów (bądź autobusów i tramwajów). Pojazdy te są bowiem zbyt drogie w zakupie, aby zamiast przewozić możliwie najwięcej pasażerów, tkwiły w zatorach drogowych.</w:t>
      </w:r>
    </w:p>
    <w:p w14:paraId="0F469DC0" w14:textId="50E2A9A2" w:rsidR="007A7415" w:rsidRPr="00821AF6" w:rsidRDefault="007A7415" w:rsidP="00B3145C">
      <w:pPr>
        <w:rPr>
          <w:rFonts w:cs="Tahoma"/>
        </w:rPr>
      </w:pPr>
      <w:r w:rsidRPr="00821AF6">
        <w:rPr>
          <w:rFonts w:cs="Tahoma"/>
        </w:rPr>
        <w:t>Wraz z wprowadzeniem autobusów elektrycznych do systemów transportowych, zwiększa się prestiż miasta oraz wzrasta jakość usług transportu miejskiego postrzegana przez jego mieszkańców (także tych niekorzystających w ogóle z komun</w:t>
      </w:r>
      <w:r w:rsidR="00F5316A" w:rsidRPr="00821AF6">
        <w:rPr>
          <w:rFonts w:cs="Tahoma"/>
        </w:rPr>
        <w:t>ikacji miejskiej). W rezultacie</w:t>
      </w:r>
      <w:r w:rsidRPr="00821AF6">
        <w:rPr>
          <w:rFonts w:cs="Tahoma"/>
        </w:rPr>
        <w:t xml:space="preserve"> </w:t>
      </w:r>
      <w:r w:rsidRPr="00821AF6">
        <w:rPr>
          <w:rFonts w:cs="Tahoma"/>
        </w:rPr>
        <w:lastRenderedPageBreak/>
        <w:t>transport zbiorowy staje się bardziej konkurencyjny w stosunku do samochodu osobowego, zaś nowe środki transportu w większym stopniu zachęcają mieszkańców do korzystania z oferty komunikacji miejskiej.</w:t>
      </w:r>
    </w:p>
    <w:p w14:paraId="231E8C7E" w14:textId="77777777" w:rsidR="007A7415" w:rsidRPr="00821AF6" w:rsidRDefault="007A7415" w:rsidP="00B3145C">
      <w:pPr>
        <w:rPr>
          <w:rFonts w:cs="Tahoma"/>
        </w:rPr>
      </w:pPr>
      <w:r w:rsidRPr="00821AF6">
        <w:rPr>
          <w:rFonts w:cs="Tahoma"/>
        </w:rPr>
        <w:t xml:space="preserve">Autobus elektryczny może być też dobrym sposobem na wprowadzenie lub poszerzenie zakresu obsługi komunikacyjnej opartej na drugiej trakcji (elektrycznej) w miastach, w których są takie ambicje. </w:t>
      </w:r>
    </w:p>
    <w:p w14:paraId="66008B06" w14:textId="5410DDD2" w:rsidR="007A7415" w:rsidRPr="00821AF6" w:rsidRDefault="007A7415" w:rsidP="00B3145C">
      <w:pPr>
        <w:rPr>
          <w:rFonts w:cs="Tahoma"/>
        </w:rPr>
      </w:pPr>
      <w:r w:rsidRPr="00821AF6">
        <w:rPr>
          <w:rFonts w:cs="Tahoma"/>
        </w:rPr>
        <w:t xml:space="preserve">Zewnętrzne finansowanie zakupów taboru ma podstawowe znaczenie dla rozwoju elektromobilności w transporcie miejskim, gdyż – w określonych uwarunkowaniach – koszty bieżącej eksploatacji </w:t>
      </w:r>
      <w:r w:rsidR="003659B0" w:rsidRPr="00821AF6">
        <w:rPr>
          <w:rFonts w:cs="Tahoma"/>
        </w:rPr>
        <w:t xml:space="preserve">bateryjnych </w:t>
      </w:r>
      <w:r w:rsidRPr="00821AF6">
        <w:rPr>
          <w:rFonts w:cs="Tahoma"/>
        </w:rPr>
        <w:t>autobusów elektrycznych w stosunku do pojazdów z napędem spalinowym są niższe.</w:t>
      </w:r>
    </w:p>
    <w:p w14:paraId="3DE2496F" w14:textId="5E4273D1" w:rsidR="007A7415" w:rsidRPr="00821AF6" w:rsidRDefault="007A7415" w:rsidP="00B3145C">
      <w:pPr>
        <w:rPr>
          <w:rFonts w:cs="Tahoma"/>
        </w:rPr>
      </w:pPr>
      <w:r w:rsidRPr="00821AF6">
        <w:rPr>
          <w:rFonts w:cs="Tahoma"/>
        </w:rPr>
        <w:t xml:space="preserve">Samorządy i operatorzy mają też świadomość, iż pewne cechy autobusów elektrycznych, wynikające z ich napędu i jego charakterystyki, stwarzają określone bariery w przeznaczaniu danej linii do obsługi tym rodzajem taboru. Autobusy elektryczne </w:t>
      </w:r>
      <w:r w:rsidR="003659B0" w:rsidRPr="00821AF6">
        <w:rPr>
          <w:rFonts w:cs="Tahoma"/>
        </w:rPr>
        <w:t xml:space="preserve">zasilane z baterii </w:t>
      </w:r>
      <w:r w:rsidRPr="00821AF6">
        <w:rPr>
          <w:rFonts w:cs="Tahoma"/>
        </w:rPr>
        <w:t>nie nadają się do obsługi linii o trasach wyznaczonych drogami o podwyższonej prędkości przejazdu dotyczącej autobusów (np. drogami ekspresowymi, wykorzystywanymi przez linie pospieszne), gdyż w takich warunkach zużycie energii elektrycznej bardzo mocno się zwiększa.</w:t>
      </w:r>
      <w:r w:rsidR="003659B0" w:rsidRPr="00821AF6">
        <w:rPr>
          <w:rFonts w:cs="Tahoma"/>
        </w:rPr>
        <w:t xml:space="preserve"> </w:t>
      </w:r>
    </w:p>
    <w:p w14:paraId="2D280283" w14:textId="77777777" w:rsidR="007A7415" w:rsidRPr="00821AF6" w:rsidRDefault="007A7415" w:rsidP="00B3145C">
      <w:pPr>
        <w:rPr>
          <w:rFonts w:cs="Tahoma"/>
        </w:rPr>
      </w:pPr>
      <w:r w:rsidRPr="00821AF6">
        <w:rPr>
          <w:rFonts w:cs="Tahoma"/>
        </w:rPr>
        <w:t>Z punktu widzenia producentów taboru, główne przesłanki wprowadzenia autobusów elektrycznych do obsługi danego połączenia lub sieci połączeń, zdefiniowano następująco:</w:t>
      </w:r>
    </w:p>
    <w:p w14:paraId="72F53799"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funkcjonowanie na danym obszarze (mieście lub jego rejonie) komunikacji tramwajowej bądź trolejbusowej, umożliwiające wpięcie się z infrastrukturą zasilającą w już istniejący system – korzyścią jest brak konieczności budowy kosztownego przyłącza do stacji ładującej;</w:t>
      </w:r>
    </w:p>
    <w:p w14:paraId="4462EAE2"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lokalne wspieranie odnawialnych źródeł energii (OZE) – z założenia autobusy elektryczne powinny być „</w:t>
      </w:r>
      <w:proofErr w:type="spellStart"/>
      <w:r w:rsidRPr="00821AF6">
        <w:rPr>
          <w:rFonts w:ascii="Tahoma" w:hAnsi="Tahoma" w:cs="Tahoma"/>
        </w:rPr>
        <w:t>eko</w:t>
      </w:r>
      <w:proofErr w:type="spellEnd"/>
      <w:r w:rsidRPr="00821AF6">
        <w:rPr>
          <w:rFonts w:ascii="Tahoma" w:hAnsi="Tahoma" w:cs="Tahoma"/>
        </w:rPr>
        <w:t>”, czego nie można w pełni osiągnąć, gdy energia wprowadzana do systemu wytwarzana jest z wykorzystaniem paliw konwencjonalnych, np. w uciążliwej lokalnie elektrowni węglowej;</w:t>
      </w:r>
    </w:p>
    <w:p w14:paraId="21D9B526"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zdecydowana preferencja dla krótkich tras, z przerwami na doładowanie na punktach krańcowych.</w:t>
      </w:r>
    </w:p>
    <w:p w14:paraId="38072C80" w14:textId="6840E7EC" w:rsidR="007A7415" w:rsidRPr="00821AF6" w:rsidRDefault="007A7415" w:rsidP="00B3145C">
      <w:pPr>
        <w:rPr>
          <w:rFonts w:cs="Tahoma"/>
          <w:color w:val="000000"/>
        </w:rPr>
      </w:pPr>
      <w:r w:rsidRPr="00821AF6">
        <w:rPr>
          <w:rFonts w:cs="Tahoma"/>
        </w:rPr>
        <w:t xml:space="preserve">Efektem sesji warsztatowych programu były określone rekomendacje w zakresie alokacji autobusów elektrycznych na liniach komunikacyjnych w zależności od charakteru tras – </w:t>
      </w:r>
      <w:r w:rsidRPr="00821AF6">
        <w:rPr>
          <w:rFonts w:cs="Tahoma"/>
          <w:color w:val="000000"/>
        </w:rPr>
        <w:t>pojazdy takie mogą być przeznaczane do obsługi danej linii przede wszystkim w sytuacji, gdy:</w:t>
      </w:r>
    </w:p>
    <w:p w14:paraId="0642FF19" w14:textId="646F3D93"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ob</w:t>
      </w:r>
      <w:r w:rsidR="00A040C8">
        <w:rPr>
          <w:rFonts w:ascii="Tahoma" w:hAnsi="Tahoma" w:cs="Tahoma"/>
        </w:rPr>
        <w:t xml:space="preserve">ejmuje </w:t>
      </w:r>
      <w:r w:rsidRPr="00821AF6">
        <w:rPr>
          <w:rFonts w:ascii="Tahoma" w:hAnsi="Tahoma" w:cs="Tahoma"/>
        </w:rPr>
        <w:t>ona obszary miejskie o intensywnej zabudowie wielorodzinnej – ze względu na brak emisji hałasu, szczególnie dotkliwego wśród wysokich i gęsto rozlokowanych budynków;</w:t>
      </w:r>
    </w:p>
    <w:p w14:paraId="53411854"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lastRenderedPageBreak/>
        <w:t>występuje duża intensywność dobowego i rocznego wykorzystania taboru – środki transportu o wysokich kosztach stałych powinny być eksploatowane w sposób maksymalnie intensywny (dominantę stanowiły wartości od 65 do 80 tys. wozokilometrów rocznie w przeliczeniu na pojazd w inwentarzu, aczkolwiek próg opłacalności eksploatacji elektrobusów wyznaczono na 100 tys. wozokilometrów rocznie – zauważając przy tym, że obecny poziom techniki poważnie utrudnia lub nawet uniemożliwia jego osiągnięcie);</w:t>
      </w:r>
    </w:p>
    <w:p w14:paraId="034F3BD7"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ma miejsce wysoka dostępność przestrzenna przystanków – cechy techniczno-eksploatacyjne elektrobusów predestynują je do obsługi linii o dużej gęstości przystanków;</w:t>
      </w:r>
    </w:p>
    <w:p w14:paraId="11B75B1C"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trasa ma względnie płaski profil pionowy – przy obecnym zaawansowaniu i sprawności procesu rekuperacji powinno się preferować linie bez znacznych deniwelacji w przebiegu trasy;</w:t>
      </w:r>
    </w:p>
    <w:p w14:paraId="422EF6E6"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linia stanowi element systemu skoordynowanej obsługi obszaru zurbanizowanego wieloma liniami – wymagane synchronizacją rozkładów jazdy dłuższe postoje wyrównawcze na pętlach mogą być dzięki temu efektywnie wykorzystane na doładowanie zasobników energii;</w:t>
      </w:r>
    </w:p>
    <w:p w14:paraId="1EC2A91A"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jest ona podatna na kongestię drogową – jej trasa charakteryzuje się dużą liczbą zatrzymań autobusów pomiędzy przystankami i niewielką prędkością jazdy pomiędzy tymi zatrzymaniami;</w:t>
      </w:r>
    </w:p>
    <w:p w14:paraId="2CDE123A"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niska prędkość techniczna zdeterminowana jest także przyczynami innymi niż kongestia (np. przebieg trasy przez strefy ograniczonego ruchu – z pierwszeństwem pieszych i rowerzystów, obszary uspokojonego ruchu „Tempo 30” i inne);</w:t>
      </w:r>
    </w:p>
    <w:p w14:paraId="5E6E155B" w14:textId="77777777" w:rsidR="007A7415" w:rsidRPr="00821AF6" w:rsidRDefault="007A7415" w:rsidP="00B3145C">
      <w:pPr>
        <w:pStyle w:val="Akapitzlist"/>
        <w:numPr>
          <w:ilvl w:val="0"/>
          <w:numId w:val="12"/>
        </w:numPr>
        <w:spacing w:after="0" w:line="360" w:lineRule="auto"/>
        <w:jc w:val="both"/>
        <w:rPr>
          <w:rFonts w:ascii="Tahoma" w:hAnsi="Tahoma" w:cs="Tahoma"/>
        </w:rPr>
      </w:pPr>
      <w:r w:rsidRPr="00821AF6">
        <w:rPr>
          <w:rFonts w:ascii="Tahoma" w:hAnsi="Tahoma" w:cs="Tahoma"/>
        </w:rPr>
        <w:t>przebieg trasy obejmuje planowane przyszłe strefy ekologiczne dla pojazdów mechanicznych (w szczególności okolice obiektów zabytkowych).</w:t>
      </w:r>
    </w:p>
    <w:p w14:paraId="7117D1A7" w14:textId="5578047D" w:rsidR="00FE7B63" w:rsidRPr="00821AF6" w:rsidRDefault="00FE7B63" w:rsidP="00B3145C">
      <w:pPr>
        <w:rPr>
          <w:rFonts w:cs="Tahoma"/>
        </w:rPr>
      </w:pPr>
      <w:r w:rsidRPr="00821AF6">
        <w:rPr>
          <w:rFonts w:cs="Tahoma"/>
        </w:rPr>
        <w:t xml:space="preserve">Kierując się powyższymi przesłankami, </w:t>
      </w:r>
      <w:r w:rsidR="00D116CD" w:rsidRPr="00821AF6">
        <w:rPr>
          <w:rFonts w:cs="Tahoma"/>
        </w:rPr>
        <w:t xml:space="preserve">można nakreślić scenariusz wprowadzania pojazdów zeroemisyjnych do obsługi poszczególnych zadań przewozowych w sieci komunikacyjnej </w:t>
      </w:r>
      <w:r w:rsidR="00C73F5E">
        <w:rPr>
          <w:rFonts w:cs="Tahoma"/>
        </w:rPr>
        <w:t>rzeszowskie</w:t>
      </w:r>
      <w:r w:rsidR="00AE0C28">
        <w:rPr>
          <w:rFonts w:cs="Tahoma"/>
        </w:rPr>
        <w:t>j</w:t>
      </w:r>
      <w:r w:rsidR="00222DEB">
        <w:rPr>
          <w:rFonts w:cs="Tahoma"/>
        </w:rPr>
        <w:t xml:space="preserve"> </w:t>
      </w:r>
      <w:r w:rsidR="00D116CD" w:rsidRPr="00821AF6">
        <w:rPr>
          <w:rFonts w:cs="Tahoma"/>
        </w:rPr>
        <w:t>komunikacji miejskiej</w:t>
      </w:r>
      <w:r w:rsidRPr="00821AF6">
        <w:rPr>
          <w:rFonts w:cs="Tahoma"/>
        </w:rPr>
        <w:t>.</w:t>
      </w:r>
    </w:p>
    <w:bookmarkEnd w:id="72"/>
    <w:p w14:paraId="50FADEA3" w14:textId="3E8E08DF" w:rsidR="00B561B5" w:rsidRDefault="00B561B5" w:rsidP="00B3145C">
      <w:r w:rsidRPr="00821AF6">
        <w:t xml:space="preserve">Celem, jaki Miasto zamierza osiągnąć </w:t>
      </w:r>
      <w:r w:rsidR="00BE2C17" w:rsidRPr="00821AF6">
        <w:t xml:space="preserve">określonym </w:t>
      </w:r>
      <w:r w:rsidRPr="00821AF6">
        <w:t xml:space="preserve">wyborem linii, jest ograniczenie wykorzystania autobusów z napędem spalinowym w </w:t>
      </w:r>
      <w:r w:rsidR="00222DEB">
        <w:t xml:space="preserve">zurbanizowanej </w:t>
      </w:r>
      <w:r w:rsidRPr="00821AF6">
        <w:t xml:space="preserve">części </w:t>
      </w:r>
      <w:r w:rsidR="00221687">
        <w:t>Rzeszowa</w:t>
      </w:r>
      <w:r w:rsidR="00222DEB">
        <w:t>, w szczególności</w:t>
      </w:r>
      <w:r w:rsidR="00590098">
        <w:t xml:space="preserve"> </w:t>
      </w:r>
      <w:r w:rsidR="00222DEB">
        <w:t>w</w:t>
      </w:r>
      <w:r w:rsidR="00207752" w:rsidRPr="00821AF6">
        <w:t xml:space="preserve"> </w:t>
      </w:r>
      <w:r w:rsidR="00222DEB">
        <w:t xml:space="preserve">centrum miasta i w </w:t>
      </w:r>
      <w:r w:rsidR="00207752" w:rsidRPr="00821AF6">
        <w:t>największych osiedl</w:t>
      </w:r>
      <w:r w:rsidR="00BE2C17" w:rsidRPr="00821AF6">
        <w:t>ach</w:t>
      </w:r>
      <w:r w:rsidR="00207752" w:rsidRPr="00821AF6">
        <w:t xml:space="preserve"> mieszkaniowych</w:t>
      </w:r>
      <w:r w:rsidRPr="00821AF6">
        <w:t>. Liniami komunikacyjnymi, które byłyby odpowiednie do obsługi taborem zeroemisyjnym</w:t>
      </w:r>
      <w:r w:rsidR="0091140B" w:rsidRPr="00821AF6">
        <w:t>,</w:t>
      </w:r>
      <w:r w:rsidRPr="00821AF6">
        <w:t xml:space="preserve"> </w:t>
      </w:r>
      <w:r w:rsidR="00730090" w:rsidRPr="00821AF6">
        <w:t xml:space="preserve">powinny być więc takie, </w:t>
      </w:r>
      <w:r w:rsidRPr="00821AF6">
        <w:t xml:space="preserve">których trasa </w:t>
      </w:r>
      <w:r w:rsidR="00F5316A" w:rsidRPr="00821AF6">
        <w:t xml:space="preserve">w głównej mierze </w:t>
      </w:r>
      <w:r w:rsidR="0091140B" w:rsidRPr="00821AF6">
        <w:t xml:space="preserve">obejmuje </w:t>
      </w:r>
      <w:r w:rsidRPr="00821AF6">
        <w:t>centralną część miasta, o</w:t>
      </w:r>
      <w:r w:rsidR="00BE2C17" w:rsidRPr="00821AF6">
        <w:t> </w:t>
      </w:r>
      <w:r w:rsidRPr="00821AF6">
        <w:t>gęstej zabudowie mieszkaniowej</w:t>
      </w:r>
      <w:r w:rsidR="00222DEB">
        <w:t xml:space="preserve"> oraz największe osiedla mieszkaniowe</w:t>
      </w:r>
      <w:r w:rsidRPr="00821AF6">
        <w:t>.</w:t>
      </w:r>
      <w:r w:rsidR="00F20C19">
        <w:t xml:space="preserve"> Liniami obsługiwanymi taborem zeroemisyjnym powinny być jednocześnie linie o wysokiej częstotliwości kursowania.</w:t>
      </w:r>
    </w:p>
    <w:p w14:paraId="0AAF792D" w14:textId="6C82FC2A" w:rsidR="006049E7" w:rsidRPr="006049E7" w:rsidRDefault="008F0AF5" w:rsidP="006049E7">
      <w:r w:rsidRPr="00821AF6">
        <w:t xml:space="preserve">W opracowanej w 2018 r. </w:t>
      </w:r>
      <w:r w:rsidR="00F20C19" w:rsidRPr="00F20C19">
        <w:t xml:space="preserve">„Analizie </w:t>
      </w:r>
      <w:r w:rsidR="006049E7" w:rsidRPr="006049E7">
        <w:t>kosztów i korzyści związanych w wykorzystaniem przy świadczeniu usług komunikacji miejskiej autobusów zeroemisyjnych i napędzanych gazem ziemnym dla miasta Rzeszowa</w:t>
      </w:r>
      <w:r w:rsidR="00F20C19" w:rsidRPr="00F20C19">
        <w:t>”</w:t>
      </w:r>
      <w:r w:rsidR="00F20C19">
        <w:t xml:space="preserve"> </w:t>
      </w:r>
      <w:r w:rsidR="006049E7">
        <w:t>uwzględniono realizację projektu „</w:t>
      </w:r>
      <w:r w:rsidR="006049E7" w:rsidRPr="006049E7">
        <w:t xml:space="preserve">Rozwój systemu transportu </w:t>
      </w:r>
      <w:r w:rsidR="006049E7" w:rsidRPr="006049E7">
        <w:lastRenderedPageBreak/>
        <w:t>publicznego w Rzeszowie”</w:t>
      </w:r>
      <w:r w:rsidR="006049E7">
        <w:t>, w którym dokonano wyboru</w:t>
      </w:r>
      <w:r w:rsidR="006049E7" w:rsidRPr="006049E7">
        <w:t xml:space="preserve"> pierwszych linii do obsługi taborem zeroemisyjnym – przeciwbieżnych linii okólnych 0A i 0B – z trasami prowadzącymi przez centralne dzielnice miasta. </w:t>
      </w:r>
      <w:r w:rsidR="006049E7">
        <w:t>Linie te jako łączące</w:t>
      </w:r>
      <w:r w:rsidR="006049E7" w:rsidRPr="006049E7">
        <w:t xml:space="preserve"> wiele źródeł podróży</w:t>
      </w:r>
      <w:r w:rsidR="006049E7">
        <w:t xml:space="preserve"> przeznaczono więc do obsługi taborem zeroemisyjnym w pierwszej kolejności. Obsługa tych linii autobusami elektrycznymi została uruchomiona w 2019 r. </w:t>
      </w:r>
      <w:r w:rsidR="006049E7" w:rsidRPr="006049E7">
        <w:t>Trasa obydwu linii obejmuje główne ulice miasta o bardzo intensywnym ruchu miejskim i gęstej sieci przystanków – w obszarze intensywnej zabudowy śródmiejskiej.</w:t>
      </w:r>
      <w:r w:rsidR="006049E7">
        <w:t xml:space="preserve"> </w:t>
      </w:r>
      <w:r w:rsidR="006049E7" w:rsidRPr="006049E7">
        <w:t xml:space="preserve">Stacja szybkiego ładowania </w:t>
      </w:r>
      <w:r w:rsidR="006049E7">
        <w:t xml:space="preserve">wybudowana przy </w:t>
      </w:r>
      <w:r w:rsidR="006049E7" w:rsidRPr="006049E7">
        <w:t>ul. Grottgera na pl. Dworcowym</w:t>
      </w:r>
      <w:r w:rsidR="006049E7">
        <w:t>,</w:t>
      </w:r>
      <w:r w:rsidR="006049E7" w:rsidRPr="006049E7">
        <w:t xml:space="preserve"> dedykowana liniom 0A i 0B</w:t>
      </w:r>
      <w:r w:rsidR="006049E7">
        <w:t xml:space="preserve">, jest już obecnie intensywnie wykorzystywana </w:t>
      </w:r>
      <w:r w:rsidR="006049E7" w:rsidRPr="006049E7">
        <w:t xml:space="preserve">nie może być </w:t>
      </w:r>
      <w:r w:rsidR="006049E7">
        <w:t>przeznaczona</w:t>
      </w:r>
      <w:r w:rsidR="006049E7" w:rsidRPr="006049E7">
        <w:t xml:space="preserve"> do zasilania pojazdów zeroemisyjnych innych linii.</w:t>
      </w:r>
    </w:p>
    <w:p w14:paraId="286AD735" w14:textId="7E7DAC7E" w:rsidR="006049E7" w:rsidRDefault="006049E7" w:rsidP="006049E7">
      <w:r>
        <w:t>Do</w:t>
      </w:r>
      <w:r w:rsidR="00730090" w:rsidRPr="00821AF6">
        <w:t xml:space="preserve"> obsługi taborem zeroemisyjnym </w:t>
      </w:r>
      <w:r w:rsidR="008F0AF5" w:rsidRPr="00821AF6">
        <w:t>w</w:t>
      </w:r>
      <w:r w:rsidR="00730090" w:rsidRPr="00821AF6">
        <w:t>skazano</w:t>
      </w:r>
      <w:r>
        <w:t xml:space="preserve"> w Analizie kosztów i korzyści z 2018 r., poza liniami 0A i 0B,</w:t>
      </w:r>
      <w:r w:rsidR="00730090" w:rsidRPr="00821AF6">
        <w:t xml:space="preserve"> </w:t>
      </w:r>
      <w:r>
        <w:t>następujące linie komunikacyjne:</w:t>
      </w:r>
    </w:p>
    <w:p w14:paraId="44F1677E" w14:textId="6AE4D2E0" w:rsidR="006049E7" w:rsidRDefault="006049E7" w:rsidP="002E7D82">
      <w:pPr>
        <w:pStyle w:val="Akapitzlist"/>
        <w:numPr>
          <w:ilvl w:val="0"/>
          <w:numId w:val="34"/>
        </w:numPr>
        <w:spacing w:after="0" w:line="360" w:lineRule="auto"/>
        <w:ind w:left="357" w:hanging="357"/>
        <w:jc w:val="both"/>
        <w:rPr>
          <w:rFonts w:ascii="Tahoma" w:hAnsi="Tahoma" w:cs="Tahoma"/>
        </w:rPr>
      </w:pPr>
      <w:r>
        <w:rPr>
          <w:rFonts w:ascii="Tahoma" w:hAnsi="Tahoma" w:cs="Tahoma"/>
        </w:rPr>
        <w:t xml:space="preserve">w pierwszej kolejności – linie 10, 18 i 19 – ze </w:t>
      </w:r>
      <w:r w:rsidR="00BC7CA3">
        <w:rPr>
          <w:rFonts w:ascii="Tahoma" w:hAnsi="Tahoma" w:cs="Tahoma"/>
        </w:rPr>
        <w:t>stacją</w:t>
      </w:r>
      <w:r>
        <w:rPr>
          <w:rFonts w:ascii="Tahoma" w:hAnsi="Tahoma" w:cs="Tahoma"/>
        </w:rPr>
        <w:t xml:space="preserve"> </w:t>
      </w:r>
      <w:r w:rsidR="00BC7CA3">
        <w:rPr>
          <w:rFonts w:ascii="Tahoma" w:hAnsi="Tahoma" w:cs="Tahoma"/>
        </w:rPr>
        <w:t>łado</w:t>
      </w:r>
      <w:r>
        <w:rPr>
          <w:rFonts w:ascii="Tahoma" w:hAnsi="Tahoma" w:cs="Tahoma"/>
        </w:rPr>
        <w:t xml:space="preserve">wania </w:t>
      </w:r>
      <w:r w:rsidR="00BC7CA3">
        <w:rPr>
          <w:rFonts w:ascii="Tahoma" w:hAnsi="Tahoma" w:cs="Tahoma"/>
        </w:rPr>
        <w:t xml:space="preserve">szybkiego </w:t>
      </w:r>
      <w:r>
        <w:rPr>
          <w:rFonts w:ascii="Tahoma" w:hAnsi="Tahoma" w:cs="Tahoma"/>
        </w:rPr>
        <w:t xml:space="preserve">na pętli Łukasiewicza </w:t>
      </w:r>
      <w:r w:rsidR="00BC7CA3">
        <w:rPr>
          <w:rFonts w:ascii="Tahoma" w:hAnsi="Tahoma" w:cs="Tahoma"/>
        </w:rPr>
        <w:t>(</w:t>
      </w:r>
      <w:r>
        <w:rPr>
          <w:rFonts w:ascii="Tahoma" w:hAnsi="Tahoma" w:cs="Tahoma"/>
        </w:rPr>
        <w:t xml:space="preserve">opcjonalnie </w:t>
      </w:r>
      <w:r w:rsidR="00BC7CA3">
        <w:rPr>
          <w:rFonts w:ascii="Tahoma" w:hAnsi="Tahoma" w:cs="Tahoma"/>
        </w:rPr>
        <w:t>na pętli</w:t>
      </w:r>
      <w:r>
        <w:rPr>
          <w:rFonts w:ascii="Tahoma" w:hAnsi="Tahoma" w:cs="Tahoma"/>
        </w:rPr>
        <w:t xml:space="preserve"> Obrońców Poczty Gdańskiej</w:t>
      </w:r>
      <w:r w:rsidR="00BC7CA3">
        <w:rPr>
          <w:rFonts w:ascii="Tahoma" w:hAnsi="Tahoma" w:cs="Tahoma"/>
        </w:rPr>
        <w:t>)</w:t>
      </w:r>
      <w:r>
        <w:rPr>
          <w:rFonts w:ascii="Tahoma" w:hAnsi="Tahoma" w:cs="Tahoma"/>
        </w:rPr>
        <w:t>;</w:t>
      </w:r>
    </w:p>
    <w:p w14:paraId="7C1C1DEB" w14:textId="020D4084" w:rsidR="006049E7" w:rsidRDefault="006049E7" w:rsidP="002E7D82">
      <w:pPr>
        <w:pStyle w:val="Akapitzlist"/>
        <w:numPr>
          <w:ilvl w:val="0"/>
          <w:numId w:val="34"/>
        </w:numPr>
        <w:spacing w:after="0" w:line="360" w:lineRule="auto"/>
        <w:ind w:left="357" w:hanging="357"/>
        <w:jc w:val="both"/>
        <w:rPr>
          <w:rFonts w:ascii="Tahoma" w:hAnsi="Tahoma" w:cs="Tahoma"/>
        </w:rPr>
      </w:pPr>
      <w:r>
        <w:rPr>
          <w:rFonts w:ascii="Tahoma" w:hAnsi="Tahoma" w:cs="Tahoma"/>
        </w:rPr>
        <w:t xml:space="preserve">w drugiej kolejności – linia 42 – z wykorzystaniem stanowisk doładowania </w:t>
      </w:r>
      <w:r w:rsidR="00BC7CA3">
        <w:rPr>
          <w:rFonts w:ascii="Tahoma" w:hAnsi="Tahoma" w:cs="Tahoma"/>
        </w:rPr>
        <w:t xml:space="preserve">na pl. Dworcowym </w:t>
      </w:r>
      <w:r>
        <w:rPr>
          <w:rFonts w:ascii="Tahoma" w:hAnsi="Tahoma" w:cs="Tahoma"/>
        </w:rPr>
        <w:t xml:space="preserve">z ewentualną ich rozbudową oraz linia 30 ze </w:t>
      </w:r>
      <w:r w:rsidR="00BC7CA3">
        <w:rPr>
          <w:rFonts w:ascii="Tahoma" w:hAnsi="Tahoma" w:cs="Tahoma"/>
        </w:rPr>
        <w:t>stacją łado</w:t>
      </w:r>
      <w:r>
        <w:rPr>
          <w:rFonts w:ascii="Tahoma" w:hAnsi="Tahoma" w:cs="Tahoma"/>
        </w:rPr>
        <w:t xml:space="preserve">wania </w:t>
      </w:r>
      <w:r w:rsidR="00BC7CA3">
        <w:rPr>
          <w:rFonts w:ascii="Tahoma" w:hAnsi="Tahoma" w:cs="Tahoma"/>
        </w:rPr>
        <w:t>szybkiego na pętli</w:t>
      </w:r>
      <w:r>
        <w:rPr>
          <w:rFonts w:ascii="Tahoma" w:hAnsi="Tahoma" w:cs="Tahoma"/>
        </w:rPr>
        <w:t xml:space="preserve"> Mikołajczyka;</w:t>
      </w:r>
    </w:p>
    <w:p w14:paraId="5DB4B5B5" w14:textId="366C2491" w:rsidR="006049E7" w:rsidRDefault="006049E7" w:rsidP="002E7D82">
      <w:pPr>
        <w:pStyle w:val="Akapitzlist"/>
        <w:numPr>
          <w:ilvl w:val="0"/>
          <w:numId w:val="34"/>
        </w:numPr>
        <w:spacing w:after="0" w:line="360" w:lineRule="auto"/>
        <w:ind w:left="357" w:hanging="357"/>
        <w:jc w:val="both"/>
        <w:rPr>
          <w:rFonts w:ascii="Tahoma" w:hAnsi="Tahoma" w:cs="Tahoma"/>
        </w:rPr>
      </w:pPr>
      <w:r w:rsidRPr="002113DC">
        <w:rPr>
          <w:rFonts w:ascii="Tahoma" w:hAnsi="Tahoma" w:cs="Tahoma"/>
        </w:rPr>
        <w:t xml:space="preserve">w </w:t>
      </w:r>
      <w:r>
        <w:rPr>
          <w:rFonts w:ascii="Tahoma" w:hAnsi="Tahoma" w:cs="Tahoma"/>
        </w:rPr>
        <w:t>trzeciej</w:t>
      </w:r>
      <w:r w:rsidRPr="002113DC">
        <w:rPr>
          <w:rFonts w:ascii="Tahoma" w:hAnsi="Tahoma" w:cs="Tahoma"/>
        </w:rPr>
        <w:t xml:space="preserve"> kolejności </w:t>
      </w:r>
      <w:r>
        <w:rPr>
          <w:rFonts w:ascii="Tahoma" w:hAnsi="Tahoma" w:cs="Tahoma"/>
        </w:rPr>
        <w:t xml:space="preserve">– linie 13, 17, 27 i 34 – ze </w:t>
      </w:r>
      <w:r w:rsidR="00BC7CA3">
        <w:rPr>
          <w:rFonts w:ascii="Tahoma" w:hAnsi="Tahoma" w:cs="Tahoma"/>
        </w:rPr>
        <w:t xml:space="preserve">stacją </w:t>
      </w:r>
      <w:r>
        <w:rPr>
          <w:rFonts w:ascii="Tahoma" w:hAnsi="Tahoma" w:cs="Tahoma"/>
        </w:rPr>
        <w:t xml:space="preserve">ładowania </w:t>
      </w:r>
      <w:r w:rsidR="00BC7CA3">
        <w:rPr>
          <w:rFonts w:ascii="Tahoma" w:hAnsi="Tahoma" w:cs="Tahoma"/>
        </w:rPr>
        <w:t xml:space="preserve">szybkiego </w:t>
      </w:r>
      <w:r>
        <w:rPr>
          <w:rFonts w:ascii="Tahoma" w:hAnsi="Tahoma" w:cs="Tahoma"/>
        </w:rPr>
        <w:t xml:space="preserve">na pętli </w:t>
      </w:r>
      <w:r w:rsidR="00BC7CA3">
        <w:rPr>
          <w:rFonts w:ascii="Tahoma" w:hAnsi="Tahoma" w:cs="Tahoma"/>
        </w:rPr>
        <w:t>Lwowska Szpital</w:t>
      </w:r>
      <w:r>
        <w:rPr>
          <w:rFonts w:ascii="Tahoma" w:hAnsi="Tahoma" w:cs="Tahoma"/>
        </w:rPr>
        <w:t>;</w:t>
      </w:r>
    </w:p>
    <w:p w14:paraId="78ABCBF9" w14:textId="2485ADDC" w:rsidR="006049E7" w:rsidRPr="002113DC" w:rsidRDefault="006049E7" w:rsidP="002E7D82">
      <w:pPr>
        <w:pStyle w:val="Akapitzlist"/>
        <w:numPr>
          <w:ilvl w:val="0"/>
          <w:numId w:val="34"/>
        </w:numPr>
        <w:spacing w:after="0" w:line="360" w:lineRule="auto"/>
        <w:ind w:left="357" w:hanging="357"/>
        <w:jc w:val="both"/>
        <w:rPr>
          <w:rFonts w:ascii="Tahoma" w:hAnsi="Tahoma" w:cs="Tahoma"/>
        </w:rPr>
      </w:pPr>
      <w:r>
        <w:rPr>
          <w:rFonts w:ascii="Tahoma" w:hAnsi="Tahoma" w:cs="Tahoma"/>
        </w:rPr>
        <w:t xml:space="preserve">w czwartej kolejności – linie 23, 24 i 30 – ze </w:t>
      </w:r>
      <w:r w:rsidR="00BC7CA3">
        <w:rPr>
          <w:rFonts w:ascii="Tahoma" w:hAnsi="Tahoma" w:cs="Tahoma"/>
        </w:rPr>
        <w:t>stacją ładowania szybkiego</w:t>
      </w:r>
      <w:r>
        <w:rPr>
          <w:rFonts w:ascii="Tahoma" w:hAnsi="Tahoma" w:cs="Tahoma"/>
        </w:rPr>
        <w:t xml:space="preserve"> na pętli Matuszczaka.</w:t>
      </w:r>
    </w:p>
    <w:p w14:paraId="05F6A3B3" w14:textId="4DA4C44C" w:rsidR="00BC7CA3" w:rsidRDefault="00BC7CA3" w:rsidP="00BC7CA3">
      <w:pPr>
        <w:rPr>
          <w:rFonts w:cs="Tahoma"/>
          <w:color w:val="000000"/>
        </w:rPr>
      </w:pPr>
      <w:r w:rsidRPr="00BC7CA3">
        <w:rPr>
          <w:rFonts w:cs="Tahoma"/>
          <w:color w:val="000000"/>
        </w:rPr>
        <w:t>Jednocześnie</w:t>
      </w:r>
      <w:r>
        <w:rPr>
          <w:rFonts w:cs="Tahoma"/>
          <w:color w:val="000000"/>
        </w:rPr>
        <w:t xml:space="preserve"> przewidziano </w:t>
      </w:r>
      <w:r w:rsidRPr="00BC7CA3">
        <w:rPr>
          <w:rFonts w:cs="Tahoma"/>
          <w:color w:val="000000"/>
        </w:rPr>
        <w:t>budow</w:t>
      </w:r>
      <w:r>
        <w:rPr>
          <w:rFonts w:cs="Tahoma"/>
          <w:color w:val="000000"/>
        </w:rPr>
        <w:t>ę</w:t>
      </w:r>
      <w:r w:rsidRPr="00BC7CA3">
        <w:rPr>
          <w:rFonts w:cs="Tahoma"/>
          <w:color w:val="000000"/>
        </w:rPr>
        <w:t xml:space="preserve"> </w:t>
      </w:r>
      <w:r>
        <w:rPr>
          <w:rFonts w:cs="Tahoma"/>
          <w:color w:val="000000"/>
        </w:rPr>
        <w:t>stanowisk</w:t>
      </w:r>
      <w:r w:rsidRPr="00BC7CA3">
        <w:rPr>
          <w:rFonts w:cs="Tahoma"/>
          <w:color w:val="000000"/>
        </w:rPr>
        <w:t xml:space="preserve"> ładowania wolnego (nocnego) </w:t>
      </w:r>
      <w:r>
        <w:rPr>
          <w:rFonts w:cs="Tahoma"/>
          <w:color w:val="000000"/>
        </w:rPr>
        <w:t>na placu zajezdni</w:t>
      </w:r>
      <w:r w:rsidRPr="00BC7CA3">
        <w:rPr>
          <w:rFonts w:cs="Tahoma"/>
          <w:color w:val="000000"/>
        </w:rPr>
        <w:t xml:space="preserve"> </w:t>
      </w:r>
      <w:r>
        <w:rPr>
          <w:rFonts w:cs="Tahoma"/>
          <w:color w:val="000000"/>
        </w:rPr>
        <w:t xml:space="preserve">przy </w:t>
      </w:r>
      <w:r w:rsidRPr="00BC7CA3">
        <w:rPr>
          <w:rFonts w:cs="Tahoma"/>
          <w:color w:val="000000"/>
        </w:rPr>
        <w:t>ul. Lubelskiej, docelowo po jednym na autobus.</w:t>
      </w:r>
    </w:p>
    <w:p w14:paraId="1A71C048" w14:textId="0FEA540E" w:rsidR="00194420" w:rsidRDefault="00D069C6" w:rsidP="00576708">
      <w:pPr>
        <w:rPr>
          <w:rFonts w:cs="Tahoma"/>
        </w:rPr>
      </w:pPr>
      <w:r>
        <w:rPr>
          <w:rFonts w:cs="Tahoma"/>
        </w:rPr>
        <w:t xml:space="preserve">W stosunku do propozycji opracowanych w 2018 r. występuje, wobec stanu obecnego funkcjonowania sieci komunikacji miejskiej, </w:t>
      </w:r>
      <w:r w:rsidR="00576708">
        <w:rPr>
          <w:rFonts w:cs="Tahoma"/>
        </w:rPr>
        <w:t>potrzeba</w:t>
      </w:r>
      <w:r w:rsidR="00194420" w:rsidRPr="009008F1">
        <w:rPr>
          <w:rFonts w:cs="Tahoma"/>
        </w:rPr>
        <w:t xml:space="preserve"> aktualizacji założeń </w:t>
      </w:r>
      <w:r w:rsidR="008345A5">
        <w:rPr>
          <w:rFonts w:cs="Tahoma"/>
        </w:rPr>
        <w:t>sprzed trzech lat.</w:t>
      </w:r>
    </w:p>
    <w:p w14:paraId="5A1AF7C2" w14:textId="39684E98" w:rsidR="00D069C6" w:rsidRDefault="00D069C6" w:rsidP="00515D7D">
      <w:pPr>
        <w:rPr>
          <w:rFonts w:cs="Tahoma"/>
        </w:rPr>
      </w:pPr>
      <w:r>
        <w:rPr>
          <w:rFonts w:cs="Tahoma"/>
        </w:rPr>
        <w:t xml:space="preserve">Według stanu z 20 </w:t>
      </w:r>
      <w:r w:rsidR="00576708">
        <w:rPr>
          <w:rFonts w:cs="Tahoma"/>
        </w:rPr>
        <w:t>listopada</w:t>
      </w:r>
      <w:r>
        <w:rPr>
          <w:rFonts w:cs="Tahoma"/>
        </w:rPr>
        <w:t xml:space="preserve"> 2021 r. </w:t>
      </w:r>
      <w:r w:rsidR="00C2714E">
        <w:rPr>
          <w:rFonts w:cs="Tahoma"/>
        </w:rPr>
        <w:t>połączeniami</w:t>
      </w:r>
      <w:r>
        <w:rPr>
          <w:rFonts w:cs="Tahoma"/>
        </w:rPr>
        <w:t xml:space="preserve"> o charakte</w:t>
      </w:r>
      <w:r w:rsidR="00C2714E">
        <w:rPr>
          <w:rFonts w:cs="Tahoma"/>
        </w:rPr>
        <w:t>rze priorytetowym</w:t>
      </w:r>
      <w:r>
        <w:rPr>
          <w:rFonts w:cs="Tahoma"/>
        </w:rPr>
        <w:t xml:space="preserve"> są</w:t>
      </w:r>
      <w:r w:rsidR="00576708">
        <w:rPr>
          <w:rFonts w:cs="Tahoma"/>
        </w:rPr>
        <w:t xml:space="preserve"> cztery</w:t>
      </w:r>
      <w:r>
        <w:rPr>
          <w:rFonts w:cs="Tahoma"/>
        </w:rPr>
        <w:t xml:space="preserve"> linie </w:t>
      </w:r>
      <w:r w:rsidR="00C2714E">
        <w:rPr>
          <w:rFonts w:cs="Tahoma"/>
        </w:rPr>
        <w:t>–</w:t>
      </w:r>
      <w:r>
        <w:rPr>
          <w:rFonts w:cs="Tahoma"/>
        </w:rPr>
        <w:t xml:space="preserve"> </w:t>
      </w:r>
      <w:r w:rsidR="00576708">
        <w:rPr>
          <w:rFonts w:cs="Tahoma"/>
        </w:rPr>
        <w:t>0A, 0B, 18</w:t>
      </w:r>
      <w:r w:rsidR="00C2714E">
        <w:rPr>
          <w:rFonts w:cs="Tahoma"/>
        </w:rPr>
        <w:t xml:space="preserve"> i 19, </w:t>
      </w:r>
      <w:r w:rsidR="00576708">
        <w:rPr>
          <w:rFonts w:cs="Tahoma"/>
        </w:rPr>
        <w:t>kursujące co ok. 12 minut w szczytach przewozowych. Linie 0A oraz 0B są już obsługiwane autobusami zeroemisyjnymi, do ich obsługi mają być także przeznaczone dwa dodatkowe autobusy klasy mega, planowane do zakupu w 2023 r.</w:t>
      </w:r>
    </w:p>
    <w:p w14:paraId="6FC3A321" w14:textId="00EC2E51" w:rsidR="003A7A70" w:rsidRDefault="00C2714E" w:rsidP="00515D7D">
      <w:pPr>
        <w:rPr>
          <w:rFonts w:cs="Tahoma"/>
        </w:rPr>
      </w:pPr>
      <w:r>
        <w:rPr>
          <w:rFonts w:cs="Tahoma"/>
        </w:rPr>
        <w:t xml:space="preserve">Liniami o wysokiej częstotliwości kursowania, o charakterze linii podstawowych, </w:t>
      </w:r>
      <w:r w:rsidR="00576708">
        <w:rPr>
          <w:rFonts w:cs="Tahoma"/>
        </w:rPr>
        <w:t>jest sześć linii</w:t>
      </w:r>
      <w:r w:rsidR="008345A5">
        <w:rPr>
          <w:rFonts w:cs="Tahoma"/>
        </w:rPr>
        <w:t>:</w:t>
      </w:r>
      <w:r>
        <w:rPr>
          <w:rFonts w:cs="Tahoma"/>
        </w:rPr>
        <w:t xml:space="preserve"> </w:t>
      </w:r>
      <w:r w:rsidR="00576708">
        <w:rPr>
          <w:rFonts w:cs="Tahoma"/>
        </w:rPr>
        <w:t>4, 1</w:t>
      </w:r>
      <w:r>
        <w:rPr>
          <w:rFonts w:cs="Tahoma"/>
        </w:rPr>
        <w:t xml:space="preserve">2, </w:t>
      </w:r>
      <w:r w:rsidR="00576708">
        <w:rPr>
          <w:rFonts w:cs="Tahoma"/>
        </w:rPr>
        <w:t>13, 1</w:t>
      </w:r>
      <w:r>
        <w:rPr>
          <w:rFonts w:cs="Tahoma"/>
        </w:rPr>
        <w:t>7</w:t>
      </w:r>
      <w:r w:rsidR="00576708">
        <w:rPr>
          <w:rFonts w:cs="Tahoma"/>
        </w:rPr>
        <w:t>, 30 i 34</w:t>
      </w:r>
      <w:r>
        <w:rPr>
          <w:rFonts w:cs="Tahoma"/>
        </w:rPr>
        <w:t>, dla których liczba kursów w dniu</w:t>
      </w:r>
      <w:r w:rsidR="00576708">
        <w:rPr>
          <w:rFonts w:cs="Tahoma"/>
        </w:rPr>
        <w:t xml:space="preserve"> powszednim przekracza 40. Trasa linii 4</w:t>
      </w:r>
      <w:r>
        <w:rPr>
          <w:rFonts w:cs="Tahoma"/>
        </w:rPr>
        <w:t xml:space="preserve"> </w:t>
      </w:r>
      <w:r w:rsidR="00576708">
        <w:rPr>
          <w:rFonts w:cs="Tahoma"/>
        </w:rPr>
        <w:t>przekracza minimalnie</w:t>
      </w:r>
      <w:r>
        <w:rPr>
          <w:rFonts w:cs="Tahoma"/>
        </w:rPr>
        <w:t xml:space="preserve"> granic</w:t>
      </w:r>
      <w:r w:rsidR="00576708">
        <w:rPr>
          <w:rFonts w:cs="Tahoma"/>
        </w:rPr>
        <w:t>ę</w:t>
      </w:r>
      <w:r>
        <w:rPr>
          <w:rFonts w:cs="Tahoma"/>
        </w:rPr>
        <w:t xml:space="preserve"> miasta, </w:t>
      </w:r>
      <w:r w:rsidR="00576708">
        <w:rPr>
          <w:rFonts w:cs="Tahoma"/>
        </w:rPr>
        <w:t>korzystając z pętli przy Centrum handlowym Auchan już n</w:t>
      </w:r>
      <w:r w:rsidR="00D4666B">
        <w:rPr>
          <w:rFonts w:cs="Tahoma"/>
        </w:rPr>
        <w:t>a terenie gminy Krasne. Z kolei</w:t>
      </w:r>
      <w:r>
        <w:rPr>
          <w:rFonts w:cs="Tahoma"/>
        </w:rPr>
        <w:t xml:space="preserve"> linia </w:t>
      </w:r>
      <w:r w:rsidR="00576708">
        <w:rPr>
          <w:rFonts w:cs="Tahoma"/>
        </w:rPr>
        <w:t>1</w:t>
      </w:r>
      <w:r>
        <w:rPr>
          <w:rFonts w:cs="Tahoma"/>
        </w:rPr>
        <w:t xml:space="preserve">2 wybranymi kursami obsługuje miejscowość </w:t>
      </w:r>
      <w:r w:rsidR="00576708">
        <w:rPr>
          <w:rFonts w:cs="Tahoma"/>
        </w:rPr>
        <w:t>Siedliska</w:t>
      </w:r>
      <w:r>
        <w:rPr>
          <w:rFonts w:cs="Tahoma"/>
        </w:rPr>
        <w:t>, położoną poza granicami miasta</w:t>
      </w:r>
      <w:r w:rsidR="00515D7D">
        <w:rPr>
          <w:rFonts w:cs="Tahoma"/>
        </w:rPr>
        <w:t xml:space="preserve"> w gminie Lubenia</w:t>
      </w:r>
      <w:r>
        <w:rPr>
          <w:rFonts w:cs="Tahoma"/>
        </w:rPr>
        <w:t>.</w:t>
      </w:r>
      <w:r w:rsidR="00515D7D">
        <w:rPr>
          <w:rFonts w:cs="Tahoma"/>
        </w:rPr>
        <w:t xml:space="preserve"> Trasy linii 13, 17, 30 i 34 zawierają się w granicach Rzeszowa. </w:t>
      </w:r>
      <w:r w:rsidR="003A7A70">
        <w:rPr>
          <w:rFonts w:cs="Tahoma"/>
        </w:rPr>
        <w:t xml:space="preserve">Linie </w:t>
      </w:r>
      <w:r w:rsidR="00515D7D">
        <w:rPr>
          <w:rFonts w:cs="Tahoma"/>
        </w:rPr>
        <w:t>te</w:t>
      </w:r>
      <w:r w:rsidR="003A7A70">
        <w:rPr>
          <w:rFonts w:cs="Tahoma"/>
        </w:rPr>
        <w:t xml:space="preserve"> powinny być w pierwszej kolejności brane pod uwagę przy wyborze linii obsługiwanych taborem zeroemisyjnym. </w:t>
      </w:r>
    </w:p>
    <w:p w14:paraId="79793276" w14:textId="43007047" w:rsidR="008345A5" w:rsidRPr="00DD2244" w:rsidRDefault="008345A5" w:rsidP="00DD2244">
      <w:pPr>
        <w:rPr>
          <w:bCs/>
        </w:rPr>
      </w:pPr>
      <w:r w:rsidRPr="00DD2244">
        <w:rPr>
          <w:bCs/>
        </w:rPr>
        <w:lastRenderedPageBreak/>
        <w:t xml:space="preserve">W rozkładach jazdy linii autobusowych obsługiwanych przez </w:t>
      </w:r>
      <w:r w:rsidR="00C73F5E" w:rsidRPr="00DD2244">
        <w:rPr>
          <w:bCs/>
        </w:rPr>
        <w:t>MPK</w:t>
      </w:r>
      <w:r w:rsidR="00515D7D" w:rsidRPr="00DD2244">
        <w:rPr>
          <w:bCs/>
        </w:rPr>
        <w:t>-Rzeszów</w:t>
      </w:r>
      <w:r w:rsidR="00C73F5E" w:rsidRPr="00DD2244">
        <w:rPr>
          <w:bCs/>
        </w:rPr>
        <w:t xml:space="preserve"> </w:t>
      </w:r>
      <w:r w:rsidRPr="00DD2244">
        <w:rPr>
          <w:bCs/>
        </w:rPr>
        <w:t xml:space="preserve">sp. z o.o. zasada rytmiczności odjazdów występuje w ograniczonym zakresie. Dla części linii </w:t>
      </w:r>
      <w:r w:rsidR="005668EA" w:rsidRPr="00DD2244">
        <w:rPr>
          <w:bCs/>
        </w:rPr>
        <w:t>można</w:t>
      </w:r>
      <w:r w:rsidRPr="00DD2244">
        <w:rPr>
          <w:bCs/>
        </w:rPr>
        <w:t xml:space="preserve"> zauważyć</w:t>
      </w:r>
      <w:r w:rsidR="005668EA" w:rsidRPr="00DD2244">
        <w:rPr>
          <w:bCs/>
        </w:rPr>
        <w:t xml:space="preserve"> –</w:t>
      </w:r>
      <w:r w:rsidRPr="00DD2244">
        <w:rPr>
          <w:bCs/>
        </w:rPr>
        <w:t xml:space="preserve"> w pewnych porach dnia </w:t>
      </w:r>
      <w:r w:rsidR="005668EA" w:rsidRPr="00DD2244">
        <w:rPr>
          <w:bCs/>
        </w:rPr>
        <w:t xml:space="preserve">– </w:t>
      </w:r>
      <w:r w:rsidRPr="00DD2244">
        <w:rPr>
          <w:bCs/>
        </w:rPr>
        <w:t>rytmiczne odjazdy, ale bardzo często zasada rytmiczności jest zakłócona dostosowaniem niektórych, wybranych kursów do określonych potrzeb (szkół lub zakładów pracy), a przesunięcie nawet jednego kursu powoduje konieczność dostosowania innych kursów w zadaniu przewozowym. Warto jednak zaznaczyć, że pełna rytmiczność kursów jest rozwiązaniem bardzo korzystnym dla pasażerów, gdyż takie rozkłady jazdy powodują łatwiejszą koordynację pomiędzy różnymi liniami autobusowymi na wspólnych odcinkach tras, a to daje poczucie znacznie wyższej częstotliwości kursowania, niż w przypadku zupełnie indywidualnych rozkładów jazdy, konstruowanych odrębnie dla poszczególnych linii.</w:t>
      </w:r>
    </w:p>
    <w:p w14:paraId="3991CCDB" w14:textId="34645725" w:rsidR="008345A5" w:rsidRPr="00DD2244" w:rsidRDefault="008345A5" w:rsidP="00DD2244">
      <w:pPr>
        <w:rPr>
          <w:bCs/>
        </w:rPr>
      </w:pPr>
      <w:r w:rsidRPr="00DD2244">
        <w:rPr>
          <w:bCs/>
        </w:rPr>
        <w:t xml:space="preserve">W większości przypadków w </w:t>
      </w:r>
      <w:r w:rsidR="00C73F5E" w:rsidRPr="00DD2244">
        <w:rPr>
          <w:bCs/>
        </w:rPr>
        <w:t>rzeszowskie</w:t>
      </w:r>
      <w:r w:rsidRPr="00DD2244">
        <w:rPr>
          <w:bCs/>
        </w:rPr>
        <w:t>j komunikacji miejskiej rozkłady jazdy nie przewidują jednak rytmicznej częstotliwości (np. 20, 40 czy 60</w:t>
      </w:r>
      <w:r w:rsidR="002E7D82" w:rsidRPr="00DD2244">
        <w:rPr>
          <w:bCs/>
        </w:rPr>
        <w:t xml:space="preserve"> minut</w:t>
      </w:r>
      <w:r w:rsidRPr="00DD2244">
        <w:rPr>
          <w:bCs/>
        </w:rPr>
        <w:t>), ale jedynie częstotliwość do takich zbliżoną – wskutek dostosowywani</w:t>
      </w:r>
      <w:r w:rsidR="002E7D82" w:rsidRPr="00DD2244">
        <w:rPr>
          <w:bCs/>
        </w:rPr>
        <w:t>a</w:t>
      </w:r>
      <w:r w:rsidRPr="00DD2244">
        <w:rPr>
          <w:bCs/>
        </w:rPr>
        <w:t xml:space="preserve"> poszczególnych kursów pod określone potrzeby.</w:t>
      </w:r>
    </w:p>
    <w:p w14:paraId="296CCE4B" w14:textId="0870054E" w:rsidR="008345A5" w:rsidRPr="00DD2244" w:rsidRDefault="008345A5" w:rsidP="00DD2244">
      <w:pPr>
        <w:rPr>
          <w:bCs/>
        </w:rPr>
      </w:pPr>
      <w:r w:rsidRPr="00DD2244">
        <w:rPr>
          <w:bCs/>
        </w:rPr>
        <w:t xml:space="preserve">Aby jednak z jednej strony zapewnić pasażerom w miarę rytmiczne odjazdy, a z drugiej – optymalizować długość postoju na pętlach, w </w:t>
      </w:r>
      <w:r w:rsidR="00F1258F" w:rsidRPr="00DD2244">
        <w:rPr>
          <w:bCs/>
        </w:rPr>
        <w:t>Rzeszowie</w:t>
      </w:r>
      <w:r w:rsidRPr="00DD2244">
        <w:rPr>
          <w:bCs/>
        </w:rPr>
        <w:t xml:space="preserve"> stosuje się zmiany w przypisaniu pojazdów do linii. Konieczne jest to w szczególności w przypadku linii, których rozkłady jazdy wzajemnie się uzupełniają – </w:t>
      </w:r>
      <w:r w:rsidR="00515D7D" w:rsidRPr="00DD2244">
        <w:rPr>
          <w:bCs/>
        </w:rPr>
        <w:t>na przykład</w:t>
      </w:r>
      <w:r w:rsidRPr="00DD2244">
        <w:rPr>
          <w:bCs/>
        </w:rPr>
        <w:t xml:space="preserve"> w grupie linii: </w:t>
      </w:r>
      <w:r w:rsidR="00515D7D" w:rsidRPr="00DD2244">
        <w:rPr>
          <w:bCs/>
        </w:rPr>
        <w:t>10, 18 i 19</w:t>
      </w:r>
      <w:r w:rsidRPr="00DD2244">
        <w:rPr>
          <w:bCs/>
        </w:rPr>
        <w:t>. Przyjmuje się utrzymanie tej zasady także po wprowadzeniu taboru zeroemisyjnego w takim zakresie, aby autobusy zeroemisyjne były optymalnie wykorzystane w okresie całego dnia. Zachowana byłaby przy tym zasada</w:t>
      </w:r>
      <w:r w:rsidR="00B5291B" w:rsidRPr="00DD2244">
        <w:rPr>
          <w:bCs/>
        </w:rPr>
        <w:t xml:space="preserve"> z doładowywaniem baterii co kilka </w:t>
      </w:r>
      <w:r w:rsidRPr="00DD2244">
        <w:rPr>
          <w:bCs/>
        </w:rPr>
        <w:t>kursów</w:t>
      </w:r>
      <w:r w:rsidR="00B5291B" w:rsidRPr="00DD2244">
        <w:rPr>
          <w:bCs/>
        </w:rPr>
        <w:t xml:space="preserve"> na pętlach z ładowarkami. </w:t>
      </w:r>
    </w:p>
    <w:p w14:paraId="0ECA1085" w14:textId="56987DF4" w:rsidR="00514454" w:rsidRPr="00DD2244" w:rsidRDefault="00514454" w:rsidP="00DD2244">
      <w:pPr>
        <w:rPr>
          <w:bCs/>
        </w:rPr>
      </w:pPr>
      <w:bookmarkStart w:id="73" w:name="_Toc524602374"/>
      <w:r w:rsidRPr="00DD2244">
        <w:rPr>
          <w:bCs/>
        </w:rPr>
        <w:t xml:space="preserve">Trasy </w:t>
      </w:r>
      <w:r w:rsidR="00FA7A70" w:rsidRPr="00DD2244">
        <w:rPr>
          <w:bCs/>
        </w:rPr>
        <w:t xml:space="preserve">linii wybieranych do elektryfikacji </w:t>
      </w:r>
      <w:r w:rsidRPr="00DD2244">
        <w:rPr>
          <w:bCs/>
        </w:rPr>
        <w:t>powinny przebiegać przez obszar</w:t>
      </w:r>
      <w:r w:rsidR="00FA7A70" w:rsidRPr="00DD2244">
        <w:rPr>
          <w:bCs/>
        </w:rPr>
        <w:t>y</w:t>
      </w:r>
      <w:r w:rsidRPr="00DD2244">
        <w:rPr>
          <w:bCs/>
        </w:rPr>
        <w:t xml:space="preserve"> o gęstej zabudowie mieszkaniowej, </w:t>
      </w:r>
      <w:r w:rsidR="00FA7A70" w:rsidRPr="00DD2244">
        <w:rPr>
          <w:bCs/>
        </w:rPr>
        <w:t xml:space="preserve">wskutek czego </w:t>
      </w:r>
      <w:r w:rsidRPr="00DD2244">
        <w:rPr>
          <w:bCs/>
        </w:rPr>
        <w:t>korzyści środowiskowe wynikające z wyeliminowania emisji zanieczyszczeń oraz obniżenia hałasu</w:t>
      </w:r>
      <w:r w:rsidR="00FA7A70" w:rsidRPr="00DD2244">
        <w:rPr>
          <w:bCs/>
        </w:rPr>
        <w:t>,</w:t>
      </w:r>
      <w:r w:rsidRPr="00DD2244">
        <w:rPr>
          <w:bCs/>
        </w:rPr>
        <w:t xml:space="preserve"> dotyczyłyby znacznej liczby mieszkańców </w:t>
      </w:r>
      <w:r w:rsidR="00221687" w:rsidRPr="00DD2244">
        <w:rPr>
          <w:bCs/>
        </w:rPr>
        <w:t>Rzeszowa</w:t>
      </w:r>
      <w:r w:rsidRPr="00DD2244">
        <w:rPr>
          <w:bCs/>
        </w:rPr>
        <w:t>.</w:t>
      </w:r>
    </w:p>
    <w:p w14:paraId="260C5AE1" w14:textId="77777777" w:rsidR="00FA7A70" w:rsidRPr="00DD2244" w:rsidRDefault="00FD4C97" w:rsidP="00DD2244">
      <w:pPr>
        <w:rPr>
          <w:bCs/>
        </w:rPr>
      </w:pPr>
      <w:r w:rsidRPr="00DD2244">
        <w:rPr>
          <w:bCs/>
        </w:rPr>
        <w:t xml:space="preserve">Przy poszukiwaniu możliwości wprowadzenia do eksploatacji taboru elektrycznego, wręcz samo nasuwa się rozwiązanie polegające na instalacji stacji szybkiego ładowania autobusów </w:t>
      </w:r>
      <w:r w:rsidR="00291392" w:rsidRPr="00DD2244">
        <w:rPr>
          <w:bCs/>
        </w:rPr>
        <w:t xml:space="preserve">urządzonych </w:t>
      </w:r>
      <w:r w:rsidR="00FA7A70" w:rsidRPr="00DD2244">
        <w:rPr>
          <w:bCs/>
        </w:rPr>
        <w:t xml:space="preserve">na </w:t>
      </w:r>
      <w:r w:rsidR="00291392" w:rsidRPr="00DD2244">
        <w:rPr>
          <w:bCs/>
        </w:rPr>
        <w:t>pętlach</w:t>
      </w:r>
      <w:r w:rsidRPr="00DD2244">
        <w:rPr>
          <w:bCs/>
        </w:rPr>
        <w:t>, któr</w:t>
      </w:r>
      <w:r w:rsidR="00291392" w:rsidRPr="00DD2244">
        <w:rPr>
          <w:bCs/>
        </w:rPr>
        <w:t>e</w:t>
      </w:r>
      <w:r w:rsidRPr="00DD2244">
        <w:rPr>
          <w:bCs/>
        </w:rPr>
        <w:t xml:space="preserve"> stanowi</w:t>
      </w:r>
      <w:r w:rsidR="00FA7A70" w:rsidRPr="00DD2244">
        <w:rPr>
          <w:bCs/>
        </w:rPr>
        <w:t>ą</w:t>
      </w:r>
      <w:r w:rsidRPr="00DD2244">
        <w:rPr>
          <w:bCs/>
        </w:rPr>
        <w:t xml:space="preserve"> przystank</w:t>
      </w:r>
      <w:r w:rsidR="00FA7A70" w:rsidRPr="00DD2244">
        <w:rPr>
          <w:bCs/>
        </w:rPr>
        <w:t>i</w:t>
      </w:r>
      <w:r w:rsidRPr="00DD2244">
        <w:rPr>
          <w:bCs/>
        </w:rPr>
        <w:t xml:space="preserve"> początkowo-końcow</w:t>
      </w:r>
      <w:r w:rsidR="00FA7A70" w:rsidRPr="00DD2244">
        <w:rPr>
          <w:bCs/>
        </w:rPr>
        <w:t>e</w:t>
      </w:r>
      <w:r w:rsidRPr="00DD2244">
        <w:rPr>
          <w:bCs/>
        </w:rPr>
        <w:t xml:space="preserve"> </w:t>
      </w:r>
      <w:r w:rsidR="00291392" w:rsidRPr="00DD2244">
        <w:rPr>
          <w:bCs/>
        </w:rPr>
        <w:t>dla wielu</w:t>
      </w:r>
      <w:r w:rsidRPr="00DD2244">
        <w:rPr>
          <w:bCs/>
        </w:rPr>
        <w:t xml:space="preserve"> linii autobusowych.</w:t>
      </w:r>
    </w:p>
    <w:p w14:paraId="7181942D" w14:textId="17BCCD16" w:rsidR="00FA7A70" w:rsidRPr="00DD2244" w:rsidRDefault="00291392" w:rsidP="00DD2244">
      <w:pPr>
        <w:rPr>
          <w:bCs/>
        </w:rPr>
      </w:pPr>
      <w:r w:rsidRPr="00DD2244">
        <w:rPr>
          <w:bCs/>
        </w:rPr>
        <w:t>Takimi pętlami są</w:t>
      </w:r>
      <w:r w:rsidR="00FA7A70" w:rsidRPr="00DD2244">
        <w:rPr>
          <w:bCs/>
        </w:rPr>
        <w:t xml:space="preserve"> niżej wymienione – obsługujące odpowiednio następującą liczbę linii</w:t>
      </w:r>
      <w:r w:rsidRPr="00DD2244">
        <w:rPr>
          <w:bCs/>
        </w:rPr>
        <w:t xml:space="preserve">: </w:t>
      </w:r>
    </w:p>
    <w:p w14:paraId="5CDC6524" w14:textId="57F696A1" w:rsidR="00FA7A70" w:rsidRPr="00DD2244" w:rsidRDefault="00515D7D" w:rsidP="00DD2244">
      <w:pPr>
        <w:numPr>
          <w:ilvl w:val="0"/>
          <w:numId w:val="21"/>
        </w:numPr>
        <w:tabs>
          <w:tab w:val="num" w:pos="426"/>
        </w:tabs>
        <w:ind w:left="357" w:hanging="357"/>
        <w:rPr>
          <w:color w:val="000000" w:themeColor="text1"/>
        </w:rPr>
      </w:pPr>
      <w:r w:rsidRPr="00DD2244">
        <w:rPr>
          <w:color w:val="000000" w:themeColor="text1"/>
        </w:rPr>
        <w:t>Bardowskiego – 10</w:t>
      </w:r>
      <w:r w:rsidR="00FA7A70" w:rsidRPr="00DD2244">
        <w:rPr>
          <w:color w:val="000000" w:themeColor="text1"/>
        </w:rPr>
        <w:t>;</w:t>
      </w:r>
    </w:p>
    <w:p w14:paraId="46475762" w14:textId="2F24F745" w:rsidR="00FA7A70" w:rsidRPr="00DD2244" w:rsidRDefault="00515D7D" w:rsidP="00DD2244">
      <w:pPr>
        <w:numPr>
          <w:ilvl w:val="0"/>
          <w:numId w:val="21"/>
        </w:numPr>
        <w:tabs>
          <w:tab w:val="num" w:pos="426"/>
        </w:tabs>
        <w:ind w:left="357" w:hanging="357"/>
        <w:rPr>
          <w:color w:val="000000" w:themeColor="text1"/>
        </w:rPr>
      </w:pPr>
      <w:r w:rsidRPr="00DD2244">
        <w:rPr>
          <w:color w:val="000000" w:themeColor="text1"/>
        </w:rPr>
        <w:t xml:space="preserve">Lubelska </w:t>
      </w:r>
      <w:r w:rsidR="00CC1D64" w:rsidRPr="00DD2244">
        <w:rPr>
          <w:color w:val="000000" w:themeColor="text1"/>
        </w:rPr>
        <w:t xml:space="preserve">Zajezdnia </w:t>
      </w:r>
      <w:r w:rsidRPr="00DD2244">
        <w:rPr>
          <w:color w:val="000000" w:themeColor="text1"/>
        </w:rPr>
        <w:t>MPK</w:t>
      </w:r>
      <w:r w:rsidR="00FA7A70" w:rsidRPr="00DD2244">
        <w:rPr>
          <w:color w:val="000000" w:themeColor="text1"/>
        </w:rPr>
        <w:t xml:space="preserve"> – </w:t>
      </w:r>
      <w:r w:rsidRPr="00DD2244">
        <w:rPr>
          <w:color w:val="000000" w:themeColor="text1"/>
        </w:rPr>
        <w:t>8</w:t>
      </w:r>
      <w:r w:rsidR="00FA7A70" w:rsidRPr="00DD2244">
        <w:rPr>
          <w:color w:val="000000" w:themeColor="text1"/>
        </w:rPr>
        <w:t>;</w:t>
      </w:r>
    </w:p>
    <w:p w14:paraId="33B0E6B1" w14:textId="39530571" w:rsidR="00FA7A70" w:rsidRPr="00DD2244" w:rsidRDefault="0002652F" w:rsidP="00DD2244">
      <w:pPr>
        <w:numPr>
          <w:ilvl w:val="0"/>
          <w:numId w:val="21"/>
        </w:numPr>
        <w:tabs>
          <w:tab w:val="num" w:pos="426"/>
        </w:tabs>
        <w:ind w:left="357" w:hanging="357"/>
        <w:rPr>
          <w:color w:val="000000" w:themeColor="text1"/>
        </w:rPr>
      </w:pPr>
      <w:r w:rsidRPr="00DD2244">
        <w:rPr>
          <w:color w:val="000000" w:themeColor="text1"/>
        </w:rPr>
        <w:t xml:space="preserve">Bł. </w:t>
      </w:r>
      <w:r w:rsidR="00515D7D" w:rsidRPr="00DD2244">
        <w:rPr>
          <w:color w:val="000000" w:themeColor="text1"/>
        </w:rPr>
        <w:t>Karoliny</w:t>
      </w:r>
      <w:r w:rsidR="00FA7A70" w:rsidRPr="00DD2244">
        <w:rPr>
          <w:color w:val="000000" w:themeColor="text1"/>
        </w:rPr>
        <w:t xml:space="preserve"> – </w:t>
      </w:r>
      <w:r w:rsidR="00515D7D" w:rsidRPr="00DD2244">
        <w:rPr>
          <w:color w:val="000000" w:themeColor="text1"/>
        </w:rPr>
        <w:t>7</w:t>
      </w:r>
      <w:r w:rsidR="00FA7A70" w:rsidRPr="00DD2244">
        <w:rPr>
          <w:color w:val="000000" w:themeColor="text1"/>
        </w:rPr>
        <w:t>;</w:t>
      </w:r>
    </w:p>
    <w:p w14:paraId="4D0A3AB2" w14:textId="0C58FC71" w:rsidR="00FA7A70" w:rsidRPr="00DD2244" w:rsidRDefault="00515D7D" w:rsidP="00DD2244">
      <w:pPr>
        <w:numPr>
          <w:ilvl w:val="0"/>
          <w:numId w:val="21"/>
        </w:numPr>
        <w:tabs>
          <w:tab w:val="num" w:pos="426"/>
        </w:tabs>
        <w:ind w:left="357" w:hanging="357"/>
        <w:rPr>
          <w:color w:val="000000" w:themeColor="text1"/>
        </w:rPr>
      </w:pPr>
      <w:r w:rsidRPr="00DD2244">
        <w:rPr>
          <w:color w:val="000000" w:themeColor="text1"/>
        </w:rPr>
        <w:t>Przemysłowa Urząd Celny</w:t>
      </w:r>
      <w:r w:rsidR="00FA7A70" w:rsidRPr="00DD2244">
        <w:rPr>
          <w:color w:val="000000" w:themeColor="text1"/>
        </w:rPr>
        <w:t xml:space="preserve"> – </w:t>
      </w:r>
      <w:r w:rsidRPr="00DD2244">
        <w:rPr>
          <w:color w:val="000000" w:themeColor="text1"/>
        </w:rPr>
        <w:t>6</w:t>
      </w:r>
      <w:r w:rsidR="00FA7A70" w:rsidRPr="00DD2244">
        <w:rPr>
          <w:color w:val="000000" w:themeColor="text1"/>
        </w:rPr>
        <w:t>;</w:t>
      </w:r>
    </w:p>
    <w:p w14:paraId="57B82B1F" w14:textId="77777777" w:rsidR="00515D7D" w:rsidRPr="00DD2244" w:rsidRDefault="00515D7D" w:rsidP="00DD2244">
      <w:pPr>
        <w:numPr>
          <w:ilvl w:val="0"/>
          <w:numId w:val="21"/>
        </w:numPr>
        <w:tabs>
          <w:tab w:val="num" w:pos="426"/>
        </w:tabs>
        <w:ind w:left="357" w:hanging="357"/>
        <w:rPr>
          <w:color w:val="000000" w:themeColor="text1"/>
        </w:rPr>
      </w:pPr>
      <w:r w:rsidRPr="00DD2244">
        <w:rPr>
          <w:color w:val="000000" w:themeColor="text1"/>
        </w:rPr>
        <w:t>Cienista Cmentarz</w:t>
      </w:r>
      <w:r w:rsidR="00C73F5E" w:rsidRPr="00DD2244">
        <w:rPr>
          <w:color w:val="000000" w:themeColor="text1"/>
        </w:rPr>
        <w:t xml:space="preserve"> </w:t>
      </w:r>
      <w:r w:rsidR="00FA7A70" w:rsidRPr="00DD2244">
        <w:rPr>
          <w:color w:val="000000" w:themeColor="text1"/>
        </w:rPr>
        <w:t xml:space="preserve">– </w:t>
      </w:r>
      <w:r w:rsidRPr="00DD2244">
        <w:rPr>
          <w:color w:val="000000" w:themeColor="text1"/>
        </w:rPr>
        <w:t>5;</w:t>
      </w:r>
    </w:p>
    <w:p w14:paraId="22BD4E8A" w14:textId="3A7C592C" w:rsidR="00907619" w:rsidRPr="00DD2244" w:rsidRDefault="00515D7D" w:rsidP="00DD2244">
      <w:pPr>
        <w:numPr>
          <w:ilvl w:val="0"/>
          <w:numId w:val="21"/>
        </w:numPr>
        <w:tabs>
          <w:tab w:val="num" w:pos="426"/>
        </w:tabs>
        <w:ind w:left="357" w:hanging="357"/>
        <w:rPr>
          <w:color w:val="000000" w:themeColor="text1"/>
        </w:rPr>
      </w:pPr>
      <w:r w:rsidRPr="00DD2244">
        <w:rPr>
          <w:color w:val="000000" w:themeColor="text1"/>
        </w:rPr>
        <w:t xml:space="preserve">Dworzec </w:t>
      </w:r>
      <w:r w:rsidR="0002652F" w:rsidRPr="00DD2244">
        <w:rPr>
          <w:color w:val="000000" w:themeColor="text1"/>
        </w:rPr>
        <w:t>Lokalny</w:t>
      </w:r>
      <w:r w:rsidRPr="00DD2244">
        <w:rPr>
          <w:color w:val="000000" w:themeColor="text1"/>
        </w:rPr>
        <w:t xml:space="preserve"> – 5</w:t>
      </w:r>
      <w:r w:rsidR="00DD2244" w:rsidRPr="00DD2244">
        <w:rPr>
          <w:color w:val="000000" w:themeColor="text1"/>
        </w:rPr>
        <w:t>;</w:t>
      </w:r>
    </w:p>
    <w:p w14:paraId="4965C208" w14:textId="2206ACCA" w:rsidR="0002652F" w:rsidRPr="00DD2244" w:rsidRDefault="0002652F" w:rsidP="00DD2244">
      <w:pPr>
        <w:numPr>
          <w:ilvl w:val="0"/>
          <w:numId w:val="21"/>
        </w:numPr>
        <w:tabs>
          <w:tab w:val="num" w:pos="426"/>
        </w:tabs>
        <w:ind w:left="357" w:hanging="357"/>
        <w:rPr>
          <w:color w:val="000000" w:themeColor="text1"/>
        </w:rPr>
      </w:pPr>
      <w:r w:rsidRPr="00DD2244">
        <w:rPr>
          <w:color w:val="000000" w:themeColor="text1"/>
        </w:rPr>
        <w:lastRenderedPageBreak/>
        <w:t>Łukasiewicza – 5</w:t>
      </w:r>
      <w:r w:rsidR="00DD2244" w:rsidRPr="00DD2244">
        <w:rPr>
          <w:color w:val="000000" w:themeColor="text1"/>
        </w:rPr>
        <w:t>;</w:t>
      </w:r>
    </w:p>
    <w:p w14:paraId="31463C2B" w14:textId="1CAFD810" w:rsidR="0002652F" w:rsidRPr="00DD2244" w:rsidRDefault="0002652F" w:rsidP="00DD2244">
      <w:pPr>
        <w:numPr>
          <w:ilvl w:val="0"/>
          <w:numId w:val="21"/>
        </w:numPr>
        <w:tabs>
          <w:tab w:val="num" w:pos="426"/>
        </w:tabs>
        <w:ind w:left="357" w:hanging="357"/>
        <w:rPr>
          <w:color w:val="000000" w:themeColor="text1"/>
        </w:rPr>
      </w:pPr>
      <w:r w:rsidRPr="00DD2244">
        <w:rPr>
          <w:color w:val="000000" w:themeColor="text1"/>
        </w:rPr>
        <w:t>Ob. Poczty Gdańskiej – 5.</w:t>
      </w:r>
    </w:p>
    <w:p w14:paraId="54B2A589" w14:textId="42FEAD9F" w:rsidR="00FD4C97" w:rsidRPr="00FD4C97" w:rsidRDefault="00291392" w:rsidP="00DD2244">
      <w:pPr>
        <w:rPr>
          <w:bCs/>
        </w:rPr>
      </w:pPr>
      <w:r w:rsidRPr="00DD2244">
        <w:rPr>
          <w:bCs/>
        </w:rPr>
        <w:t xml:space="preserve">W </w:t>
      </w:r>
      <w:r w:rsidR="00515D7D" w:rsidRPr="00DD2244">
        <w:rPr>
          <w:bCs/>
        </w:rPr>
        <w:t>niektórych</w:t>
      </w:r>
      <w:r w:rsidRPr="00DD2244">
        <w:rPr>
          <w:bCs/>
        </w:rPr>
        <w:t xml:space="preserve"> przypadkach </w:t>
      </w:r>
      <w:r w:rsidR="00907619" w:rsidRPr="00DD2244">
        <w:rPr>
          <w:bCs/>
        </w:rPr>
        <w:t xml:space="preserve">pętla </w:t>
      </w:r>
      <w:r w:rsidRPr="00DD2244">
        <w:rPr>
          <w:bCs/>
        </w:rPr>
        <w:t>obsługiwana jest jedynie wybranymi kursami</w:t>
      </w:r>
      <w:r w:rsidR="00907619" w:rsidRPr="00DD2244">
        <w:rPr>
          <w:bCs/>
        </w:rPr>
        <w:t xml:space="preserve"> w ramach danej linii.</w:t>
      </w:r>
    </w:p>
    <w:p w14:paraId="5E720356" w14:textId="77777777" w:rsidR="00514454" w:rsidRPr="009008F1" w:rsidRDefault="00514454" w:rsidP="0002652F">
      <w:r w:rsidRPr="009008F1">
        <w:t>Z zapisów art. 12 ust. 1 pkt 8 ustawy o ptz wynika konieczność jednoznacznego wskazania linii komunikacyjnych, na których przewidywane jest wykorzystanie pojazdów elektrycznych lub pojazdów napędzanych gazem ziemnym. Zgodnie z art. 12 ust. 2a przywołanej ustawy, przy opracowywaniu planu transportowego gminy należy uwzględnić również wyniki analizy, o której mowa w art. 37 ust. 1 ustawy o elektromobilności, sporządzonej przez tę gminę. Wymagane wskazanie w planie transportowym linii do elektryfikacji powinno więc wynikać wprost z analizy kosztów i korzyści.</w:t>
      </w:r>
    </w:p>
    <w:p w14:paraId="29ABE6C0" w14:textId="25C51139" w:rsidR="001A63AF" w:rsidRPr="00DD2244" w:rsidRDefault="00514454" w:rsidP="00DD2244">
      <w:pPr>
        <w:rPr>
          <w:bCs/>
        </w:rPr>
      </w:pPr>
      <w:r w:rsidRPr="00DD2244">
        <w:rPr>
          <w:bCs/>
        </w:rPr>
        <w:t>W kontekście powyższych rozważań, niezależnie od możliwej elektryfikacji poszczególnych zadań przewozowych, połączonych wspólnym obiegiem taboru na różnych liniach, proponuje się</w:t>
      </w:r>
      <w:r w:rsidR="00291392" w:rsidRPr="00DD2244">
        <w:rPr>
          <w:bCs/>
        </w:rPr>
        <w:t xml:space="preserve"> </w:t>
      </w:r>
      <w:bookmarkStart w:id="74" w:name="_Hlk86686518"/>
      <w:r w:rsidR="00291392" w:rsidRPr="00DD2244">
        <w:rPr>
          <w:bCs/>
        </w:rPr>
        <w:t>w wariancie elektrycznym</w:t>
      </w:r>
      <w:r w:rsidRPr="00DD2244">
        <w:rPr>
          <w:bCs/>
        </w:rPr>
        <w:t xml:space="preserve">, aby przydział </w:t>
      </w:r>
      <w:r w:rsidR="00515D7D" w:rsidRPr="00DD2244">
        <w:rPr>
          <w:bCs/>
        </w:rPr>
        <w:t xml:space="preserve">nowych </w:t>
      </w:r>
      <w:r w:rsidRPr="00DD2244">
        <w:rPr>
          <w:bCs/>
        </w:rPr>
        <w:t>linii do obsługi taborem zeroemisyjnym przedstawiał się następująco:</w:t>
      </w:r>
    </w:p>
    <w:p w14:paraId="30721967" w14:textId="2E641454" w:rsidR="0048735E" w:rsidRPr="00DD2244" w:rsidRDefault="00515D7D" w:rsidP="00DD2244">
      <w:pPr>
        <w:pStyle w:val="Akapitzlist"/>
        <w:numPr>
          <w:ilvl w:val="0"/>
          <w:numId w:val="18"/>
        </w:numPr>
        <w:spacing w:after="0" w:line="360" w:lineRule="auto"/>
        <w:ind w:left="357" w:hanging="357"/>
        <w:jc w:val="both"/>
        <w:rPr>
          <w:rFonts w:ascii="Tahoma" w:hAnsi="Tahoma" w:cs="Tahoma"/>
        </w:rPr>
      </w:pPr>
      <w:r w:rsidRPr="00DD2244">
        <w:rPr>
          <w:rFonts w:ascii="Tahoma" w:hAnsi="Tahoma" w:cs="Tahoma"/>
        </w:rPr>
        <w:t>w pierwszej kolejności – linie</w:t>
      </w:r>
      <w:r w:rsidR="008215F6" w:rsidRPr="00DD2244">
        <w:rPr>
          <w:rFonts w:ascii="Tahoma" w:hAnsi="Tahoma" w:cs="Tahoma"/>
        </w:rPr>
        <w:t xml:space="preserve"> </w:t>
      </w:r>
      <w:r w:rsidRPr="00DD2244">
        <w:rPr>
          <w:rFonts w:ascii="Tahoma" w:hAnsi="Tahoma" w:cs="Tahoma"/>
        </w:rPr>
        <w:t>priorytetowe 18 i 19</w:t>
      </w:r>
      <w:r w:rsidR="008215F6" w:rsidRPr="00DD2244">
        <w:rPr>
          <w:rFonts w:ascii="Tahoma" w:hAnsi="Tahoma" w:cs="Tahoma"/>
        </w:rPr>
        <w:t xml:space="preserve"> oraz </w:t>
      </w:r>
      <w:r w:rsidR="00387EA7" w:rsidRPr="00DD2244">
        <w:rPr>
          <w:rFonts w:ascii="Tahoma" w:hAnsi="Tahoma" w:cs="Tahoma"/>
        </w:rPr>
        <w:t xml:space="preserve">dodatkowo </w:t>
      </w:r>
      <w:r w:rsidR="008215F6" w:rsidRPr="00DD2244">
        <w:rPr>
          <w:rFonts w:ascii="Tahoma" w:hAnsi="Tahoma" w:cs="Tahoma"/>
        </w:rPr>
        <w:t xml:space="preserve">linia </w:t>
      </w:r>
      <w:r w:rsidR="00387EA7" w:rsidRPr="00DD2244">
        <w:rPr>
          <w:rFonts w:ascii="Tahoma" w:hAnsi="Tahoma" w:cs="Tahoma"/>
        </w:rPr>
        <w:t xml:space="preserve">uzupełniająca </w:t>
      </w:r>
      <w:r w:rsidRPr="00DD2244">
        <w:rPr>
          <w:rFonts w:ascii="Tahoma" w:hAnsi="Tahoma" w:cs="Tahoma"/>
        </w:rPr>
        <w:t>10</w:t>
      </w:r>
      <w:r w:rsidR="008215F6" w:rsidRPr="00DD2244">
        <w:rPr>
          <w:rFonts w:ascii="Tahoma" w:hAnsi="Tahoma" w:cs="Tahoma"/>
        </w:rPr>
        <w:t xml:space="preserve">, korzystające z </w:t>
      </w:r>
      <w:r w:rsidR="00C341EA" w:rsidRPr="00DD2244">
        <w:rPr>
          <w:rFonts w:ascii="Tahoma" w:hAnsi="Tahoma" w:cs="Tahoma"/>
        </w:rPr>
        <w:t xml:space="preserve">dwustanowiskowej </w:t>
      </w:r>
      <w:r w:rsidR="008215F6" w:rsidRPr="00DD2244">
        <w:rPr>
          <w:rFonts w:ascii="Tahoma" w:hAnsi="Tahoma" w:cs="Tahoma"/>
        </w:rPr>
        <w:t xml:space="preserve">ładowarki pantografowej na pętli </w:t>
      </w:r>
      <w:r w:rsidRPr="00DD2244">
        <w:rPr>
          <w:rFonts w:ascii="Tahoma" w:hAnsi="Tahoma" w:cs="Tahoma"/>
        </w:rPr>
        <w:t>Łukasiewicza</w:t>
      </w:r>
      <w:r w:rsidR="008215F6" w:rsidRPr="00DD2244">
        <w:rPr>
          <w:rFonts w:ascii="Tahoma" w:hAnsi="Tahoma" w:cs="Tahoma"/>
        </w:rPr>
        <w:t>;</w:t>
      </w:r>
    </w:p>
    <w:p w14:paraId="5777A82B" w14:textId="1CB98946" w:rsidR="001A63AF" w:rsidRPr="00DD2244" w:rsidRDefault="00CC1D64" w:rsidP="00DD2244">
      <w:pPr>
        <w:pStyle w:val="Akapitzlist"/>
        <w:numPr>
          <w:ilvl w:val="0"/>
          <w:numId w:val="18"/>
        </w:numPr>
        <w:spacing w:after="0" w:line="360" w:lineRule="auto"/>
        <w:ind w:left="357" w:hanging="357"/>
        <w:jc w:val="both"/>
        <w:rPr>
          <w:rFonts w:ascii="Tahoma" w:hAnsi="Tahoma" w:cs="Tahoma"/>
        </w:rPr>
      </w:pPr>
      <w:r w:rsidRPr="00DD2244">
        <w:rPr>
          <w:rFonts w:ascii="Tahoma" w:hAnsi="Tahoma" w:cs="Tahoma"/>
        </w:rPr>
        <w:t>w drugiej kolejności – lini</w:t>
      </w:r>
      <w:r w:rsidR="00E26F01" w:rsidRPr="00DD2244">
        <w:rPr>
          <w:rFonts w:ascii="Tahoma" w:hAnsi="Tahoma" w:cs="Tahoma"/>
        </w:rPr>
        <w:t>a</w:t>
      </w:r>
      <w:r w:rsidR="008215F6" w:rsidRPr="00DD2244">
        <w:rPr>
          <w:rFonts w:ascii="Tahoma" w:hAnsi="Tahoma" w:cs="Tahoma"/>
        </w:rPr>
        <w:t xml:space="preserve"> </w:t>
      </w:r>
      <w:r w:rsidR="00387EA7" w:rsidRPr="00DD2244">
        <w:rPr>
          <w:rFonts w:ascii="Tahoma" w:hAnsi="Tahoma" w:cs="Tahoma"/>
        </w:rPr>
        <w:t xml:space="preserve">podstawowa </w:t>
      </w:r>
      <w:r w:rsidRPr="00DD2244">
        <w:rPr>
          <w:rFonts w:ascii="Tahoma" w:hAnsi="Tahoma" w:cs="Tahoma"/>
        </w:rPr>
        <w:t>30 oraz uzupełniająca 11, korzystające</w:t>
      </w:r>
      <w:r w:rsidR="008215F6" w:rsidRPr="00DD2244">
        <w:rPr>
          <w:rFonts w:ascii="Tahoma" w:hAnsi="Tahoma" w:cs="Tahoma"/>
        </w:rPr>
        <w:t xml:space="preserve"> z </w:t>
      </w:r>
      <w:r w:rsidR="00C341EA" w:rsidRPr="00DD2244">
        <w:rPr>
          <w:rFonts w:ascii="Tahoma" w:hAnsi="Tahoma" w:cs="Tahoma"/>
        </w:rPr>
        <w:t xml:space="preserve">dwustanowiskowej </w:t>
      </w:r>
      <w:r w:rsidR="008215F6" w:rsidRPr="00DD2244">
        <w:rPr>
          <w:rFonts w:ascii="Tahoma" w:hAnsi="Tahoma" w:cs="Tahoma"/>
        </w:rPr>
        <w:t xml:space="preserve">ładowarki na pętli </w:t>
      </w:r>
      <w:r w:rsidRPr="00DD2244">
        <w:rPr>
          <w:rFonts w:ascii="Tahoma" w:hAnsi="Tahoma" w:cs="Tahoma"/>
        </w:rPr>
        <w:t>Matuszczaka, z ładowarki tej także korzystać w miarę możliwości linie 23 i 24</w:t>
      </w:r>
      <w:r w:rsidR="008215F6" w:rsidRPr="00DD2244">
        <w:rPr>
          <w:rFonts w:ascii="Tahoma" w:hAnsi="Tahoma" w:cs="Tahoma"/>
        </w:rPr>
        <w:t>;</w:t>
      </w:r>
    </w:p>
    <w:p w14:paraId="4D25CD66" w14:textId="2AA04092" w:rsidR="0048735E" w:rsidRPr="00DD2244" w:rsidRDefault="00EF432F" w:rsidP="00DD2244">
      <w:pPr>
        <w:pStyle w:val="Akapitzlist"/>
        <w:numPr>
          <w:ilvl w:val="0"/>
          <w:numId w:val="18"/>
        </w:numPr>
        <w:spacing w:after="0" w:line="360" w:lineRule="auto"/>
        <w:ind w:left="357" w:hanging="357"/>
        <w:jc w:val="both"/>
        <w:rPr>
          <w:rFonts w:ascii="Tahoma" w:hAnsi="Tahoma" w:cs="Tahoma"/>
        </w:rPr>
      </w:pPr>
      <w:r w:rsidRPr="00DD2244">
        <w:rPr>
          <w:rFonts w:ascii="Tahoma" w:hAnsi="Tahoma" w:cs="Tahoma"/>
        </w:rPr>
        <w:t xml:space="preserve">w </w:t>
      </w:r>
      <w:r w:rsidR="00387EA7" w:rsidRPr="00DD2244">
        <w:rPr>
          <w:rFonts w:ascii="Tahoma" w:hAnsi="Tahoma" w:cs="Tahoma"/>
        </w:rPr>
        <w:t xml:space="preserve">trzeciej </w:t>
      </w:r>
      <w:r w:rsidRPr="00DD2244">
        <w:rPr>
          <w:rFonts w:ascii="Tahoma" w:hAnsi="Tahoma" w:cs="Tahoma"/>
        </w:rPr>
        <w:t xml:space="preserve">kolejności – linie </w:t>
      </w:r>
      <w:r w:rsidR="00CC1D64" w:rsidRPr="00DD2244">
        <w:rPr>
          <w:rFonts w:ascii="Tahoma" w:hAnsi="Tahoma" w:cs="Tahoma"/>
        </w:rPr>
        <w:t xml:space="preserve">podstawowe </w:t>
      </w:r>
      <w:r w:rsidRPr="00DD2244">
        <w:rPr>
          <w:rFonts w:ascii="Tahoma" w:hAnsi="Tahoma" w:cs="Tahoma"/>
        </w:rPr>
        <w:t>1</w:t>
      </w:r>
      <w:r w:rsidR="00CC1D64" w:rsidRPr="00DD2244">
        <w:rPr>
          <w:rFonts w:ascii="Tahoma" w:hAnsi="Tahoma" w:cs="Tahoma"/>
        </w:rPr>
        <w:t>3</w:t>
      </w:r>
      <w:r w:rsidRPr="00DD2244">
        <w:rPr>
          <w:rFonts w:ascii="Tahoma" w:hAnsi="Tahoma" w:cs="Tahoma"/>
        </w:rPr>
        <w:t>, 17</w:t>
      </w:r>
      <w:r w:rsidR="00DF5FC6" w:rsidRPr="00DD2244">
        <w:rPr>
          <w:rFonts w:ascii="Tahoma" w:hAnsi="Tahoma" w:cs="Tahoma"/>
        </w:rPr>
        <w:t xml:space="preserve"> i</w:t>
      </w:r>
      <w:r w:rsidRPr="00DD2244">
        <w:rPr>
          <w:rFonts w:ascii="Tahoma" w:hAnsi="Tahoma" w:cs="Tahoma"/>
        </w:rPr>
        <w:t xml:space="preserve"> </w:t>
      </w:r>
      <w:r w:rsidR="00CC1D64" w:rsidRPr="00DD2244">
        <w:rPr>
          <w:rFonts w:ascii="Tahoma" w:hAnsi="Tahoma" w:cs="Tahoma"/>
        </w:rPr>
        <w:t>34</w:t>
      </w:r>
      <w:r w:rsidR="00DF5FC6" w:rsidRPr="00DD2244">
        <w:rPr>
          <w:rFonts w:ascii="Tahoma" w:hAnsi="Tahoma" w:cs="Tahoma"/>
        </w:rPr>
        <w:t>,</w:t>
      </w:r>
      <w:r w:rsidRPr="00DD2244">
        <w:rPr>
          <w:rFonts w:ascii="Tahoma" w:hAnsi="Tahoma" w:cs="Tahoma"/>
        </w:rPr>
        <w:t xml:space="preserve"> z instalacją ładowarki na pętli </w:t>
      </w:r>
      <w:r w:rsidR="00CC1D64" w:rsidRPr="00DD2244">
        <w:rPr>
          <w:rFonts w:ascii="Tahoma" w:hAnsi="Tahoma" w:cs="Tahoma"/>
        </w:rPr>
        <w:t>Lwowska Szpital</w:t>
      </w:r>
      <w:r w:rsidR="00C341EA" w:rsidRPr="00DD2244">
        <w:rPr>
          <w:rFonts w:ascii="Tahoma" w:hAnsi="Tahoma" w:cs="Tahoma"/>
        </w:rPr>
        <w:t>, z co najmniej dwoma stanowiskami do ładowania</w:t>
      </w:r>
      <w:r w:rsidR="00CC1D64" w:rsidRPr="00DD2244">
        <w:rPr>
          <w:rFonts w:ascii="Tahoma" w:hAnsi="Tahoma" w:cs="Tahoma"/>
        </w:rPr>
        <w:t>;</w:t>
      </w:r>
    </w:p>
    <w:p w14:paraId="70C1FA68" w14:textId="5A172B36" w:rsidR="00CC1D64" w:rsidRPr="00DD2244" w:rsidRDefault="00CC1D64" w:rsidP="00DD2244">
      <w:pPr>
        <w:pStyle w:val="Akapitzlist"/>
        <w:numPr>
          <w:ilvl w:val="0"/>
          <w:numId w:val="18"/>
        </w:numPr>
        <w:spacing w:after="0" w:line="360" w:lineRule="auto"/>
        <w:ind w:left="357" w:hanging="357"/>
        <w:jc w:val="both"/>
        <w:rPr>
          <w:rFonts w:ascii="Tahoma" w:hAnsi="Tahoma" w:cs="Tahoma"/>
        </w:rPr>
      </w:pPr>
      <w:r w:rsidRPr="00DD2244">
        <w:rPr>
          <w:rFonts w:ascii="Tahoma" w:hAnsi="Tahoma" w:cs="Tahoma"/>
        </w:rPr>
        <w:t>w czwartej kolejności – linia podstawowa 4 oraz uzupełniająca 31, z instalacją ładowarki na terenie zajezdni przy ul. Lubelskiej lub w bezpośrednim jej pobliżu, z ładowarki tej w</w:t>
      </w:r>
      <w:r w:rsidR="00B61783" w:rsidRPr="00DD2244">
        <w:rPr>
          <w:rFonts w:ascii="Tahoma" w:hAnsi="Tahoma" w:cs="Tahoma"/>
        </w:rPr>
        <w:t> </w:t>
      </w:r>
      <w:r w:rsidRPr="00DD2244">
        <w:rPr>
          <w:rFonts w:ascii="Tahoma" w:hAnsi="Tahoma" w:cs="Tahoma"/>
        </w:rPr>
        <w:t>miarę możliwości mogłyby także korzystać autobusy linii 33;</w:t>
      </w:r>
    </w:p>
    <w:p w14:paraId="3DF96295" w14:textId="7F9647E3" w:rsidR="00CC1D64" w:rsidRPr="00DD2244" w:rsidRDefault="00CC1D64" w:rsidP="00DD2244">
      <w:pPr>
        <w:pStyle w:val="Akapitzlist"/>
        <w:numPr>
          <w:ilvl w:val="0"/>
          <w:numId w:val="18"/>
        </w:numPr>
        <w:spacing w:after="0" w:line="360" w:lineRule="auto"/>
        <w:ind w:left="357" w:hanging="357"/>
        <w:jc w:val="both"/>
        <w:rPr>
          <w:rFonts w:ascii="Tahoma" w:hAnsi="Tahoma" w:cs="Tahoma"/>
        </w:rPr>
      </w:pPr>
      <w:r w:rsidRPr="00DD2244">
        <w:rPr>
          <w:rFonts w:ascii="Tahoma" w:hAnsi="Tahoma" w:cs="Tahoma"/>
        </w:rPr>
        <w:t>w dalszej kolejności w</w:t>
      </w:r>
      <w:r w:rsidR="00C341EA" w:rsidRPr="00DD2244">
        <w:rPr>
          <w:rFonts w:ascii="Tahoma" w:hAnsi="Tahoma" w:cs="Tahoma"/>
        </w:rPr>
        <w:t xml:space="preserve"> m</w:t>
      </w:r>
      <w:r w:rsidRPr="00DD2244">
        <w:rPr>
          <w:rFonts w:ascii="Tahoma" w:hAnsi="Tahoma" w:cs="Tahoma"/>
        </w:rPr>
        <w:t>iarę potrzeb inne wybrane linie.</w:t>
      </w:r>
    </w:p>
    <w:p w14:paraId="4BEE1C55" w14:textId="65280E81" w:rsidR="00907619" w:rsidRDefault="00EF432F" w:rsidP="00DD2244">
      <w:pPr>
        <w:rPr>
          <w:bCs/>
        </w:rPr>
      </w:pPr>
      <w:r>
        <w:rPr>
          <w:bCs/>
        </w:rPr>
        <w:t xml:space="preserve">Jednocześnie z </w:t>
      </w:r>
      <w:r w:rsidR="00907619">
        <w:rPr>
          <w:bCs/>
        </w:rPr>
        <w:t xml:space="preserve">elektryfikacją linii wymienionych w </w:t>
      </w:r>
      <w:r>
        <w:rPr>
          <w:bCs/>
        </w:rPr>
        <w:t xml:space="preserve">drugiej </w:t>
      </w:r>
      <w:r w:rsidR="00C341EA">
        <w:rPr>
          <w:bCs/>
        </w:rPr>
        <w:t xml:space="preserve">lub trzeciej </w:t>
      </w:r>
      <w:r>
        <w:rPr>
          <w:bCs/>
        </w:rPr>
        <w:t>kolejności</w:t>
      </w:r>
      <w:r w:rsidR="00907619">
        <w:rPr>
          <w:bCs/>
        </w:rPr>
        <w:t>,</w:t>
      </w:r>
      <w:r>
        <w:rPr>
          <w:bCs/>
        </w:rPr>
        <w:t xml:space="preserve"> </w:t>
      </w:r>
      <w:r w:rsidR="00414DC6">
        <w:rPr>
          <w:bCs/>
        </w:rPr>
        <w:t xml:space="preserve">w </w:t>
      </w:r>
      <w:r>
        <w:rPr>
          <w:bCs/>
        </w:rPr>
        <w:t xml:space="preserve">zajezdni autobusowej </w:t>
      </w:r>
      <w:r w:rsidR="00C73F5E">
        <w:rPr>
          <w:bCs/>
        </w:rPr>
        <w:t>MPK</w:t>
      </w:r>
      <w:r w:rsidR="00C341EA">
        <w:rPr>
          <w:bCs/>
        </w:rPr>
        <w:t>-Rzeszów</w:t>
      </w:r>
      <w:r w:rsidR="00C73F5E">
        <w:rPr>
          <w:bCs/>
        </w:rPr>
        <w:t xml:space="preserve"> </w:t>
      </w:r>
      <w:r>
        <w:rPr>
          <w:bCs/>
        </w:rPr>
        <w:t xml:space="preserve">sp. z o.o. przy ul. </w:t>
      </w:r>
      <w:r w:rsidR="00C341EA">
        <w:rPr>
          <w:bCs/>
        </w:rPr>
        <w:t>Lubelskiej powinna zostać zainstalowane</w:t>
      </w:r>
      <w:r>
        <w:rPr>
          <w:bCs/>
        </w:rPr>
        <w:t xml:space="preserve"> dodatkow</w:t>
      </w:r>
      <w:r w:rsidR="00C341EA">
        <w:rPr>
          <w:bCs/>
        </w:rPr>
        <w:t>e</w:t>
      </w:r>
      <w:r>
        <w:rPr>
          <w:bCs/>
        </w:rPr>
        <w:t xml:space="preserve"> </w:t>
      </w:r>
      <w:r w:rsidR="00C341EA">
        <w:rPr>
          <w:bCs/>
        </w:rPr>
        <w:t>stanowisko z ładowarką pantografową</w:t>
      </w:r>
      <w:r>
        <w:rPr>
          <w:bCs/>
        </w:rPr>
        <w:t xml:space="preserve"> o standardowej mocy 400 </w:t>
      </w:r>
      <w:proofErr w:type="spellStart"/>
      <w:r>
        <w:rPr>
          <w:bCs/>
        </w:rPr>
        <w:t>kW.</w:t>
      </w:r>
      <w:proofErr w:type="spellEnd"/>
      <w:r w:rsidR="00387EA7">
        <w:rPr>
          <w:bCs/>
        </w:rPr>
        <w:t xml:space="preserve"> Z ładowarki tej mogłyby korzystać autobusy tych linii, które w poszczególnych kursach </w:t>
      </w:r>
      <w:r w:rsidR="00907619">
        <w:rPr>
          <w:bCs/>
        </w:rPr>
        <w:t>odbywają postoje wyrównawcze w zajezdni lub też zjeżdżają do niej na długie przerwy socjalne kierowców.</w:t>
      </w:r>
    </w:p>
    <w:p w14:paraId="7BD571D6" w14:textId="57001C04" w:rsidR="00291392" w:rsidRDefault="00291392" w:rsidP="004872B2">
      <w:pPr>
        <w:rPr>
          <w:bCs/>
        </w:rPr>
      </w:pPr>
      <w:r>
        <w:rPr>
          <w:bCs/>
        </w:rPr>
        <w:t xml:space="preserve">W wariancie </w:t>
      </w:r>
      <w:r w:rsidR="00C341EA">
        <w:rPr>
          <w:bCs/>
        </w:rPr>
        <w:t>wodorowym</w:t>
      </w:r>
      <w:r>
        <w:rPr>
          <w:bCs/>
        </w:rPr>
        <w:t xml:space="preserve"> </w:t>
      </w:r>
      <w:r w:rsidR="00DF5FC6">
        <w:rPr>
          <w:bCs/>
        </w:rPr>
        <w:t xml:space="preserve">obsługiwane byłyby te same linie, </w:t>
      </w:r>
      <w:r w:rsidR="00C341EA">
        <w:rPr>
          <w:bCs/>
        </w:rPr>
        <w:t>z tym że liczba zainstalowanych ładowarek byłaby mniejsza</w:t>
      </w:r>
      <w:r w:rsidR="004872B2">
        <w:rPr>
          <w:bCs/>
        </w:rPr>
        <w:t>, bowiem część kursów wykonywałyby autobusy wyposażone w ogniwa paliwowe, tankowane wodorem na stacji w zajezdni.</w:t>
      </w:r>
    </w:p>
    <w:p w14:paraId="035EAA28" w14:textId="721C1102" w:rsidR="004527FE" w:rsidRPr="00DD2244" w:rsidRDefault="004527FE" w:rsidP="00DD2244">
      <w:bookmarkStart w:id="75" w:name="_Hlk73336775"/>
      <w:r w:rsidRPr="00DD2244">
        <w:lastRenderedPageBreak/>
        <w:t>Zaleca się również modyfikację rozkładów jazdy</w:t>
      </w:r>
      <w:r w:rsidR="00907619" w:rsidRPr="00DD2244">
        <w:t xml:space="preserve">, polegającą na zwiększeniu rytmiki kursowania </w:t>
      </w:r>
      <w:r w:rsidRPr="00DD2244">
        <w:t xml:space="preserve">autobusów, niezależnie od skali oferowanej podaży usług przewozowych. Takie działanie nie tylko </w:t>
      </w:r>
      <w:r w:rsidR="00907619" w:rsidRPr="00DD2244">
        <w:t>poprawi warunki p</w:t>
      </w:r>
      <w:r w:rsidRPr="00DD2244">
        <w:t>rzemieszcz</w:t>
      </w:r>
      <w:r w:rsidR="00907619" w:rsidRPr="00DD2244">
        <w:t>a</w:t>
      </w:r>
      <w:r w:rsidRPr="00DD2244">
        <w:t>ni</w:t>
      </w:r>
      <w:r w:rsidR="00907619" w:rsidRPr="00DD2244">
        <w:t>a</w:t>
      </w:r>
      <w:r w:rsidRPr="00DD2244">
        <w:t xml:space="preserve"> się </w:t>
      </w:r>
      <w:r w:rsidR="00907619" w:rsidRPr="00DD2244">
        <w:t xml:space="preserve">mieszkańców </w:t>
      </w:r>
      <w:r w:rsidRPr="00DD2244">
        <w:t>po terenie miasta, ale też zdecydowanie ułatwi zaplanowanie doładowania pojazdów elektrycznych na poszczególnych pętlach.</w:t>
      </w:r>
    </w:p>
    <w:bookmarkEnd w:id="74"/>
    <w:p w14:paraId="0B0B7332" w14:textId="4FA1A16D" w:rsidR="004527FE" w:rsidRDefault="00EF432F" w:rsidP="003A4355">
      <w:r w:rsidRPr="00DD2244">
        <w:t>Wraz z wyborem linii do obsługi taborem zeroemisyjnym należy także określić niezbędną pojemność baterii autobusu</w:t>
      </w:r>
      <w:r w:rsidRPr="00821AF6">
        <w:t xml:space="preserve">. Ciężar pakietu baterii o pojemności około 30 kWh wynosi w przybliżeniu 300 kg. Dla autobusu standardowego, ładowanego wyłącznie w zajezdni, w celu zapewnienia przebiegu 200 km, pakiet baterii pojazdowych (przy założeniu braku ogrzewania elektrycznego i zastosowaniu agregatu spalinowego) powinien posiadać pojemność nie mniejszą niż 240 kWh, co przekłada się na ciężar baterii rzędu 2,4 tony. W praktyce, z uwagi na zakres pracy baterii z reguły znacznie niższy od przedziału 0-100% naładowania i ze względu na możliwość wystąpienia warunków ruchu gorszych niż typowe (kongestia, inne utrudnienia), </w:t>
      </w:r>
      <w:r w:rsidR="00907619">
        <w:t xml:space="preserve">bezwzględnie </w:t>
      </w:r>
      <w:r w:rsidRPr="00821AF6">
        <w:t xml:space="preserve">wymagana byłaby jeszcze około </w:t>
      </w:r>
      <w:r w:rsidR="004527FE">
        <w:t>30</w:t>
      </w:r>
      <w:r w:rsidRPr="00821AF6">
        <w:t>% rezerwa pojemności baterii.</w:t>
      </w:r>
    </w:p>
    <w:bookmarkEnd w:id="75"/>
    <w:p w14:paraId="5E2EAF06" w14:textId="77777777" w:rsidR="00907619" w:rsidRDefault="004527FE" w:rsidP="003A4355">
      <w:r w:rsidRPr="004527FE">
        <w:t xml:space="preserve">Właśnie takie rozwiązanie – baterie o pojemności użytecznej ponad 300 kWh w pojeździe 12-metrowym – zastosowano w testowych autobusach kilku marek. Pojazd MAN Lion’s City 12E o nieco większej długości (12,2 m) wyposażony został w baterie o pojemności nominalnej 480 kWh oraz użytkowej 387 kWh, autobus Solaris Urbino </w:t>
      </w:r>
      <w:proofErr w:type="spellStart"/>
      <w:r w:rsidRPr="004527FE">
        <w:t>electric</w:t>
      </w:r>
      <w:proofErr w:type="spellEnd"/>
      <w:r w:rsidRPr="004527FE">
        <w:t xml:space="preserve"> 12 wyposażono w wersji testowej w baterie o pojemności nominalnej 395 kWh, a użytkowej 316 kWh, z kolei autobus Yutong E12LF w zasobniki energii o pojemności użytecznej 374 kWh.</w:t>
      </w:r>
    </w:p>
    <w:p w14:paraId="054FFA1B" w14:textId="2723A48B" w:rsidR="004527FE" w:rsidRPr="004527FE" w:rsidRDefault="004527FE" w:rsidP="00EB15BE">
      <w:r w:rsidRPr="004527FE">
        <w:t xml:space="preserve">Autobusy te nie są obecnie dostosowane do ładowania </w:t>
      </w:r>
      <w:r w:rsidR="00907619">
        <w:t xml:space="preserve">szybkiego </w:t>
      </w:r>
      <w:r w:rsidRPr="004527FE">
        <w:t>na pętlach, uzupełnienie energii odbywa się w nich na terenie zajezdni, poprzez złącze plug-in. Przy przeciętnych warunkach pracy pojazdu (brak wysokich temperatur powietrza, brak silnych mrozów, stosunkowo płaski teren)</w:t>
      </w:r>
      <w:r w:rsidR="00907619">
        <w:t>,</w:t>
      </w:r>
      <w:r w:rsidRPr="004527FE">
        <w:t xml:space="preserve"> taka pojemność baterii powinna wystarczyć do obsługi całodziennych zadań w większości przypadków. Pomimo tego, zastosowanie ogrzewania elektrycznego w autobusach testowych, nie zapewnia w polskim klimacie, w trudnych warunkach użytkowania, pewności pokonania przez autobus 250-300 km bez konieczności doładowania (doświadczenia z</w:t>
      </w:r>
      <w:r w:rsidR="00907619">
        <w:t> </w:t>
      </w:r>
      <w:r w:rsidRPr="004527FE">
        <w:t xml:space="preserve">testów w różnych miastach). Istotnym utrudnieniem </w:t>
      </w:r>
      <w:r w:rsidR="00907619">
        <w:t xml:space="preserve">jest </w:t>
      </w:r>
      <w:r w:rsidRPr="004527FE">
        <w:t>występowanie silnych mrozów</w:t>
      </w:r>
      <w:r w:rsidR="00907619">
        <w:t xml:space="preserve">, </w:t>
      </w:r>
      <w:r w:rsidRPr="004527FE">
        <w:t xml:space="preserve">upałów albo </w:t>
      </w:r>
      <w:r w:rsidR="00907619">
        <w:t xml:space="preserve">też </w:t>
      </w:r>
      <w:r w:rsidRPr="004527FE">
        <w:t xml:space="preserve">obsługa terenu o zróżnicowanej wysokości (zużyta energia na pokonanie różnicy wysokości jest odzyskiwana w niewielkim stopniu). Większe pojemności baterii stosuje się przeważnie tylko w autobusach przegubowych, np. </w:t>
      </w:r>
      <w:proofErr w:type="spellStart"/>
      <w:r w:rsidRPr="004527FE">
        <w:t>Irizar</w:t>
      </w:r>
      <w:proofErr w:type="spellEnd"/>
      <w:r w:rsidRPr="004527FE">
        <w:t xml:space="preserve"> </w:t>
      </w:r>
      <w:proofErr w:type="spellStart"/>
      <w:r w:rsidRPr="004527FE">
        <w:t>ie</w:t>
      </w:r>
      <w:proofErr w:type="spellEnd"/>
      <w:r w:rsidRPr="004527FE">
        <w:t xml:space="preserve"> </w:t>
      </w:r>
      <w:proofErr w:type="spellStart"/>
      <w:r w:rsidRPr="004527FE">
        <w:t>bus</w:t>
      </w:r>
      <w:proofErr w:type="spellEnd"/>
      <w:r w:rsidRPr="004527FE">
        <w:t xml:space="preserve"> 18 m obsługujący linię w Luksemburgu wyposażono w baterie o pojemności 525 kWh.</w:t>
      </w:r>
    </w:p>
    <w:p w14:paraId="6A55D969" w14:textId="2F8A0E78" w:rsidR="004527FE" w:rsidRPr="004527FE" w:rsidRDefault="00907619" w:rsidP="00EB15BE">
      <w:r>
        <w:t>Opisanego rodzaju autobusy elektryczne</w:t>
      </w:r>
      <w:r w:rsidR="004527FE" w:rsidRPr="004527FE">
        <w:t xml:space="preserve">, z uwagi na duży ciężar baterii, posiadają znacznie wyższą masę własną od pojazdów standardowych z napędem Diesla, </w:t>
      </w:r>
      <w:r>
        <w:t xml:space="preserve">czyli </w:t>
      </w:r>
      <w:r w:rsidR="004527FE" w:rsidRPr="004527FE">
        <w:t xml:space="preserve">ponad 14 ton, co wpływa na konieczność zmniejszenia maksymalnej pojemności pasażerskiej pojazdu – </w:t>
      </w:r>
      <w:r w:rsidR="004527FE" w:rsidRPr="004527FE">
        <w:lastRenderedPageBreak/>
        <w:t>w</w:t>
      </w:r>
      <w:r>
        <w:t> </w:t>
      </w:r>
      <w:r w:rsidR="004527FE" w:rsidRPr="004527FE">
        <w:t>celu nieprzekroczenia dopuszczalnych nacisków na oś pojazdu oraz dopuszczalnej masy całkowitej. Większy ciężar pojazdu wymaga także dostosowania nawierzchni dróg i placów, szczególnie pętli z miejscem postoju pojazdu. Z tego względu operowanie pojazdami ładowanymi wyłącznie w zajezdni, nie zawsze jest zalecane.</w:t>
      </w:r>
    </w:p>
    <w:p w14:paraId="3ABA4CBA" w14:textId="2529E8D1" w:rsidR="004527FE" w:rsidRPr="00821AF6" w:rsidRDefault="004527FE" w:rsidP="00AE0927">
      <w:r>
        <w:t>W niniejszej analizie przyjęto zakup autobusów zeroemisyjnych z szybkim doładowaniem na pętl</w:t>
      </w:r>
      <w:r w:rsidR="0051237E">
        <w:t>ach</w:t>
      </w:r>
      <w:r>
        <w:t>, jako rozwiązanie o większej pewności poprawnego funkcjonowania w trudnych warunkach eksploatacyjnych.</w:t>
      </w:r>
    </w:p>
    <w:p w14:paraId="25F2A906" w14:textId="7868CF21" w:rsidR="008406B3" w:rsidRPr="00821AF6" w:rsidRDefault="008406B3" w:rsidP="00AE0927">
      <w:r w:rsidRPr="00821AF6">
        <w:t xml:space="preserve">Zużycie energii przez przeciętny autobus elektryczny oraz trolejbus zależne jest nie tylko od nowoczesności zastosowanych rozwiązań (wyższa sprawność urządzeń, ograniczenie zwykłego zużycia energii przez nowe technologie), ale także od liczby zainstalowanych urządzeń korzystających z pokładowej energii elektrycznej. W eksploatowanych od wielu lat trolejbusach, pobór energii przez urządzenia pokładowe sięga nawet 35% całości jej zużycia. Dotyczy to nie tylko systemów funkcjonowania pojazdu (zasilanie w sprężone powietrze, wentylacja i klimatyzacja, oświetlenie wewnętrzne, obsługa </w:t>
      </w:r>
      <w:proofErr w:type="spellStart"/>
      <w:r w:rsidRPr="00821AF6">
        <w:t>autokomputera</w:t>
      </w:r>
      <w:proofErr w:type="spellEnd"/>
      <w:r w:rsidRPr="00821AF6">
        <w:t xml:space="preserve"> i urządzeń towarzyszących, łączność z serwerami i dyspozytorem, itp.), ale także elementów informacji i obsługi pasażerskiej oraz komfortu przewozu i zapewnienia bezpieczeństwa. Znaczącymi odbiornikami energii w pojeździe elektrycznym są: system i wyświetlacze informacji pasażerskiej, w tym zapowiedzi głosowe kolejnych przystanków, monitoring, zasilanie automatu biletowego, systemy zliczania pasażerów, sieć </w:t>
      </w:r>
      <w:r w:rsidR="00872B7D" w:rsidRPr="00821AF6">
        <w:t>W</w:t>
      </w:r>
      <w:r w:rsidRPr="00821AF6">
        <w:t>i-</w:t>
      </w:r>
      <w:r w:rsidR="00872B7D" w:rsidRPr="00821AF6">
        <w:t>F</w:t>
      </w:r>
      <w:r w:rsidRPr="00821AF6">
        <w:t>i i porty USB, klimatyzacja przestrzeni pasażerskiej itd.</w:t>
      </w:r>
    </w:p>
    <w:p w14:paraId="39A9E829" w14:textId="0E7A5F9D" w:rsidR="00700A6C" w:rsidRPr="00821AF6" w:rsidRDefault="008406B3" w:rsidP="00347A5D">
      <w:r w:rsidRPr="00821AF6">
        <w:t xml:space="preserve">Zużycie energii przez pojazd elektryczny waha się w dość szerokich granicach, wynikających z warunków jazdy oraz </w:t>
      </w:r>
      <w:r w:rsidR="00872B7D" w:rsidRPr="00821AF6">
        <w:t xml:space="preserve">z </w:t>
      </w:r>
      <w:r w:rsidRPr="00821AF6">
        <w:t xml:space="preserve">wyposażenia pojazdu. Przeciętne zużycie energii przez obecnie eksploatowane autobusy elektryczne </w:t>
      </w:r>
      <w:r w:rsidR="00AE0927">
        <w:t xml:space="preserve">klasy maxi </w:t>
      </w:r>
      <w:r w:rsidRPr="00821AF6">
        <w:t xml:space="preserve">w komunikacji </w:t>
      </w:r>
      <w:r w:rsidR="00AE0927">
        <w:t>miejskiej waha się od 0,9 do 1,3</w:t>
      </w:r>
      <w:r w:rsidRPr="00821AF6">
        <w:t xml:space="preserve"> kWh/km. Można przyjąć, że przy eksploatacji taboru 12-metrowego i </w:t>
      </w:r>
      <w:r w:rsidR="004A2A4C" w:rsidRPr="00821AF6">
        <w:t xml:space="preserve">przy </w:t>
      </w:r>
      <w:r w:rsidRPr="00821AF6">
        <w:t xml:space="preserve">standardowym dla </w:t>
      </w:r>
      <w:r w:rsidR="00C73F5E">
        <w:t>rzeszowskie</w:t>
      </w:r>
      <w:r w:rsidR="00AE0C28">
        <w:t>j</w:t>
      </w:r>
      <w:r w:rsidR="004527FE">
        <w:t xml:space="preserve"> </w:t>
      </w:r>
      <w:r w:rsidR="00113B43" w:rsidRPr="00821AF6">
        <w:t xml:space="preserve">komunikacji miejskiej wyposażeniu autobusu, bez ogrzewania elektrycznego, </w:t>
      </w:r>
      <w:r w:rsidR="003B527A" w:rsidRPr="00821AF6">
        <w:t>przy obsłudze obszarów o gęstej sieci ulic</w:t>
      </w:r>
      <w:r w:rsidR="00B72B8C" w:rsidRPr="00821AF6">
        <w:t xml:space="preserve"> i w relatywnie trudnych warunkach ruchowych</w:t>
      </w:r>
      <w:r w:rsidR="00907619">
        <w:t xml:space="preserve"> </w:t>
      </w:r>
      <w:r w:rsidR="0051237E">
        <w:t>oraz</w:t>
      </w:r>
      <w:r w:rsidR="00907619">
        <w:t xml:space="preserve"> specyfice klimatycznej miasta</w:t>
      </w:r>
      <w:r w:rsidR="00B72B8C" w:rsidRPr="00821AF6">
        <w:t xml:space="preserve">, </w:t>
      </w:r>
      <w:r w:rsidR="0051237E">
        <w:t xml:space="preserve">średnie </w:t>
      </w:r>
      <w:r w:rsidR="00113B43" w:rsidRPr="00821AF6">
        <w:t xml:space="preserve">zużycie </w:t>
      </w:r>
      <w:r w:rsidR="00B72B8C" w:rsidRPr="00821AF6">
        <w:t xml:space="preserve">energii </w:t>
      </w:r>
      <w:r w:rsidR="00113B43" w:rsidRPr="00821AF6">
        <w:t xml:space="preserve">wyniesie </w:t>
      </w:r>
      <w:r w:rsidR="00AE0927">
        <w:t>ok. 1,3</w:t>
      </w:r>
      <w:r w:rsidR="00700A6C" w:rsidRPr="00821AF6">
        <w:t xml:space="preserve"> kWh/km.</w:t>
      </w:r>
      <w:r w:rsidR="00AE0927">
        <w:t xml:space="preserve"> </w:t>
      </w:r>
      <w:r w:rsidR="00347A5D">
        <w:t xml:space="preserve">W Rzeszowie średnie zużycie </w:t>
      </w:r>
      <w:r w:rsidR="00AE0927">
        <w:t xml:space="preserve">energii </w:t>
      </w:r>
      <w:r w:rsidR="00347A5D">
        <w:t xml:space="preserve">na wozokilometr w 2020 r. wyniosło </w:t>
      </w:r>
      <w:r w:rsidR="00226DB5">
        <w:t>aż 1,44</w:t>
      </w:r>
      <w:r w:rsidR="00347A5D">
        <w:t xml:space="preserve"> kWh</w:t>
      </w:r>
      <w:r w:rsidR="00226DB5">
        <w:t xml:space="preserve"> (z uwzględnieniem sprawności ładowarek)</w:t>
      </w:r>
      <w:r w:rsidR="00347A5D">
        <w:t xml:space="preserve">, natomiast z wykonania </w:t>
      </w:r>
      <w:r w:rsidR="0096133D">
        <w:t xml:space="preserve">w </w:t>
      </w:r>
      <w:r w:rsidR="00347A5D">
        <w:t>I poł</w:t>
      </w:r>
      <w:r w:rsidR="0096133D">
        <w:t>owie</w:t>
      </w:r>
      <w:r w:rsidR="00347A5D">
        <w:t xml:space="preserve"> 2021 r. wynika, że w 2021 r. zużycie energii osią</w:t>
      </w:r>
      <w:r w:rsidR="0096133D">
        <w:t>gnie</w:t>
      </w:r>
      <w:r w:rsidR="00226DB5">
        <w:t xml:space="preserve"> nieco ni</w:t>
      </w:r>
      <w:r w:rsidR="00347A5D">
        <w:t>ższy poziom</w:t>
      </w:r>
      <w:r w:rsidR="0096133D">
        <w:t>, około 1,33 kWh/km.</w:t>
      </w:r>
      <w:r w:rsidR="00AE0927">
        <w:t xml:space="preserve"> </w:t>
      </w:r>
      <w:r w:rsidR="0096133D">
        <w:t>Dla dalszych analiz przyjęto średnioroczne zużycie energii przez autobus klasy maxi w wysokości 1,30 kWh/km.</w:t>
      </w:r>
    </w:p>
    <w:p w14:paraId="41024031" w14:textId="77777777" w:rsidR="004527FE" w:rsidRPr="00821AF6" w:rsidRDefault="004527FE" w:rsidP="00226DB5">
      <w:r>
        <w:t>Zużycie energii elektrycznej wzrasta, w okresach upałów, przy pracującej klimatyzacji, baterie pojazdu powinny więc posiadać pewien zapas pojemności, dla pokrycia zwiększonego zapotrzebowania na energię przy intensywnie pracującej klimatyzacji, nawet jeśli urządzenia klimatyzacyjne wspomagane są pompą ciepła.</w:t>
      </w:r>
    </w:p>
    <w:p w14:paraId="3F04C29D" w14:textId="77777777" w:rsidR="004527FE" w:rsidRPr="004527FE" w:rsidRDefault="004527FE" w:rsidP="0096133D">
      <w:r w:rsidRPr="004527FE">
        <w:lastRenderedPageBreak/>
        <w:t>Bardzo istotnym czynnikiem wpływającym na zużycie energii w eksploatowanych autobusach, jest ich system ogrzewania wnętrza w okresie zimowym. Ustawa o elektromobilności za autobus zeroemisyjny uznaje autobus, którego silnik nie emituje gazów cieplarnianych i innych substancji szkodliwych (art. 2 pkt 1), nie odnosząc się do innych systemów pokładowych. Autobusem zeroemisyjnym będzie więc także autobus z ogrzewaniem wnętrza z zastosowaniem oleju opałowego. Nagrzewnice olejowe zużywają nawet kilka dm</w:t>
      </w:r>
      <w:r w:rsidRPr="004527FE">
        <w:rPr>
          <w:vertAlign w:val="superscript"/>
        </w:rPr>
        <w:t>3</w:t>
      </w:r>
      <w:r w:rsidRPr="004527FE">
        <w:t xml:space="preserve"> oleju na godzinę pracy, są więc dodatkowym źródłem emisji gazów cieplarnianych i emisji innych zanieczyszczeń do atmosfery. Autobus z takim systemem ogrzewania nie jest więc de facto w zimie zupełnie bezemisyjny.</w:t>
      </w:r>
    </w:p>
    <w:p w14:paraId="74DCE109" w14:textId="35A572EA" w:rsidR="00EC1526" w:rsidRPr="00821AF6" w:rsidRDefault="00EC1526" w:rsidP="0096133D">
      <w:r w:rsidRPr="00821AF6">
        <w:t>W niektórych autobusach i w trolejbusach stosuje się system elektrycznego ogrzewania wnętrza. Ten model ogrzewania wpływa jednak bardzo wyraźnie na wzrost zużyci</w:t>
      </w:r>
      <w:r w:rsidR="00B075F9" w:rsidRPr="00821AF6">
        <w:t>a</w:t>
      </w:r>
      <w:r w:rsidRPr="00821AF6">
        <w:t xml:space="preserve"> energii w </w:t>
      </w:r>
      <w:r w:rsidR="00D53942" w:rsidRPr="00821AF6">
        <w:t>zim</w:t>
      </w:r>
      <w:r w:rsidRPr="00821AF6">
        <w:t>ie, szczególnie w autobusach z układem drzwi 2</w:t>
      </w:r>
      <w:r w:rsidR="0051237E">
        <w:t>-</w:t>
      </w:r>
      <w:r w:rsidRPr="00821AF6">
        <w:t>2</w:t>
      </w:r>
      <w:r w:rsidR="0051237E">
        <w:t>-</w:t>
      </w:r>
      <w:r w:rsidRPr="00821AF6">
        <w:t>2, nieposiadających możliwości indywidualnego ich otwierania przez pasażerów, wskutek szybkiego wychładzania wnętrza podczas postoju na przystankach.</w:t>
      </w:r>
    </w:p>
    <w:p w14:paraId="7326D50A" w14:textId="1D12FDE4" w:rsidR="004527FE" w:rsidRPr="004527FE" w:rsidRDefault="004527FE" w:rsidP="0096133D">
      <w:r w:rsidRPr="004527FE">
        <w:t xml:space="preserve">Na podstawie wieloletnich doświadczeń z eksploatacji trolejbusów w Gdyni i w Lublinie, określone zużycie energii na ogrzewanie wnętrza pojazdu w mroźnej zimie, można szacować nawet do 0,9 kWh w przeliczeniu na każdy 1 km pokonywanej trasy. W </w:t>
      </w:r>
      <w:r w:rsidR="0096133D">
        <w:t>rzeszowskich</w:t>
      </w:r>
      <w:r w:rsidRPr="004527FE">
        <w:t xml:space="preserve"> warunkach ruchowych i klimatycznych należy przyjąć maksymalne zużycie energii przez autobus elektryczny klasy maxi z ogrzewaniem elektrycznym na poziomie 1,</w:t>
      </w:r>
      <w:r w:rsidR="0096133D">
        <w:t>30</w:t>
      </w:r>
      <w:r w:rsidRPr="004527FE">
        <w:t xml:space="preserve"> + 0,75 = </w:t>
      </w:r>
      <w:r w:rsidR="0096133D">
        <w:t>2,05</w:t>
      </w:r>
      <w:r w:rsidRPr="004527FE">
        <w:t xml:space="preserve"> kWh </w:t>
      </w:r>
      <w:bookmarkStart w:id="76" w:name="_Hlk530071118"/>
      <w:r w:rsidRPr="004527FE">
        <w:t>w przeliczeniu na każdy 1 km trasy.</w:t>
      </w:r>
    </w:p>
    <w:bookmarkEnd w:id="76"/>
    <w:p w14:paraId="6D67FE11" w14:textId="12686800" w:rsidR="004527FE" w:rsidRPr="004527FE" w:rsidRDefault="00143304" w:rsidP="0096133D">
      <w:r>
        <w:t>W tabeli 9</w:t>
      </w:r>
      <w:r w:rsidR="004527FE" w:rsidRPr="004527FE">
        <w:t xml:space="preserve"> przedstawiono szacunkowe wyliczenia niezbędnej pojemności baterii dla autobusów </w:t>
      </w:r>
      <w:r w:rsidR="00A4716F">
        <w:t xml:space="preserve">klasy maxi </w:t>
      </w:r>
      <w:r w:rsidR="004527FE" w:rsidRPr="004527FE">
        <w:t>dla linii</w:t>
      </w:r>
      <w:r w:rsidR="0096133D">
        <w:t xml:space="preserve"> priorytetowych i podstawowych </w:t>
      </w:r>
      <w:r w:rsidR="00C73F5E">
        <w:t>rzeszowskie</w:t>
      </w:r>
      <w:r w:rsidR="004527FE">
        <w:t>j</w:t>
      </w:r>
      <w:r w:rsidR="004527FE" w:rsidRPr="004527FE">
        <w:t xml:space="preserve"> komunikacji miejskiej. Z uwagi na często zmieniające się rozkłady jazdy i wprowadzanie wariantów przebiegu trasy linii zgodnie ze zmieniającym się zapotrzebowaniem pasażerów, uwzględniono </w:t>
      </w:r>
      <w:r w:rsidR="0096133D">
        <w:t xml:space="preserve">maksymalną </w:t>
      </w:r>
      <w:r w:rsidR="004527FE" w:rsidRPr="004527FE">
        <w:t>długość trasy linii podaną przez Miasto. W</w:t>
      </w:r>
      <w:r w:rsidR="00747863">
        <w:t> </w:t>
      </w:r>
      <w:r w:rsidR="004527FE" w:rsidRPr="004527FE">
        <w:t xml:space="preserve">rzeczywistości tak skrajne warunki wystąpią dość rzadko, z uwagi na zdecydowanie krótszą długość trasy znacznej części wariantów trasy linii. Obliczona pojemność baterii zapewni obsługę linii w skrajnych przypadkach, a czas ładowania w rzeczywistych warunkach będzie najczęściej znacznie krótszy. Nie bez znaczenia jest także stosowana praktyka przydziału dla pojazdów zadań obejmujących wiele linii, pozwalająca na efektywniejsze wykorzystanie taboru. </w:t>
      </w:r>
    </w:p>
    <w:p w14:paraId="0EEE88F1" w14:textId="6F621928" w:rsidR="00700A6C" w:rsidRDefault="00700A6C" w:rsidP="0096133D">
      <w:r w:rsidRPr="00C532F2">
        <w:t>Przyjęto, że</w:t>
      </w:r>
      <w:r w:rsidR="0086539F" w:rsidRPr="00C532F2">
        <w:t> </w:t>
      </w:r>
      <w:r w:rsidRPr="00C532F2">
        <w:t>bateria autobusu n</w:t>
      </w:r>
      <w:r w:rsidR="004A2A4C" w:rsidRPr="00C532F2">
        <w:t>ie może się rozładować poniżej poziomu 2</w:t>
      </w:r>
      <w:r w:rsidRPr="00C532F2">
        <w:t xml:space="preserve">0% jej pojemności nominalnej, uwzględniając także spadek pojemności baterii związany z jej wiekiem </w:t>
      </w:r>
      <w:r w:rsidR="00B72B8C" w:rsidRPr="00C532F2">
        <w:t xml:space="preserve">– </w:t>
      </w:r>
      <w:r w:rsidRPr="00C532F2">
        <w:t>na</w:t>
      </w:r>
      <w:r w:rsidR="00747863">
        <w:t> </w:t>
      </w:r>
      <w:r w:rsidRPr="00C532F2">
        <w:t xml:space="preserve">poziomie 1,5% rocznie. </w:t>
      </w:r>
      <w:r w:rsidR="00B72B8C" w:rsidRPr="00C532F2">
        <w:t xml:space="preserve">Aby zapewnić racjonalny czas </w:t>
      </w:r>
      <w:r w:rsidR="00C87C39" w:rsidRPr="00C532F2">
        <w:t xml:space="preserve">szybkiego </w:t>
      </w:r>
      <w:r w:rsidR="00B72B8C" w:rsidRPr="00C532F2">
        <w:t xml:space="preserve">ładowania autobusów elektrycznych na przystankach krańcowych, przyjęto ponadto, że </w:t>
      </w:r>
      <w:r w:rsidR="007226E7" w:rsidRPr="00C532F2">
        <w:t>moc ładowarki zainstalo</w:t>
      </w:r>
      <w:r w:rsidR="0096133D">
        <w:t>wanej na pętli powinna wynosić 4</w:t>
      </w:r>
      <w:r w:rsidR="007226E7" w:rsidRPr="00C532F2">
        <w:t>00</w:t>
      </w:r>
      <w:r w:rsidR="00EC1526" w:rsidRPr="00C532F2">
        <w:t> </w:t>
      </w:r>
      <w:r w:rsidR="007226E7" w:rsidRPr="00C532F2">
        <w:t>k</w:t>
      </w:r>
      <w:r w:rsidR="00C532F2" w:rsidRPr="00C532F2">
        <w:t>W (przy sprawności wynoszącej 95</w:t>
      </w:r>
      <w:r w:rsidR="007226E7" w:rsidRPr="00C532F2">
        <w:t>%).</w:t>
      </w:r>
    </w:p>
    <w:p w14:paraId="70083AF9" w14:textId="7CCA62E6" w:rsidR="00700A6C" w:rsidRPr="00C532F2" w:rsidRDefault="00700A6C" w:rsidP="00173374">
      <w:pPr>
        <w:pStyle w:val="Legenda"/>
        <w:keepNext/>
        <w:spacing w:before="240" w:after="0"/>
        <w:ind w:firstLine="0"/>
        <w:jc w:val="left"/>
        <w:rPr>
          <w:szCs w:val="22"/>
        </w:rPr>
      </w:pPr>
      <w:r w:rsidRPr="00C532F2">
        <w:rPr>
          <w:sz w:val="22"/>
          <w:szCs w:val="22"/>
        </w:rPr>
        <w:lastRenderedPageBreak/>
        <w:t xml:space="preserve">Tab. </w:t>
      </w:r>
      <w:r w:rsidR="00B60ABE" w:rsidRPr="00C532F2">
        <w:rPr>
          <w:sz w:val="22"/>
          <w:szCs w:val="22"/>
        </w:rPr>
        <w:fldChar w:fldCharType="begin"/>
      </w:r>
      <w:r w:rsidRPr="00C532F2">
        <w:rPr>
          <w:sz w:val="22"/>
          <w:szCs w:val="22"/>
        </w:rPr>
        <w:instrText xml:space="preserve"> SEQ Tab. \* ARABIC </w:instrText>
      </w:r>
      <w:r w:rsidR="00B60ABE" w:rsidRPr="00C532F2">
        <w:rPr>
          <w:sz w:val="22"/>
          <w:szCs w:val="22"/>
        </w:rPr>
        <w:fldChar w:fldCharType="separate"/>
      </w:r>
      <w:r w:rsidR="004605BC">
        <w:rPr>
          <w:noProof/>
          <w:sz w:val="22"/>
          <w:szCs w:val="22"/>
        </w:rPr>
        <w:t>9</w:t>
      </w:r>
      <w:r w:rsidR="00B60ABE" w:rsidRPr="00C532F2">
        <w:rPr>
          <w:sz w:val="22"/>
          <w:szCs w:val="22"/>
        </w:rPr>
        <w:fldChar w:fldCharType="end"/>
      </w:r>
      <w:r w:rsidRPr="00C532F2">
        <w:rPr>
          <w:sz w:val="22"/>
          <w:szCs w:val="22"/>
        </w:rPr>
        <w:t>. Szacunek wymaganej pojemności baterii autobusów elektrycznych</w:t>
      </w:r>
      <w:r w:rsidR="00343062" w:rsidRPr="00C532F2">
        <w:rPr>
          <w:sz w:val="22"/>
          <w:szCs w:val="22"/>
        </w:rPr>
        <w:br/>
        <w:t>w celu obsługi linii wybranych do elektryfikacji</w:t>
      </w:r>
    </w:p>
    <w:tbl>
      <w:tblPr>
        <w:tblStyle w:val="Tabela-Siatka3"/>
        <w:tblW w:w="9072" w:type="dxa"/>
        <w:jc w:val="center"/>
        <w:tblLook w:val="04A0" w:firstRow="1" w:lastRow="0" w:firstColumn="1" w:lastColumn="0" w:noHBand="0" w:noVBand="1"/>
      </w:tblPr>
      <w:tblGrid>
        <w:gridCol w:w="846"/>
        <w:gridCol w:w="1559"/>
        <w:gridCol w:w="1111"/>
        <w:gridCol w:w="1111"/>
        <w:gridCol w:w="1111"/>
        <w:gridCol w:w="1111"/>
        <w:gridCol w:w="1111"/>
        <w:gridCol w:w="1112"/>
      </w:tblGrid>
      <w:tr w:rsidR="007F4915" w:rsidRPr="00C532F2" w14:paraId="7FB4CDF1" w14:textId="77777777" w:rsidTr="008406B3">
        <w:trPr>
          <w:cantSplit/>
          <w:tblHeader/>
          <w:jc w:val="center"/>
        </w:trPr>
        <w:tc>
          <w:tcPr>
            <w:tcW w:w="846" w:type="dxa"/>
            <w:vMerge w:val="restart"/>
            <w:shd w:val="clear" w:color="auto" w:fill="FFFF99"/>
            <w:vAlign w:val="center"/>
          </w:tcPr>
          <w:p w14:paraId="06CB4FDB"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Linia</w:t>
            </w:r>
          </w:p>
        </w:tc>
        <w:tc>
          <w:tcPr>
            <w:tcW w:w="1559" w:type="dxa"/>
            <w:vMerge w:val="restart"/>
            <w:shd w:val="clear" w:color="auto" w:fill="FFFF99"/>
            <w:vAlign w:val="center"/>
          </w:tcPr>
          <w:p w14:paraId="40C33F87" w14:textId="0D002A25" w:rsidR="005F4808" w:rsidRPr="00C532F2" w:rsidRDefault="008E44A7" w:rsidP="00173374">
            <w:pPr>
              <w:keepNext/>
              <w:spacing w:before="60" w:after="40" w:line="288" w:lineRule="auto"/>
              <w:ind w:firstLine="0"/>
              <w:jc w:val="center"/>
              <w:rPr>
                <w:rFonts w:cs="Tahoma"/>
                <w:b/>
                <w:sz w:val="18"/>
                <w:szCs w:val="18"/>
              </w:rPr>
            </w:pPr>
            <w:r>
              <w:rPr>
                <w:rFonts w:cs="Tahoma"/>
                <w:b/>
                <w:sz w:val="18"/>
                <w:szCs w:val="18"/>
              </w:rPr>
              <w:t>Przeciętna długość dwóch kółek</w:t>
            </w:r>
          </w:p>
        </w:tc>
        <w:tc>
          <w:tcPr>
            <w:tcW w:w="2222" w:type="dxa"/>
            <w:gridSpan w:val="2"/>
            <w:shd w:val="clear" w:color="auto" w:fill="FFFF99"/>
            <w:vAlign w:val="center"/>
          </w:tcPr>
          <w:p w14:paraId="1D68F603"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Zużycie energii</w:t>
            </w:r>
          </w:p>
        </w:tc>
        <w:tc>
          <w:tcPr>
            <w:tcW w:w="2222" w:type="dxa"/>
            <w:gridSpan w:val="2"/>
            <w:shd w:val="clear" w:color="auto" w:fill="FFFF99"/>
            <w:vAlign w:val="center"/>
          </w:tcPr>
          <w:p w14:paraId="5EB28E01"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Czas ładowania</w:t>
            </w:r>
          </w:p>
        </w:tc>
        <w:tc>
          <w:tcPr>
            <w:tcW w:w="2223" w:type="dxa"/>
            <w:gridSpan w:val="2"/>
            <w:shd w:val="clear" w:color="auto" w:fill="FFFF99"/>
            <w:vAlign w:val="center"/>
          </w:tcPr>
          <w:p w14:paraId="02FEB00E"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Pojemność baterii</w:t>
            </w:r>
          </w:p>
        </w:tc>
      </w:tr>
      <w:tr w:rsidR="007F4915" w:rsidRPr="00C532F2" w14:paraId="3D91419A" w14:textId="77777777" w:rsidTr="008406B3">
        <w:trPr>
          <w:cantSplit/>
          <w:tblHeader/>
          <w:jc w:val="center"/>
        </w:trPr>
        <w:tc>
          <w:tcPr>
            <w:tcW w:w="846" w:type="dxa"/>
            <w:vMerge/>
            <w:shd w:val="clear" w:color="auto" w:fill="FFFF99"/>
            <w:vAlign w:val="center"/>
          </w:tcPr>
          <w:p w14:paraId="564D93FB" w14:textId="77777777" w:rsidR="005F4808" w:rsidRPr="00C532F2" w:rsidRDefault="005F4808" w:rsidP="00173374">
            <w:pPr>
              <w:keepNext/>
              <w:spacing w:before="60" w:after="40" w:line="288" w:lineRule="auto"/>
              <w:ind w:firstLine="0"/>
              <w:jc w:val="center"/>
              <w:rPr>
                <w:rFonts w:cs="Tahoma"/>
                <w:b/>
                <w:sz w:val="20"/>
                <w:szCs w:val="20"/>
              </w:rPr>
            </w:pPr>
          </w:p>
        </w:tc>
        <w:tc>
          <w:tcPr>
            <w:tcW w:w="1559" w:type="dxa"/>
            <w:vMerge/>
            <w:shd w:val="clear" w:color="auto" w:fill="FFFF99"/>
            <w:vAlign w:val="center"/>
          </w:tcPr>
          <w:p w14:paraId="7932F7A5" w14:textId="77777777" w:rsidR="005F4808" w:rsidRPr="00C532F2" w:rsidRDefault="005F4808" w:rsidP="00173374">
            <w:pPr>
              <w:keepNext/>
              <w:spacing w:before="60" w:after="40" w:line="288" w:lineRule="auto"/>
              <w:ind w:firstLine="0"/>
              <w:jc w:val="center"/>
              <w:rPr>
                <w:rFonts w:cs="Tahoma"/>
                <w:b/>
                <w:sz w:val="18"/>
                <w:szCs w:val="18"/>
              </w:rPr>
            </w:pPr>
          </w:p>
        </w:tc>
        <w:tc>
          <w:tcPr>
            <w:tcW w:w="1111" w:type="dxa"/>
            <w:shd w:val="clear" w:color="auto" w:fill="FFFF99"/>
            <w:vAlign w:val="center"/>
          </w:tcPr>
          <w:p w14:paraId="335371A0"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lato</w:t>
            </w:r>
          </w:p>
        </w:tc>
        <w:tc>
          <w:tcPr>
            <w:tcW w:w="1111" w:type="dxa"/>
            <w:shd w:val="clear" w:color="auto" w:fill="FFFF99"/>
            <w:vAlign w:val="center"/>
          </w:tcPr>
          <w:p w14:paraId="233AC432" w14:textId="3571A773" w:rsidR="005F4808" w:rsidRPr="00C532F2" w:rsidRDefault="00CF6C6C" w:rsidP="00173374">
            <w:pPr>
              <w:keepNext/>
              <w:spacing w:before="60" w:after="40" w:line="288" w:lineRule="auto"/>
              <w:ind w:firstLine="0"/>
              <w:jc w:val="center"/>
              <w:rPr>
                <w:rFonts w:cs="Tahoma"/>
                <w:b/>
                <w:sz w:val="18"/>
                <w:szCs w:val="18"/>
              </w:rPr>
            </w:pPr>
            <w:r w:rsidRPr="00C532F2">
              <w:rPr>
                <w:rFonts w:cs="Tahoma"/>
                <w:b/>
                <w:sz w:val="18"/>
                <w:szCs w:val="18"/>
              </w:rPr>
              <w:t>zima</w:t>
            </w:r>
          </w:p>
        </w:tc>
        <w:tc>
          <w:tcPr>
            <w:tcW w:w="1111" w:type="dxa"/>
            <w:shd w:val="clear" w:color="auto" w:fill="FFFF99"/>
            <w:vAlign w:val="center"/>
          </w:tcPr>
          <w:p w14:paraId="20856711"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lato</w:t>
            </w:r>
          </w:p>
        </w:tc>
        <w:tc>
          <w:tcPr>
            <w:tcW w:w="1111" w:type="dxa"/>
            <w:shd w:val="clear" w:color="auto" w:fill="FFFF99"/>
            <w:vAlign w:val="center"/>
          </w:tcPr>
          <w:p w14:paraId="38CFB3CB" w14:textId="61A376FE" w:rsidR="005F4808" w:rsidRPr="00C532F2" w:rsidRDefault="00CF6C6C" w:rsidP="00173374">
            <w:pPr>
              <w:keepNext/>
              <w:spacing w:before="60" w:after="40" w:line="288" w:lineRule="auto"/>
              <w:ind w:firstLine="0"/>
              <w:jc w:val="center"/>
              <w:rPr>
                <w:rFonts w:cs="Tahoma"/>
                <w:b/>
                <w:sz w:val="18"/>
                <w:szCs w:val="18"/>
              </w:rPr>
            </w:pPr>
            <w:r w:rsidRPr="00C532F2">
              <w:rPr>
                <w:rFonts w:cs="Tahoma"/>
                <w:b/>
                <w:sz w:val="18"/>
                <w:szCs w:val="18"/>
              </w:rPr>
              <w:t>zima</w:t>
            </w:r>
          </w:p>
        </w:tc>
        <w:tc>
          <w:tcPr>
            <w:tcW w:w="1111" w:type="dxa"/>
            <w:shd w:val="clear" w:color="auto" w:fill="FFFF99"/>
            <w:vAlign w:val="center"/>
          </w:tcPr>
          <w:p w14:paraId="13314A91" w14:textId="29AD16B6" w:rsidR="005F4808" w:rsidRPr="00C532F2" w:rsidRDefault="00CF6C6C" w:rsidP="00173374">
            <w:pPr>
              <w:keepNext/>
              <w:spacing w:before="60" w:after="40" w:line="288" w:lineRule="auto"/>
              <w:ind w:firstLine="0"/>
              <w:jc w:val="center"/>
              <w:rPr>
                <w:rFonts w:cs="Tahoma"/>
                <w:b/>
                <w:sz w:val="18"/>
                <w:szCs w:val="18"/>
              </w:rPr>
            </w:pPr>
            <w:r w:rsidRPr="00C532F2">
              <w:rPr>
                <w:rFonts w:cs="Tahoma"/>
                <w:b/>
                <w:sz w:val="18"/>
                <w:szCs w:val="18"/>
              </w:rPr>
              <w:t>o</w:t>
            </w:r>
            <w:r w:rsidR="005F4808" w:rsidRPr="00C532F2">
              <w:rPr>
                <w:rFonts w:cs="Tahoma"/>
                <w:b/>
                <w:sz w:val="18"/>
                <w:szCs w:val="18"/>
              </w:rPr>
              <w:t>bliczona</w:t>
            </w:r>
            <w:r w:rsidRPr="00C532F2">
              <w:rPr>
                <w:rFonts w:cs="Tahoma"/>
                <w:b/>
                <w:sz w:val="18"/>
                <w:szCs w:val="18"/>
              </w:rPr>
              <w:br/>
              <w:t>lato/zima</w:t>
            </w:r>
          </w:p>
        </w:tc>
        <w:tc>
          <w:tcPr>
            <w:tcW w:w="1112" w:type="dxa"/>
            <w:shd w:val="clear" w:color="auto" w:fill="FFFF99"/>
            <w:vAlign w:val="center"/>
          </w:tcPr>
          <w:p w14:paraId="65064BA7" w14:textId="6E476E15" w:rsidR="005F4808" w:rsidRPr="00C532F2" w:rsidRDefault="00343062" w:rsidP="00173374">
            <w:pPr>
              <w:keepNext/>
              <w:spacing w:before="60" w:after="40" w:line="288" w:lineRule="auto"/>
              <w:ind w:firstLine="0"/>
              <w:jc w:val="center"/>
              <w:rPr>
                <w:rFonts w:cs="Tahoma"/>
                <w:b/>
                <w:sz w:val="18"/>
                <w:szCs w:val="18"/>
              </w:rPr>
            </w:pPr>
            <w:r w:rsidRPr="00C532F2">
              <w:rPr>
                <w:rFonts w:cs="Tahoma"/>
                <w:b/>
                <w:sz w:val="18"/>
                <w:szCs w:val="18"/>
              </w:rPr>
              <w:t>proponowana</w:t>
            </w:r>
          </w:p>
        </w:tc>
      </w:tr>
      <w:tr w:rsidR="007F4915" w:rsidRPr="00C532F2" w14:paraId="15BAA3AB" w14:textId="77777777" w:rsidTr="008406B3">
        <w:trPr>
          <w:cantSplit/>
          <w:tblHeader/>
          <w:jc w:val="center"/>
        </w:trPr>
        <w:tc>
          <w:tcPr>
            <w:tcW w:w="846" w:type="dxa"/>
            <w:vMerge/>
            <w:tcBorders>
              <w:bottom w:val="single" w:sz="4" w:space="0" w:color="auto"/>
            </w:tcBorders>
            <w:shd w:val="clear" w:color="auto" w:fill="FFFF99"/>
            <w:vAlign w:val="center"/>
          </w:tcPr>
          <w:p w14:paraId="088E750F" w14:textId="77777777" w:rsidR="005F4808" w:rsidRPr="00C532F2" w:rsidRDefault="005F4808" w:rsidP="00173374">
            <w:pPr>
              <w:keepNext/>
              <w:spacing w:before="60" w:after="40" w:line="288" w:lineRule="auto"/>
              <w:ind w:firstLine="0"/>
              <w:jc w:val="center"/>
              <w:rPr>
                <w:rFonts w:cs="Tahoma"/>
                <w:b/>
                <w:sz w:val="18"/>
                <w:szCs w:val="18"/>
              </w:rPr>
            </w:pPr>
          </w:p>
        </w:tc>
        <w:tc>
          <w:tcPr>
            <w:tcW w:w="1559" w:type="dxa"/>
            <w:tcBorders>
              <w:bottom w:val="single" w:sz="4" w:space="0" w:color="auto"/>
            </w:tcBorders>
            <w:shd w:val="clear" w:color="auto" w:fill="FFFF99"/>
            <w:vAlign w:val="center"/>
          </w:tcPr>
          <w:p w14:paraId="5C2D7832"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[km]</w:t>
            </w:r>
          </w:p>
        </w:tc>
        <w:tc>
          <w:tcPr>
            <w:tcW w:w="1111" w:type="dxa"/>
            <w:tcBorders>
              <w:bottom w:val="single" w:sz="4" w:space="0" w:color="auto"/>
            </w:tcBorders>
            <w:shd w:val="clear" w:color="auto" w:fill="FFFF99"/>
            <w:vAlign w:val="center"/>
          </w:tcPr>
          <w:p w14:paraId="5768F566"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[kWh]</w:t>
            </w:r>
          </w:p>
        </w:tc>
        <w:tc>
          <w:tcPr>
            <w:tcW w:w="1111" w:type="dxa"/>
            <w:tcBorders>
              <w:bottom w:val="single" w:sz="4" w:space="0" w:color="auto"/>
            </w:tcBorders>
            <w:shd w:val="clear" w:color="auto" w:fill="FFFF99"/>
            <w:vAlign w:val="center"/>
          </w:tcPr>
          <w:p w14:paraId="709B1EB9"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[kWh]</w:t>
            </w:r>
          </w:p>
        </w:tc>
        <w:tc>
          <w:tcPr>
            <w:tcW w:w="1111" w:type="dxa"/>
            <w:tcBorders>
              <w:bottom w:val="single" w:sz="4" w:space="0" w:color="auto"/>
            </w:tcBorders>
            <w:shd w:val="clear" w:color="auto" w:fill="FFFF99"/>
            <w:vAlign w:val="center"/>
          </w:tcPr>
          <w:p w14:paraId="09F682CA"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[min]</w:t>
            </w:r>
          </w:p>
        </w:tc>
        <w:tc>
          <w:tcPr>
            <w:tcW w:w="1111" w:type="dxa"/>
            <w:tcBorders>
              <w:bottom w:val="single" w:sz="4" w:space="0" w:color="auto"/>
            </w:tcBorders>
            <w:shd w:val="clear" w:color="auto" w:fill="FFFF99"/>
            <w:vAlign w:val="center"/>
          </w:tcPr>
          <w:p w14:paraId="5104424B"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[min]</w:t>
            </w:r>
          </w:p>
        </w:tc>
        <w:tc>
          <w:tcPr>
            <w:tcW w:w="1111" w:type="dxa"/>
            <w:tcBorders>
              <w:bottom w:val="single" w:sz="4" w:space="0" w:color="auto"/>
            </w:tcBorders>
            <w:shd w:val="clear" w:color="auto" w:fill="FFFF99"/>
            <w:vAlign w:val="center"/>
          </w:tcPr>
          <w:p w14:paraId="2B7018F4"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[kWh]</w:t>
            </w:r>
          </w:p>
        </w:tc>
        <w:tc>
          <w:tcPr>
            <w:tcW w:w="1112" w:type="dxa"/>
            <w:tcBorders>
              <w:bottom w:val="single" w:sz="4" w:space="0" w:color="auto"/>
            </w:tcBorders>
            <w:shd w:val="clear" w:color="auto" w:fill="FFFF99"/>
            <w:vAlign w:val="center"/>
          </w:tcPr>
          <w:p w14:paraId="067A1D17" w14:textId="77777777" w:rsidR="005F4808" w:rsidRPr="00C532F2" w:rsidRDefault="005F4808" w:rsidP="00173374">
            <w:pPr>
              <w:keepNext/>
              <w:spacing w:before="60" w:after="40" w:line="288" w:lineRule="auto"/>
              <w:ind w:firstLine="0"/>
              <w:jc w:val="center"/>
              <w:rPr>
                <w:rFonts w:cs="Tahoma"/>
                <w:b/>
                <w:sz w:val="18"/>
                <w:szCs w:val="18"/>
              </w:rPr>
            </w:pPr>
            <w:r w:rsidRPr="00C532F2">
              <w:rPr>
                <w:rFonts w:cs="Tahoma"/>
                <w:b/>
                <w:sz w:val="18"/>
                <w:szCs w:val="18"/>
              </w:rPr>
              <w:t>[kWh]</w:t>
            </w:r>
          </w:p>
        </w:tc>
      </w:tr>
      <w:tr w:rsidR="007F4915" w:rsidRPr="00C532F2" w14:paraId="530D27D8" w14:textId="77777777" w:rsidTr="00427C49">
        <w:trPr>
          <w:jc w:val="center"/>
        </w:trPr>
        <w:tc>
          <w:tcPr>
            <w:tcW w:w="846" w:type="dxa"/>
            <w:vAlign w:val="center"/>
          </w:tcPr>
          <w:p w14:paraId="3425A652" w14:textId="2C77CC60" w:rsidR="005F4808" w:rsidRPr="00C532F2" w:rsidRDefault="0096133D" w:rsidP="00173374">
            <w:pPr>
              <w:spacing w:before="60" w:after="40" w:line="288" w:lineRule="auto"/>
              <w:ind w:firstLine="0"/>
              <w:jc w:val="center"/>
              <w:rPr>
                <w:rFonts w:cs="Tahoma"/>
                <w:sz w:val="18"/>
                <w:szCs w:val="18"/>
              </w:rPr>
            </w:pPr>
            <w:r>
              <w:rPr>
                <w:rFonts w:cs="Tahoma"/>
                <w:sz w:val="18"/>
                <w:szCs w:val="18"/>
              </w:rPr>
              <w:t>0A</w:t>
            </w:r>
          </w:p>
        </w:tc>
        <w:tc>
          <w:tcPr>
            <w:tcW w:w="1559" w:type="dxa"/>
            <w:vAlign w:val="center"/>
          </w:tcPr>
          <w:p w14:paraId="236A7168" w14:textId="340714A8" w:rsidR="005F4808" w:rsidRPr="00C532F2" w:rsidRDefault="00173374" w:rsidP="00173374">
            <w:pPr>
              <w:spacing w:before="60" w:after="40" w:line="288" w:lineRule="auto"/>
              <w:ind w:firstLine="0"/>
              <w:jc w:val="right"/>
              <w:rPr>
                <w:rFonts w:cs="Tahoma"/>
                <w:sz w:val="18"/>
                <w:szCs w:val="18"/>
              </w:rPr>
            </w:pPr>
            <w:r>
              <w:rPr>
                <w:rFonts w:cs="Tahoma"/>
                <w:sz w:val="18"/>
                <w:szCs w:val="18"/>
              </w:rPr>
              <w:t>37,6</w:t>
            </w:r>
          </w:p>
        </w:tc>
        <w:tc>
          <w:tcPr>
            <w:tcW w:w="1111" w:type="dxa"/>
            <w:vAlign w:val="center"/>
          </w:tcPr>
          <w:p w14:paraId="458D5F8C" w14:textId="4C597EBC" w:rsidR="005F4808" w:rsidRPr="00C532F2" w:rsidRDefault="00173374" w:rsidP="00173374">
            <w:pPr>
              <w:spacing w:before="60" w:after="40" w:line="288" w:lineRule="auto"/>
              <w:ind w:firstLine="0"/>
              <w:jc w:val="right"/>
              <w:rPr>
                <w:rFonts w:cs="Tahoma"/>
                <w:sz w:val="18"/>
                <w:szCs w:val="18"/>
              </w:rPr>
            </w:pPr>
            <w:r>
              <w:rPr>
                <w:rFonts w:cs="Tahoma"/>
                <w:sz w:val="18"/>
                <w:szCs w:val="18"/>
              </w:rPr>
              <w:t>48,8</w:t>
            </w:r>
          </w:p>
        </w:tc>
        <w:tc>
          <w:tcPr>
            <w:tcW w:w="1111" w:type="dxa"/>
            <w:vAlign w:val="center"/>
          </w:tcPr>
          <w:p w14:paraId="5B97639C" w14:textId="5A202B53" w:rsidR="005F4808" w:rsidRPr="00C532F2" w:rsidRDefault="00173374" w:rsidP="00173374">
            <w:pPr>
              <w:spacing w:before="60" w:after="40" w:line="288" w:lineRule="auto"/>
              <w:ind w:firstLine="0"/>
              <w:jc w:val="right"/>
              <w:rPr>
                <w:rFonts w:cs="Tahoma"/>
                <w:sz w:val="18"/>
                <w:szCs w:val="18"/>
              </w:rPr>
            </w:pPr>
            <w:r>
              <w:rPr>
                <w:rFonts w:cs="Tahoma"/>
                <w:sz w:val="18"/>
                <w:szCs w:val="18"/>
              </w:rPr>
              <w:t>77,0</w:t>
            </w:r>
          </w:p>
        </w:tc>
        <w:tc>
          <w:tcPr>
            <w:tcW w:w="1111" w:type="dxa"/>
            <w:vAlign w:val="center"/>
          </w:tcPr>
          <w:p w14:paraId="59D54B23" w14:textId="0677B00D" w:rsidR="005F4808" w:rsidRPr="00C532F2" w:rsidRDefault="00173374" w:rsidP="00173374">
            <w:pPr>
              <w:spacing w:before="60" w:after="40" w:line="288" w:lineRule="auto"/>
              <w:ind w:firstLine="0"/>
              <w:jc w:val="right"/>
              <w:rPr>
                <w:rFonts w:cs="Tahoma"/>
                <w:sz w:val="18"/>
                <w:szCs w:val="18"/>
              </w:rPr>
            </w:pPr>
            <w:r>
              <w:rPr>
                <w:rFonts w:cs="Tahoma"/>
                <w:sz w:val="18"/>
                <w:szCs w:val="18"/>
              </w:rPr>
              <w:t>8,2</w:t>
            </w:r>
          </w:p>
        </w:tc>
        <w:tc>
          <w:tcPr>
            <w:tcW w:w="1111" w:type="dxa"/>
            <w:vAlign w:val="center"/>
          </w:tcPr>
          <w:p w14:paraId="66B05408" w14:textId="38A988C9" w:rsidR="005F4808" w:rsidRPr="00C532F2" w:rsidRDefault="00173374" w:rsidP="00173374">
            <w:pPr>
              <w:spacing w:before="60" w:after="40" w:line="288" w:lineRule="auto"/>
              <w:ind w:firstLine="0"/>
              <w:jc w:val="right"/>
              <w:rPr>
                <w:rFonts w:cs="Tahoma"/>
                <w:sz w:val="18"/>
                <w:szCs w:val="18"/>
              </w:rPr>
            </w:pPr>
            <w:r>
              <w:rPr>
                <w:rFonts w:cs="Tahoma"/>
                <w:sz w:val="18"/>
                <w:szCs w:val="18"/>
              </w:rPr>
              <w:t>12,8</w:t>
            </w:r>
          </w:p>
        </w:tc>
        <w:tc>
          <w:tcPr>
            <w:tcW w:w="1111" w:type="dxa"/>
            <w:vAlign w:val="center"/>
          </w:tcPr>
          <w:p w14:paraId="15949A57" w14:textId="35423D63" w:rsidR="005F4808" w:rsidRPr="00C532F2" w:rsidRDefault="00173374" w:rsidP="00173374">
            <w:pPr>
              <w:spacing w:before="60" w:after="40" w:line="288" w:lineRule="auto"/>
              <w:ind w:firstLine="0"/>
              <w:jc w:val="right"/>
              <w:rPr>
                <w:rFonts w:cs="Tahoma"/>
                <w:sz w:val="18"/>
                <w:szCs w:val="18"/>
              </w:rPr>
            </w:pPr>
            <w:r>
              <w:rPr>
                <w:rFonts w:cs="Tahoma"/>
                <w:sz w:val="18"/>
                <w:szCs w:val="18"/>
              </w:rPr>
              <w:t>69/109</w:t>
            </w:r>
          </w:p>
        </w:tc>
        <w:tc>
          <w:tcPr>
            <w:tcW w:w="1112" w:type="dxa"/>
            <w:vAlign w:val="center"/>
          </w:tcPr>
          <w:p w14:paraId="00F1B082" w14:textId="239FDC5C" w:rsidR="005F4808" w:rsidRPr="00C532F2" w:rsidRDefault="00173374" w:rsidP="00173374">
            <w:pPr>
              <w:spacing w:before="60" w:after="40" w:line="288" w:lineRule="auto"/>
              <w:ind w:firstLine="0"/>
              <w:jc w:val="right"/>
              <w:rPr>
                <w:rFonts w:cs="Tahoma"/>
                <w:sz w:val="18"/>
                <w:szCs w:val="18"/>
              </w:rPr>
            </w:pPr>
            <w:r>
              <w:rPr>
                <w:rFonts w:cs="Tahoma"/>
                <w:sz w:val="18"/>
                <w:szCs w:val="18"/>
              </w:rPr>
              <w:t>90</w:t>
            </w:r>
          </w:p>
        </w:tc>
      </w:tr>
      <w:tr w:rsidR="007F4915" w:rsidRPr="00C532F2" w14:paraId="659DDDBF" w14:textId="77777777" w:rsidTr="00427C49">
        <w:trPr>
          <w:jc w:val="center"/>
        </w:trPr>
        <w:tc>
          <w:tcPr>
            <w:tcW w:w="846" w:type="dxa"/>
            <w:vAlign w:val="center"/>
          </w:tcPr>
          <w:p w14:paraId="3ABE6149" w14:textId="5A7B9134" w:rsidR="005F4808" w:rsidRPr="00C532F2" w:rsidRDefault="0096133D" w:rsidP="00173374">
            <w:pPr>
              <w:spacing w:before="60" w:after="40" w:line="288" w:lineRule="auto"/>
              <w:ind w:firstLine="0"/>
              <w:jc w:val="center"/>
              <w:rPr>
                <w:rFonts w:cs="Tahoma"/>
                <w:sz w:val="18"/>
                <w:szCs w:val="18"/>
              </w:rPr>
            </w:pPr>
            <w:r>
              <w:rPr>
                <w:rFonts w:cs="Tahoma"/>
                <w:sz w:val="18"/>
                <w:szCs w:val="18"/>
              </w:rPr>
              <w:t>0B</w:t>
            </w:r>
          </w:p>
        </w:tc>
        <w:tc>
          <w:tcPr>
            <w:tcW w:w="1559" w:type="dxa"/>
            <w:vAlign w:val="center"/>
          </w:tcPr>
          <w:p w14:paraId="34A70E54" w14:textId="1B71BE7C" w:rsidR="005F4808" w:rsidRPr="00C532F2" w:rsidRDefault="00173374" w:rsidP="00173374">
            <w:pPr>
              <w:spacing w:before="60" w:after="40" w:line="288" w:lineRule="auto"/>
              <w:ind w:firstLine="0"/>
              <w:jc w:val="right"/>
              <w:rPr>
                <w:rFonts w:cs="Tahoma"/>
                <w:sz w:val="18"/>
                <w:szCs w:val="18"/>
              </w:rPr>
            </w:pPr>
            <w:r>
              <w:rPr>
                <w:rFonts w:cs="Tahoma"/>
                <w:sz w:val="18"/>
                <w:szCs w:val="18"/>
              </w:rPr>
              <w:t>36,1</w:t>
            </w:r>
          </w:p>
        </w:tc>
        <w:tc>
          <w:tcPr>
            <w:tcW w:w="1111" w:type="dxa"/>
            <w:vAlign w:val="center"/>
          </w:tcPr>
          <w:p w14:paraId="07DD7A12" w14:textId="1F2B0697" w:rsidR="005F4808" w:rsidRPr="00C532F2" w:rsidRDefault="00173374" w:rsidP="00173374">
            <w:pPr>
              <w:spacing w:before="60" w:after="40" w:line="288" w:lineRule="auto"/>
              <w:ind w:firstLine="0"/>
              <w:jc w:val="right"/>
              <w:rPr>
                <w:rFonts w:cs="Tahoma"/>
                <w:sz w:val="18"/>
                <w:szCs w:val="18"/>
              </w:rPr>
            </w:pPr>
            <w:r>
              <w:rPr>
                <w:rFonts w:cs="Tahoma"/>
                <w:sz w:val="18"/>
                <w:szCs w:val="18"/>
              </w:rPr>
              <w:t>46,9</w:t>
            </w:r>
          </w:p>
        </w:tc>
        <w:tc>
          <w:tcPr>
            <w:tcW w:w="1111" w:type="dxa"/>
            <w:vAlign w:val="center"/>
          </w:tcPr>
          <w:p w14:paraId="56A0B7F0" w14:textId="50A896DC" w:rsidR="005F4808" w:rsidRPr="00C532F2" w:rsidRDefault="00173374" w:rsidP="00173374">
            <w:pPr>
              <w:spacing w:before="60" w:after="40" w:line="288" w:lineRule="auto"/>
              <w:ind w:firstLine="0"/>
              <w:jc w:val="right"/>
              <w:rPr>
                <w:rFonts w:cs="Tahoma"/>
                <w:sz w:val="18"/>
                <w:szCs w:val="18"/>
              </w:rPr>
            </w:pPr>
            <w:r>
              <w:rPr>
                <w:rFonts w:cs="Tahoma"/>
                <w:sz w:val="18"/>
                <w:szCs w:val="18"/>
              </w:rPr>
              <w:t>74,0</w:t>
            </w:r>
          </w:p>
        </w:tc>
        <w:tc>
          <w:tcPr>
            <w:tcW w:w="1111" w:type="dxa"/>
            <w:vAlign w:val="center"/>
          </w:tcPr>
          <w:p w14:paraId="6EBD6340" w14:textId="5AF16B59" w:rsidR="005F4808" w:rsidRPr="00C532F2" w:rsidRDefault="00173374" w:rsidP="00173374">
            <w:pPr>
              <w:spacing w:before="60" w:after="40" w:line="288" w:lineRule="auto"/>
              <w:ind w:firstLine="0"/>
              <w:jc w:val="right"/>
              <w:rPr>
                <w:rFonts w:cs="Tahoma"/>
                <w:sz w:val="18"/>
                <w:szCs w:val="18"/>
              </w:rPr>
            </w:pPr>
            <w:r>
              <w:rPr>
                <w:rFonts w:cs="Tahoma"/>
                <w:sz w:val="18"/>
                <w:szCs w:val="18"/>
              </w:rPr>
              <w:t>7,8</w:t>
            </w:r>
          </w:p>
        </w:tc>
        <w:tc>
          <w:tcPr>
            <w:tcW w:w="1111" w:type="dxa"/>
            <w:vAlign w:val="center"/>
          </w:tcPr>
          <w:p w14:paraId="7295921F" w14:textId="7AB0177C" w:rsidR="005F4808" w:rsidRPr="00C532F2" w:rsidRDefault="00173374" w:rsidP="00173374">
            <w:pPr>
              <w:spacing w:before="60" w:after="40" w:line="288" w:lineRule="auto"/>
              <w:ind w:firstLine="0"/>
              <w:jc w:val="right"/>
              <w:rPr>
                <w:rFonts w:cs="Tahoma"/>
                <w:sz w:val="18"/>
                <w:szCs w:val="18"/>
              </w:rPr>
            </w:pPr>
            <w:r>
              <w:rPr>
                <w:rFonts w:cs="Tahoma"/>
                <w:sz w:val="18"/>
                <w:szCs w:val="18"/>
              </w:rPr>
              <w:t>12,3</w:t>
            </w:r>
          </w:p>
        </w:tc>
        <w:tc>
          <w:tcPr>
            <w:tcW w:w="1111" w:type="dxa"/>
            <w:vAlign w:val="center"/>
          </w:tcPr>
          <w:p w14:paraId="6F13A379" w14:textId="4939D2CF" w:rsidR="005F4808" w:rsidRPr="00C532F2" w:rsidRDefault="00173374" w:rsidP="00173374">
            <w:pPr>
              <w:spacing w:before="60" w:after="40" w:line="288" w:lineRule="auto"/>
              <w:ind w:firstLine="0"/>
              <w:jc w:val="right"/>
              <w:rPr>
                <w:rFonts w:cs="Tahoma"/>
                <w:sz w:val="18"/>
                <w:szCs w:val="18"/>
              </w:rPr>
            </w:pPr>
            <w:r>
              <w:rPr>
                <w:rFonts w:cs="Tahoma"/>
                <w:sz w:val="18"/>
                <w:szCs w:val="18"/>
              </w:rPr>
              <w:t>67/105</w:t>
            </w:r>
          </w:p>
        </w:tc>
        <w:tc>
          <w:tcPr>
            <w:tcW w:w="1112" w:type="dxa"/>
            <w:vAlign w:val="center"/>
          </w:tcPr>
          <w:p w14:paraId="5F734EAB" w14:textId="2109A38F" w:rsidR="005F4808" w:rsidRPr="00C532F2" w:rsidRDefault="00173374" w:rsidP="00173374">
            <w:pPr>
              <w:spacing w:before="60" w:after="40" w:line="288" w:lineRule="auto"/>
              <w:ind w:firstLine="0"/>
              <w:jc w:val="right"/>
              <w:rPr>
                <w:rFonts w:cs="Tahoma"/>
                <w:sz w:val="18"/>
                <w:szCs w:val="18"/>
              </w:rPr>
            </w:pPr>
            <w:r>
              <w:rPr>
                <w:rFonts w:cs="Tahoma"/>
                <w:sz w:val="18"/>
                <w:szCs w:val="18"/>
              </w:rPr>
              <w:t>90</w:t>
            </w:r>
          </w:p>
        </w:tc>
      </w:tr>
      <w:tr w:rsidR="007F4915" w:rsidRPr="00C532F2" w14:paraId="6EC8A76C" w14:textId="77777777" w:rsidTr="00427C49">
        <w:trPr>
          <w:jc w:val="center"/>
        </w:trPr>
        <w:tc>
          <w:tcPr>
            <w:tcW w:w="846" w:type="dxa"/>
            <w:vAlign w:val="center"/>
          </w:tcPr>
          <w:p w14:paraId="7450CA3D" w14:textId="52DECCB6" w:rsidR="005F4808" w:rsidRPr="00C532F2" w:rsidRDefault="0096133D" w:rsidP="00173374">
            <w:pPr>
              <w:spacing w:before="60" w:after="40" w:line="288" w:lineRule="auto"/>
              <w:ind w:firstLine="0"/>
              <w:jc w:val="center"/>
              <w:rPr>
                <w:rFonts w:cs="Tahoma"/>
                <w:sz w:val="18"/>
                <w:szCs w:val="18"/>
              </w:rPr>
            </w:pPr>
            <w:r>
              <w:rPr>
                <w:rFonts w:cs="Tahoma"/>
                <w:sz w:val="18"/>
                <w:szCs w:val="18"/>
              </w:rPr>
              <w:t>4</w:t>
            </w:r>
          </w:p>
        </w:tc>
        <w:tc>
          <w:tcPr>
            <w:tcW w:w="1559" w:type="dxa"/>
            <w:vAlign w:val="center"/>
          </w:tcPr>
          <w:p w14:paraId="5A6B8EE7" w14:textId="62159899" w:rsidR="005F4808" w:rsidRPr="00C532F2" w:rsidRDefault="00173374" w:rsidP="00173374">
            <w:pPr>
              <w:spacing w:before="60" w:after="40" w:line="288" w:lineRule="auto"/>
              <w:ind w:firstLine="0"/>
              <w:jc w:val="right"/>
              <w:rPr>
                <w:rFonts w:cs="Tahoma"/>
                <w:sz w:val="18"/>
                <w:szCs w:val="18"/>
              </w:rPr>
            </w:pPr>
            <w:r>
              <w:rPr>
                <w:rFonts w:cs="Tahoma"/>
                <w:sz w:val="18"/>
                <w:szCs w:val="18"/>
              </w:rPr>
              <w:t>50,9</w:t>
            </w:r>
          </w:p>
        </w:tc>
        <w:tc>
          <w:tcPr>
            <w:tcW w:w="1111" w:type="dxa"/>
            <w:vAlign w:val="center"/>
          </w:tcPr>
          <w:p w14:paraId="6B5620C9" w14:textId="6EB0651D" w:rsidR="005F4808" w:rsidRPr="00C532F2" w:rsidRDefault="00173374" w:rsidP="00173374">
            <w:pPr>
              <w:spacing w:before="60" w:after="40" w:line="288" w:lineRule="auto"/>
              <w:ind w:firstLine="0"/>
              <w:jc w:val="right"/>
              <w:rPr>
                <w:rFonts w:cs="Tahoma"/>
                <w:sz w:val="18"/>
                <w:szCs w:val="18"/>
              </w:rPr>
            </w:pPr>
            <w:r>
              <w:rPr>
                <w:rFonts w:cs="Tahoma"/>
                <w:sz w:val="18"/>
                <w:szCs w:val="18"/>
              </w:rPr>
              <w:t>66,1</w:t>
            </w:r>
          </w:p>
        </w:tc>
        <w:tc>
          <w:tcPr>
            <w:tcW w:w="1111" w:type="dxa"/>
            <w:vAlign w:val="center"/>
          </w:tcPr>
          <w:p w14:paraId="6234BC4C" w14:textId="0023F8A8" w:rsidR="005F4808" w:rsidRPr="00C532F2" w:rsidRDefault="00173374" w:rsidP="00173374">
            <w:pPr>
              <w:spacing w:before="60" w:after="40" w:line="288" w:lineRule="auto"/>
              <w:ind w:firstLine="0"/>
              <w:jc w:val="right"/>
              <w:rPr>
                <w:rFonts w:cs="Tahoma"/>
                <w:sz w:val="18"/>
                <w:szCs w:val="18"/>
              </w:rPr>
            </w:pPr>
            <w:r>
              <w:rPr>
                <w:rFonts w:cs="Tahoma"/>
                <w:sz w:val="18"/>
                <w:szCs w:val="18"/>
              </w:rPr>
              <w:t>104,3</w:t>
            </w:r>
          </w:p>
        </w:tc>
        <w:tc>
          <w:tcPr>
            <w:tcW w:w="1111" w:type="dxa"/>
            <w:vAlign w:val="center"/>
          </w:tcPr>
          <w:p w14:paraId="1C28A46D" w14:textId="4A5932DB" w:rsidR="005F4808" w:rsidRPr="00C532F2" w:rsidRDefault="00173374" w:rsidP="00173374">
            <w:pPr>
              <w:spacing w:before="60" w:after="40" w:line="288" w:lineRule="auto"/>
              <w:ind w:firstLine="0"/>
              <w:jc w:val="right"/>
              <w:rPr>
                <w:rFonts w:cs="Tahoma"/>
                <w:sz w:val="18"/>
                <w:szCs w:val="18"/>
              </w:rPr>
            </w:pPr>
            <w:r>
              <w:rPr>
                <w:rFonts w:cs="Tahoma"/>
                <w:sz w:val="18"/>
                <w:szCs w:val="18"/>
              </w:rPr>
              <w:t>11,0</w:t>
            </w:r>
          </w:p>
        </w:tc>
        <w:tc>
          <w:tcPr>
            <w:tcW w:w="1111" w:type="dxa"/>
            <w:vAlign w:val="center"/>
          </w:tcPr>
          <w:p w14:paraId="5E38A3E4" w14:textId="5B00C55D" w:rsidR="005F4808" w:rsidRPr="00C532F2" w:rsidRDefault="00173374" w:rsidP="00173374">
            <w:pPr>
              <w:spacing w:before="60" w:after="40" w:line="288" w:lineRule="auto"/>
              <w:ind w:firstLine="0"/>
              <w:jc w:val="right"/>
              <w:rPr>
                <w:rFonts w:cs="Tahoma"/>
                <w:sz w:val="18"/>
                <w:szCs w:val="18"/>
              </w:rPr>
            </w:pPr>
            <w:r>
              <w:rPr>
                <w:rFonts w:cs="Tahoma"/>
                <w:sz w:val="18"/>
                <w:szCs w:val="18"/>
              </w:rPr>
              <w:t>17,4</w:t>
            </w:r>
          </w:p>
        </w:tc>
        <w:tc>
          <w:tcPr>
            <w:tcW w:w="1111" w:type="dxa"/>
            <w:vAlign w:val="center"/>
          </w:tcPr>
          <w:p w14:paraId="3DF447CE" w14:textId="47A05767" w:rsidR="00D67941" w:rsidRPr="00C532F2" w:rsidRDefault="00173374" w:rsidP="00173374">
            <w:pPr>
              <w:spacing w:before="60" w:after="40" w:line="288" w:lineRule="auto"/>
              <w:ind w:firstLine="0"/>
              <w:jc w:val="right"/>
              <w:rPr>
                <w:rFonts w:cs="Tahoma"/>
                <w:sz w:val="18"/>
                <w:szCs w:val="18"/>
              </w:rPr>
            </w:pPr>
            <w:r>
              <w:rPr>
                <w:rFonts w:cs="Tahoma"/>
                <w:sz w:val="18"/>
                <w:szCs w:val="18"/>
              </w:rPr>
              <w:t>94/147</w:t>
            </w:r>
          </w:p>
        </w:tc>
        <w:tc>
          <w:tcPr>
            <w:tcW w:w="1112" w:type="dxa"/>
            <w:vAlign w:val="center"/>
          </w:tcPr>
          <w:p w14:paraId="5F738BD7" w14:textId="6D45E35B" w:rsidR="005F4808" w:rsidRPr="00C532F2" w:rsidRDefault="00173374" w:rsidP="00173374">
            <w:pPr>
              <w:spacing w:before="60" w:after="40" w:line="288" w:lineRule="auto"/>
              <w:ind w:firstLine="0"/>
              <w:jc w:val="right"/>
              <w:rPr>
                <w:rFonts w:cs="Tahoma"/>
                <w:sz w:val="18"/>
                <w:szCs w:val="18"/>
              </w:rPr>
            </w:pPr>
            <w:r>
              <w:rPr>
                <w:rFonts w:cs="Tahoma"/>
                <w:sz w:val="18"/>
                <w:szCs w:val="18"/>
              </w:rPr>
              <w:t>120</w:t>
            </w:r>
          </w:p>
        </w:tc>
      </w:tr>
      <w:tr w:rsidR="007F4915" w:rsidRPr="00C532F2" w14:paraId="6C099125" w14:textId="77777777" w:rsidTr="00427C49">
        <w:trPr>
          <w:jc w:val="center"/>
        </w:trPr>
        <w:tc>
          <w:tcPr>
            <w:tcW w:w="846" w:type="dxa"/>
            <w:vAlign w:val="center"/>
          </w:tcPr>
          <w:p w14:paraId="319A4463" w14:textId="32E569C4" w:rsidR="005F4808" w:rsidRPr="00C532F2" w:rsidRDefault="008E44A7" w:rsidP="00173374">
            <w:pPr>
              <w:spacing w:before="60" w:after="40" w:line="288" w:lineRule="auto"/>
              <w:ind w:firstLine="0"/>
              <w:jc w:val="center"/>
              <w:rPr>
                <w:rFonts w:cs="Tahoma"/>
                <w:sz w:val="18"/>
                <w:szCs w:val="18"/>
              </w:rPr>
            </w:pPr>
            <w:r>
              <w:rPr>
                <w:rFonts w:cs="Tahoma"/>
                <w:sz w:val="18"/>
                <w:szCs w:val="18"/>
              </w:rPr>
              <w:t>1</w:t>
            </w:r>
            <w:r w:rsidR="0096133D">
              <w:rPr>
                <w:rFonts w:cs="Tahoma"/>
                <w:sz w:val="18"/>
                <w:szCs w:val="18"/>
              </w:rPr>
              <w:t>2</w:t>
            </w:r>
          </w:p>
        </w:tc>
        <w:tc>
          <w:tcPr>
            <w:tcW w:w="1559" w:type="dxa"/>
            <w:vAlign w:val="center"/>
          </w:tcPr>
          <w:p w14:paraId="063E5559" w14:textId="27DA69F8" w:rsidR="005F4808" w:rsidRPr="00C532F2" w:rsidRDefault="00173374" w:rsidP="00173374">
            <w:pPr>
              <w:spacing w:before="60" w:after="40" w:line="288" w:lineRule="auto"/>
              <w:ind w:firstLine="0"/>
              <w:jc w:val="right"/>
              <w:rPr>
                <w:rFonts w:cs="Tahoma"/>
                <w:sz w:val="18"/>
                <w:szCs w:val="18"/>
              </w:rPr>
            </w:pPr>
            <w:r>
              <w:rPr>
                <w:rFonts w:cs="Tahoma"/>
                <w:sz w:val="18"/>
                <w:szCs w:val="18"/>
              </w:rPr>
              <w:t>79,2</w:t>
            </w:r>
          </w:p>
        </w:tc>
        <w:tc>
          <w:tcPr>
            <w:tcW w:w="1111" w:type="dxa"/>
            <w:vAlign w:val="center"/>
          </w:tcPr>
          <w:p w14:paraId="205CE078" w14:textId="7F0706E4" w:rsidR="005F4808" w:rsidRPr="00C532F2" w:rsidRDefault="00173374" w:rsidP="00173374">
            <w:pPr>
              <w:spacing w:before="60" w:after="40" w:line="288" w:lineRule="auto"/>
              <w:ind w:firstLine="0"/>
              <w:jc w:val="right"/>
              <w:rPr>
                <w:rFonts w:cs="Tahoma"/>
                <w:sz w:val="18"/>
                <w:szCs w:val="18"/>
              </w:rPr>
            </w:pPr>
            <w:r>
              <w:rPr>
                <w:rFonts w:cs="Tahoma"/>
                <w:sz w:val="18"/>
                <w:szCs w:val="18"/>
              </w:rPr>
              <w:t>103,0</w:t>
            </w:r>
          </w:p>
        </w:tc>
        <w:tc>
          <w:tcPr>
            <w:tcW w:w="1111" w:type="dxa"/>
            <w:vAlign w:val="center"/>
          </w:tcPr>
          <w:p w14:paraId="261C2AB8" w14:textId="4BA04C12" w:rsidR="005F4808" w:rsidRPr="00C532F2" w:rsidRDefault="00173374" w:rsidP="00173374">
            <w:pPr>
              <w:spacing w:before="60" w:after="40" w:line="288" w:lineRule="auto"/>
              <w:ind w:firstLine="0"/>
              <w:jc w:val="right"/>
              <w:rPr>
                <w:rFonts w:cs="Tahoma"/>
                <w:sz w:val="18"/>
                <w:szCs w:val="18"/>
              </w:rPr>
            </w:pPr>
            <w:r>
              <w:rPr>
                <w:rFonts w:cs="Tahoma"/>
                <w:sz w:val="18"/>
                <w:szCs w:val="18"/>
              </w:rPr>
              <w:t>162,4</w:t>
            </w:r>
          </w:p>
        </w:tc>
        <w:tc>
          <w:tcPr>
            <w:tcW w:w="1111" w:type="dxa"/>
            <w:vAlign w:val="center"/>
          </w:tcPr>
          <w:p w14:paraId="219FA77E" w14:textId="2D300B34" w:rsidR="005F4808" w:rsidRPr="00C532F2" w:rsidRDefault="00173374" w:rsidP="00173374">
            <w:pPr>
              <w:spacing w:before="60" w:after="40" w:line="288" w:lineRule="auto"/>
              <w:ind w:firstLine="0"/>
              <w:jc w:val="right"/>
              <w:rPr>
                <w:rFonts w:cs="Tahoma"/>
                <w:sz w:val="18"/>
                <w:szCs w:val="18"/>
              </w:rPr>
            </w:pPr>
            <w:r>
              <w:rPr>
                <w:rFonts w:cs="Tahoma"/>
                <w:sz w:val="18"/>
                <w:szCs w:val="18"/>
              </w:rPr>
              <w:t>17,6</w:t>
            </w:r>
          </w:p>
        </w:tc>
        <w:tc>
          <w:tcPr>
            <w:tcW w:w="1111" w:type="dxa"/>
            <w:vAlign w:val="center"/>
          </w:tcPr>
          <w:p w14:paraId="04E94DAA" w14:textId="272A8828" w:rsidR="005F4808" w:rsidRPr="00C532F2" w:rsidRDefault="00173374" w:rsidP="00173374">
            <w:pPr>
              <w:spacing w:before="60" w:after="40" w:line="288" w:lineRule="auto"/>
              <w:ind w:firstLine="0"/>
              <w:jc w:val="right"/>
              <w:rPr>
                <w:rFonts w:cs="Tahoma"/>
                <w:sz w:val="18"/>
                <w:szCs w:val="18"/>
              </w:rPr>
            </w:pPr>
            <w:r>
              <w:rPr>
                <w:rFonts w:cs="Tahoma"/>
                <w:sz w:val="18"/>
                <w:szCs w:val="18"/>
              </w:rPr>
              <w:t>27,1</w:t>
            </w:r>
          </w:p>
        </w:tc>
        <w:tc>
          <w:tcPr>
            <w:tcW w:w="1111" w:type="dxa"/>
            <w:vAlign w:val="center"/>
          </w:tcPr>
          <w:p w14:paraId="055531C7" w14:textId="25B63E33" w:rsidR="005F4808" w:rsidRPr="00C532F2" w:rsidRDefault="00173374" w:rsidP="00173374">
            <w:pPr>
              <w:spacing w:before="60" w:after="40" w:line="288" w:lineRule="auto"/>
              <w:ind w:firstLine="0"/>
              <w:jc w:val="right"/>
              <w:rPr>
                <w:rFonts w:cs="Tahoma"/>
                <w:sz w:val="18"/>
                <w:szCs w:val="18"/>
              </w:rPr>
            </w:pPr>
            <w:r>
              <w:rPr>
                <w:rFonts w:cs="Tahoma"/>
                <w:sz w:val="18"/>
                <w:szCs w:val="18"/>
              </w:rPr>
              <w:t>146/229</w:t>
            </w:r>
          </w:p>
        </w:tc>
        <w:tc>
          <w:tcPr>
            <w:tcW w:w="1112" w:type="dxa"/>
            <w:vAlign w:val="center"/>
          </w:tcPr>
          <w:p w14:paraId="3063498E" w14:textId="5B7CF1EF" w:rsidR="005F4808" w:rsidRPr="00C532F2" w:rsidRDefault="00173374" w:rsidP="00173374">
            <w:pPr>
              <w:spacing w:before="60" w:after="40" w:line="288" w:lineRule="auto"/>
              <w:ind w:firstLine="0"/>
              <w:jc w:val="right"/>
              <w:rPr>
                <w:rFonts w:cs="Tahoma"/>
                <w:sz w:val="18"/>
                <w:szCs w:val="18"/>
              </w:rPr>
            </w:pPr>
            <w:r>
              <w:rPr>
                <w:rFonts w:cs="Tahoma"/>
                <w:sz w:val="18"/>
                <w:szCs w:val="18"/>
              </w:rPr>
              <w:t>160</w:t>
            </w:r>
          </w:p>
        </w:tc>
      </w:tr>
      <w:tr w:rsidR="0096133D" w:rsidRPr="00C532F2" w14:paraId="138B2F15" w14:textId="77777777" w:rsidTr="00427C49">
        <w:trPr>
          <w:jc w:val="center"/>
        </w:trPr>
        <w:tc>
          <w:tcPr>
            <w:tcW w:w="846" w:type="dxa"/>
            <w:vAlign w:val="center"/>
          </w:tcPr>
          <w:p w14:paraId="2F03F069" w14:textId="5D99E7E8" w:rsidR="0096133D" w:rsidRDefault="0096133D" w:rsidP="00173374">
            <w:pPr>
              <w:spacing w:before="60" w:after="40" w:line="288" w:lineRule="auto"/>
              <w:ind w:firstLine="0"/>
              <w:jc w:val="center"/>
              <w:rPr>
                <w:rFonts w:cs="Tahoma"/>
                <w:sz w:val="18"/>
                <w:szCs w:val="18"/>
              </w:rPr>
            </w:pPr>
            <w:r>
              <w:rPr>
                <w:rFonts w:cs="Tahoma"/>
                <w:sz w:val="18"/>
                <w:szCs w:val="18"/>
              </w:rPr>
              <w:t>13</w:t>
            </w:r>
          </w:p>
        </w:tc>
        <w:tc>
          <w:tcPr>
            <w:tcW w:w="1559" w:type="dxa"/>
            <w:vAlign w:val="center"/>
          </w:tcPr>
          <w:p w14:paraId="452AC5FC" w14:textId="012023D8" w:rsidR="0096133D" w:rsidRDefault="00173374" w:rsidP="00173374">
            <w:pPr>
              <w:spacing w:before="60" w:after="40" w:line="288" w:lineRule="auto"/>
              <w:ind w:firstLine="0"/>
              <w:jc w:val="right"/>
              <w:rPr>
                <w:rFonts w:cs="Tahoma"/>
                <w:sz w:val="18"/>
                <w:szCs w:val="18"/>
              </w:rPr>
            </w:pPr>
            <w:r>
              <w:rPr>
                <w:rFonts w:cs="Tahoma"/>
                <w:sz w:val="18"/>
                <w:szCs w:val="18"/>
              </w:rPr>
              <w:t>67,2</w:t>
            </w:r>
          </w:p>
        </w:tc>
        <w:tc>
          <w:tcPr>
            <w:tcW w:w="1111" w:type="dxa"/>
            <w:vAlign w:val="center"/>
          </w:tcPr>
          <w:p w14:paraId="14FA2639" w14:textId="5F931E56" w:rsidR="0096133D" w:rsidRDefault="00173374" w:rsidP="00173374">
            <w:pPr>
              <w:spacing w:before="60" w:after="40" w:line="288" w:lineRule="auto"/>
              <w:ind w:firstLine="0"/>
              <w:jc w:val="right"/>
              <w:rPr>
                <w:rFonts w:cs="Tahoma"/>
                <w:sz w:val="18"/>
                <w:szCs w:val="18"/>
              </w:rPr>
            </w:pPr>
            <w:r>
              <w:rPr>
                <w:rFonts w:cs="Tahoma"/>
                <w:sz w:val="18"/>
                <w:szCs w:val="18"/>
              </w:rPr>
              <w:t>87,4</w:t>
            </w:r>
          </w:p>
        </w:tc>
        <w:tc>
          <w:tcPr>
            <w:tcW w:w="1111" w:type="dxa"/>
            <w:vAlign w:val="center"/>
          </w:tcPr>
          <w:p w14:paraId="5B990BBB" w14:textId="29FFB43E" w:rsidR="0096133D" w:rsidRDefault="00173374" w:rsidP="00173374">
            <w:pPr>
              <w:spacing w:before="60" w:after="40" w:line="288" w:lineRule="auto"/>
              <w:ind w:firstLine="0"/>
              <w:jc w:val="right"/>
              <w:rPr>
                <w:rFonts w:cs="Tahoma"/>
                <w:sz w:val="18"/>
                <w:szCs w:val="18"/>
              </w:rPr>
            </w:pPr>
            <w:r>
              <w:rPr>
                <w:rFonts w:cs="Tahoma"/>
                <w:sz w:val="18"/>
                <w:szCs w:val="18"/>
              </w:rPr>
              <w:t>137,8</w:t>
            </w:r>
          </w:p>
        </w:tc>
        <w:tc>
          <w:tcPr>
            <w:tcW w:w="1111" w:type="dxa"/>
            <w:vAlign w:val="center"/>
          </w:tcPr>
          <w:p w14:paraId="1963F986" w14:textId="635A3BA2" w:rsidR="0096133D" w:rsidRDefault="00173374" w:rsidP="00173374">
            <w:pPr>
              <w:spacing w:before="60" w:after="40" w:line="288" w:lineRule="auto"/>
              <w:ind w:firstLine="0"/>
              <w:jc w:val="right"/>
              <w:rPr>
                <w:rFonts w:cs="Tahoma"/>
                <w:sz w:val="18"/>
                <w:szCs w:val="18"/>
              </w:rPr>
            </w:pPr>
            <w:r>
              <w:rPr>
                <w:rFonts w:cs="Tahoma"/>
                <w:sz w:val="18"/>
                <w:szCs w:val="18"/>
              </w:rPr>
              <w:t>14,5</w:t>
            </w:r>
          </w:p>
        </w:tc>
        <w:tc>
          <w:tcPr>
            <w:tcW w:w="1111" w:type="dxa"/>
            <w:vAlign w:val="center"/>
          </w:tcPr>
          <w:p w14:paraId="2B68556F" w14:textId="17AE9F94" w:rsidR="0096133D" w:rsidRDefault="00173374" w:rsidP="00173374">
            <w:pPr>
              <w:spacing w:before="60" w:after="40" w:line="288" w:lineRule="auto"/>
              <w:ind w:firstLine="0"/>
              <w:jc w:val="right"/>
              <w:rPr>
                <w:rFonts w:cs="Tahoma"/>
                <w:sz w:val="18"/>
                <w:szCs w:val="18"/>
              </w:rPr>
            </w:pPr>
            <w:r>
              <w:rPr>
                <w:rFonts w:cs="Tahoma"/>
                <w:sz w:val="18"/>
                <w:szCs w:val="18"/>
              </w:rPr>
              <w:t>23,0</w:t>
            </w:r>
          </w:p>
        </w:tc>
        <w:tc>
          <w:tcPr>
            <w:tcW w:w="1111" w:type="dxa"/>
            <w:vAlign w:val="center"/>
          </w:tcPr>
          <w:p w14:paraId="5CA24F4D" w14:textId="212CAF8F" w:rsidR="0096133D" w:rsidRDefault="00173374" w:rsidP="00173374">
            <w:pPr>
              <w:spacing w:before="60" w:after="40" w:line="288" w:lineRule="auto"/>
              <w:ind w:firstLine="0"/>
              <w:jc w:val="right"/>
              <w:rPr>
                <w:rFonts w:cs="Tahoma"/>
                <w:sz w:val="18"/>
                <w:szCs w:val="18"/>
              </w:rPr>
            </w:pPr>
            <w:r>
              <w:rPr>
                <w:rFonts w:cs="Tahoma"/>
                <w:sz w:val="18"/>
                <w:szCs w:val="18"/>
              </w:rPr>
              <w:t>124/195</w:t>
            </w:r>
          </w:p>
        </w:tc>
        <w:tc>
          <w:tcPr>
            <w:tcW w:w="1112" w:type="dxa"/>
            <w:vAlign w:val="center"/>
          </w:tcPr>
          <w:p w14:paraId="59C91DDB" w14:textId="4A57BCAB" w:rsidR="0096133D" w:rsidRDefault="00173374" w:rsidP="00173374">
            <w:pPr>
              <w:spacing w:before="60" w:after="40" w:line="288" w:lineRule="auto"/>
              <w:ind w:firstLine="0"/>
              <w:jc w:val="right"/>
              <w:rPr>
                <w:rFonts w:cs="Tahoma"/>
                <w:sz w:val="18"/>
                <w:szCs w:val="18"/>
              </w:rPr>
            </w:pPr>
            <w:r>
              <w:rPr>
                <w:rFonts w:cs="Tahoma"/>
                <w:sz w:val="18"/>
                <w:szCs w:val="18"/>
              </w:rPr>
              <w:t>160</w:t>
            </w:r>
          </w:p>
        </w:tc>
      </w:tr>
      <w:tr w:rsidR="0096133D" w:rsidRPr="00C532F2" w14:paraId="5B80AD1A" w14:textId="77777777" w:rsidTr="00427C49">
        <w:trPr>
          <w:jc w:val="center"/>
        </w:trPr>
        <w:tc>
          <w:tcPr>
            <w:tcW w:w="846" w:type="dxa"/>
            <w:vAlign w:val="center"/>
          </w:tcPr>
          <w:p w14:paraId="026C7F2E" w14:textId="727DA013" w:rsidR="0096133D" w:rsidRDefault="0096133D" w:rsidP="00173374">
            <w:pPr>
              <w:spacing w:before="60" w:after="40" w:line="288" w:lineRule="auto"/>
              <w:ind w:firstLine="0"/>
              <w:jc w:val="center"/>
              <w:rPr>
                <w:rFonts w:cs="Tahoma"/>
                <w:sz w:val="18"/>
                <w:szCs w:val="18"/>
              </w:rPr>
            </w:pPr>
            <w:r>
              <w:rPr>
                <w:rFonts w:cs="Tahoma"/>
                <w:sz w:val="18"/>
                <w:szCs w:val="18"/>
              </w:rPr>
              <w:t>17</w:t>
            </w:r>
          </w:p>
        </w:tc>
        <w:tc>
          <w:tcPr>
            <w:tcW w:w="1559" w:type="dxa"/>
            <w:vAlign w:val="center"/>
          </w:tcPr>
          <w:p w14:paraId="1757AEE7" w14:textId="490BB34A" w:rsidR="0096133D" w:rsidRDefault="00173374" w:rsidP="00173374">
            <w:pPr>
              <w:spacing w:before="60" w:after="40" w:line="288" w:lineRule="auto"/>
              <w:ind w:firstLine="0"/>
              <w:jc w:val="right"/>
              <w:rPr>
                <w:rFonts w:cs="Tahoma"/>
                <w:sz w:val="18"/>
                <w:szCs w:val="18"/>
              </w:rPr>
            </w:pPr>
            <w:r>
              <w:rPr>
                <w:rFonts w:cs="Tahoma"/>
                <w:sz w:val="18"/>
                <w:szCs w:val="18"/>
              </w:rPr>
              <w:t>52,0</w:t>
            </w:r>
          </w:p>
        </w:tc>
        <w:tc>
          <w:tcPr>
            <w:tcW w:w="1111" w:type="dxa"/>
            <w:vAlign w:val="center"/>
          </w:tcPr>
          <w:p w14:paraId="19DD8753" w14:textId="51B270AF" w:rsidR="0096133D" w:rsidRDefault="00173374" w:rsidP="00173374">
            <w:pPr>
              <w:spacing w:before="60" w:after="40" w:line="288" w:lineRule="auto"/>
              <w:ind w:firstLine="0"/>
              <w:jc w:val="right"/>
              <w:rPr>
                <w:rFonts w:cs="Tahoma"/>
                <w:sz w:val="18"/>
                <w:szCs w:val="18"/>
              </w:rPr>
            </w:pPr>
            <w:r>
              <w:rPr>
                <w:rFonts w:cs="Tahoma"/>
                <w:sz w:val="18"/>
                <w:szCs w:val="18"/>
              </w:rPr>
              <w:t>67,6</w:t>
            </w:r>
          </w:p>
        </w:tc>
        <w:tc>
          <w:tcPr>
            <w:tcW w:w="1111" w:type="dxa"/>
            <w:vAlign w:val="center"/>
          </w:tcPr>
          <w:p w14:paraId="629D367E" w14:textId="4599D253" w:rsidR="0096133D" w:rsidRDefault="00173374" w:rsidP="00173374">
            <w:pPr>
              <w:spacing w:before="60" w:after="40" w:line="288" w:lineRule="auto"/>
              <w:ind w:firstLine="0"/>
              <w:jc w:val="right"/>
              <w:rPr>
                <w:rFonts w:cs="Tahoma"/>
                <w:sz w:val="18"/>
                <w:szCs w:val="18"/>
              </w:rPr>
            </w:pPr>
            <w:r>
              <w:rPr>
                <w:rFonts w:cs="Tahoma"/>
                <w:sz w:val="18"/>
                <w:szCs w:val="18"/>
              </w:rPr>
              <w:t>106,6</w:t>
            </w:r>
          </w:p>
        </w:tc>
        <w:tc>
          <w:tcPr>
            <w:tcW w:w="1111" w:type="dxa"/>
            <w:vAlign w:val="center"/>
          </w:tcPr>
          <w:p w14:paraId="44407A95" w14:textId="22EDBD0C" w:rsidR="0096133D" w:rsidRDefault="00173374" w:rsidP="00173374">
            <w:pPr>
              <w:spacing w:before="60" w:after="40" w:line="288" w:lineRule="auto"/>
              <w:ind w:firstLine="0"/>
              <w:jc w:val="right"/>
              <w:rPr>
                <w:rFonts w:cs="Tahoma"/>
                <w:sz w:val="18"/>
                <w:szCs w:val="18"/>
              </w:rPr>
            </w:pPr>
            <w:r>
              <w:rPr>
                <w:rFonts w:cs="Tahoma"/>
                <w:sz w:val="18"/>
                <w:szCs w:val="18"/>
              </w:rPr>
              <w:t>11,3</w:t>
            </w:r>
          </w:p>
        </w:tc>
        <w:tc>
          <w:tcPr>
            <w:tcW w:w="1111" w:type="dxa"/>
            <w:vAlign w:val="center"/>
          </w:tcPr>
          <w:p w14:paraId="78AB74CD" w14:textId="157A2F6F" w:rsidR="0096133D" w:rsidRDefault="00173374" w:rsidP="00173374">
            <w:pPr>
              <w:spacing w:before="60" w:after="40" w:line="288" w:lineRule="auto"/>
              <w:ind w:firstLine="0"/>
              <w:jc w:val="right"/>
              <w:rPr>
                <w:rFonts w:cs="Tahoma"/>
                <w:sz w:val="18"/>
                <w:szCs w:val="18"/>
              </w:rPr>
            </w:pPr>
            <w:r>
              <w:rPr>
                <w:rFonts w:cs="Tahoma"/>
                <w:sz w:val="18"/>
                <w:szCs w:val="18"/>
              </w:rPr>
              <w:t>17,8</w:t>
            </w:r>
          </w:p>
        </w:tc>
        <w:tc>
          <w:tcPr>
            <w:tcW w:w="1111" w:type="dxa"/>
            <w:vAlign w:val="center"/>
          </w:tcPr>
          <w:p w14:paraId="64ACD209" w14:textId="0B7A6009" w:rsidR="0096133D" w:rsidRDefault="00173374" w:rsidP="00173374">
            <w:pPr>
              <w:spacing w:before="60" w:after="40" w:line="288" w:lineRule="auto"/>
              <w:ind w:firstLine="0"/>
              <w:jc w:val="right"/>
              <w:rPr>
                <w:rFonts w:cs="Tahoma"/>
                <w:sz w:val="18"/>
                <w:szCs w:val="18"/>
              </w:rPr>
            </w:pPr>
            <w:r>
              <w:rPr>
                <w:rFonts w:cs="Tahoma"/>
                <w:sz w:val="18"/>
                <w:szCs w:val="18"/>
              </w:rPr>
              <w:t>96/151</w:t>
            </w:r>
          </w:p>
        </w:tc>
        <w:tc>
          <w:tcPr>
            <w:tcW w:w="1112" w:type="dxa"/>
            <w:vAlign w:val="center"/>
          </w:tcPr>
          <w:p w14:paraId="55027CF5" w14:textId="70C30146" w:rsidR="0096133D" w:rsidRDefault="00173374" w:rsidP="00173374">
            <w:pPr>
              <w:spacing w:before="60" w:after="40" w:line="288" w:lineRule="auto"/>
              <w:ind w:firstLine="0"/>
              <w:jc w:val="right"/>
              <w:rPr>
                <w:rFonts w:cs="Tahoma"/>
                <w:sz w:val="18"/>
                <w:szCs w:val="18"/>
              </w:rPr>
            </w:pPr>
            <w:r>
              <w:rPr>
                <w:rFonts w:cs="Tahoma"/>
                <w:sz w:val="18"/>
                <w:szCs w:val="18"/>
              </w:rPr>
              <w:t>120</w:t>
            </w:r>
          </w:p>
        </w:tc>
      </w:tr>
      <w:tr w:rsidR="0096133D" w:rsidRPr="00C532F2" w14:paraId="4749BF52" w14:textId="77777777" w:rsidTr="00427C49">
        <w:trPr>
          <w:jc w:val="center"/>
        </w:trPr>
        <w:tc>
          <w:tcPr>
            <w:tcW w:w="846" w:type="dxa"/>
            <w:vAlign w:val="center"/>
          </w:tcPr>
          <w:p w14:paraId="58CB4AFA" w14:textId="733D88A6" w:rsidR="0096133D" w:rsidRDefault="0096133D" w:rsidP="00173374">
            <w:pPr>
              <w:spacing w:before="60" w:after="40" w:line="288" w:lineRule="auto"/>
              <w:ind w:firstLine="0"/>
              <w:jc w:val="center"/>
              <w:rPr>
                <w:rFonts w:cs="Tahoma"/>
                <w:sz w:val="18"/>
                <w:szCs w:val="18"/>
              </w:rPr>
            </w:pPr>
            <w:r>
              <w:rPr>
                <w:rFonts w:cs="Tahoma"/>
                <w:sz w:val="18"/>
                <w:szCs w:val="18"/>
              </w:rPr>
              <w:t>18</w:t>
            </w:r>
          </w:p>
        </w:tc>
        <w:tc>
          <w:tcPr>
            <w:tcW w:w="1559" w:type="dxa"/>
            <w:vAlign w:val="center"/>
          </w:tcPr>
          <w:p w14:paraId="0A0842EC" w14:textId="60EA02F6" w:rsidR="0096133D" w:rsidRDefault="00173374" w:rsidP="00173374">
            <w:pPr>
              <w:spacing w:before="60" w:after="40" w:line="288" w:lineRule="auto"/>
              <w:ind w:firstLine="0"/>
              <w:jc w:val="right"/>
              <w:rPr>
                <w:rFonts w:cs="Tahoma"/>
                <w:sz w:val="18"/>
                <w:szCs w:val="18"/>
              </w:rPr>
            </w:pPr>
            <w:r>
              <w:rPr>
                <w:rFonts w:cs="Tahoma"/>
                <w:sz w:val="18"/>
                <w:szCs w:val="18"/>
              </w:rPr>
              <w:t>49,6</w:t>
            </w:r>
          </w:p>
        </w:tc>
        <w:tc>
          <w:tcPr>
            <w:tcW w:w="1111" w:type="dxa"/>
            <w:vAlign w:val="center"/>
          </w:tcPr>
          <w:p w14:paraId="79FC1300" w14:textId="39269172" w:rsidR="0096133D" w:rsidRDefault="00173374" w:rsidP="00173374">
            <w:pPr>
              <w:spacing w:before="60" w:after="40" w:line="288" w:lineRule="auto"/>
              <w:ind w:firstLine="0"/>
              <w:jc w:val="right"/>
              <w:rPr>
                <w:rFonts w:cs="Tahoma"/>
                <w:sz w:val="18"/>
                <w:szCs w:val="18"/>
              </w:rPr>
            </w:pPr>
            <w:r>
              <w:rPr>
                <w:rFonts w:cs="Tahoma"/>
                <w:sz w:val="18"/>
                <w:szCs w:val="18"/>
              </w:rPr>
              <w:t>64,5</w:t>
            </w:r>
          </w:p>
        </w:tc>
        <w:tc>
          <w:tcPr>
            <w:tcW w:w="1111" w:type="dxa"/>
            <w:vAlign w:val="center"/>
          </w:tcPr>
          <w:p w14:paraId="5671DAD7" w14:textId="17A68D58" w:rsidR="0096133D" w:rsidRDefault="00173374" w:rsidP="00173374">
            <w:pPr>
              <w:spacing w:before="60" w:after="40" w:line="288" w:lineRule="auto"/>
              <w:ind w:firstLine="0"/>
              <w:jc w:val="right"/>
              <w:rPr>
                <w:rFonts w:cs="Tahoma"/>
                <w:sz w:val="18"/>
                <w:szCs w:val="18"/>
              </w:rPr>
            </w:pPr>
            <w:r>
              <w:rPr>
                <w:rFonts w:cs="Tahoma"/>
                <w:sz w:val="18"/>
                <w:szCs w:val="18"/>
              </w:rPr>
              <w:t>101,7</w:t>
            </w:r>
          </w:p>
        </w:tc>
        <w:tc>
          <w:tcPr>
            <w:tcW w:w="1111" w:type="dxa"/>
            <w:vAlign w:val="center"/>
          </w:tcPr>
          <w:p w14:paraId="68E53D0D" w14:textId="0414C9A1" w:rsidR="0096133D" w:rsidRDefault="00173374" w:rsidP="00173374">
            <w:pPr>
              <w:spacing w:before="60" w:after="40" w:line="288" w:lineRule="auto"/>
              <w:ind w:firstLine="0"/>
              <w:jc w:val="right"/>
              <w:rPr>
                <w:rFonts w:cs="Tahoma"/>
                <w:sz w:val="18"/>
                <w:szCs w:val="18"/>
              </w:rPr>
            </w:pPr>
            <w:r>
              <w:rPr>
                <w:rFonts w:cs="Tahoma"/>
                <w:sz w:val="18"/>
                <w:szCs w:val="18"/>
              </w:rPr>
              <w:t>10,7</w:t>
            </w:r>
          </w:p>
        </w:tc>
        <w:tc>
          <w:tcPr>
            <w:tcW w:w="1111" w:type="dxa"/>
            <w:vAlign w:val="center"/>
          </w:tcPr>
          <w:p w14:paraId="3D63F87C" w14:textId="2C87C7E2" w:rsidR="0096133D" w:rsidRDefault="00173374" w:rsidP="00173374">
            <w:pPr>
              <w:spacing w:before="60" w:after="40" w:line="288" w:lineRule="auto"/>
              <w:ind w:firstLine="0"/>
              <w:jc w:val="right"/>
              <w:rPr>
                <w:rFonts w:cs="Tahoma"/>
                <w:sz w:val="18"/>
                <w:szCs w:val="18"/>
              </w:rPr>
            </w:pPr>
            <w:r>
              <w:rPr>
                <w:rFonts w:cs="Tahoma"/>
                <w:sz w:val="18"/>
                <w:szCs w:val="18"/>
              </w:rPr>
              <w:t>16,9</w:t>
            </w:r>
          </w:p>
        </w:tc>
        <w:tc>
          <w:tcPr>
            <w:tcW w:w="1111" w:type="dxa"/>
            <w:vAlign w:val="center"/>
          </w:tcPr>
          <w:p w14:paraId="3F4081F1" w14:textId="700BEAE3" w:rsidR="0096133D" w:rsidRDefault="00173374" w:rsidP="00173374">
            <w:pPr>
              <w:spacing w:before="60" w:after="40" w:line="288" w:lineRule="auto"/>
              <w:ind w:firstLine="0"/>
              <w:jc w:val="right"/>
              <w:rPr>
                <w:rFonts w:cs="Tahoma"/>
                <w:sz w:val="18"/>
                <w:szCs w:val="18"/>
              </w:rPr>
            </w:pPr>
            <w:r>
              <w:rPr>
                <w:rFonts w:cs="Tahoma"/>
                <w:sz w:val="18"/>
                <w:szCs w:val="18"/>
              </w:rPr>
              <w:t>91/144</w:t>
            </w:r>
          </w:p>
        </w:tc>
        <w:tc>
          <w:tcPr>
            <w:tcW w:w="1112" w:type="dxa"/>
            <w:vAlign w:val="center"/>
          </w:tcPr>
          <w:p w14:paraId="28C5CCAD" w14:textId="143EF2BD" w:rsidR="0096133D" w:rsidRDefault="00173374" w:rsidP="00173374">
            <w:pPr>
              <w:spacing w:before="60" w:after="40" w:line="288" w:lineRule="auto"/>
              <w:ind w:firstLine="0"/>
              <w:jc w:val="right"/>
              <w:rPr>
                <w:rFonts w:cs="Tahoma"/>
                <w:sz w:val="18"/>
                <w:szCs w:val="18"/>
              </w:rPr>
            </w:pPr>
            <w:r>
              <w:rPr>
                <w:rFonts w:cs="Tahoma"/>
                <w:sz w:val="18"/>
                <w:szCs w:val="18"/>
              </w:rPr>
              <w:t>120</w:t>
            </w:r>
          </w:p>
        </w:tc>
      </w:tr>
      <w:tr w:rsidR="0096133D" w:rsidRPr="00C532F2" w14:paraId="4AE207FF" w14:textId="77777777" w:rsidTr="00427C49">
        <w:trPr>
          <w:jc w:val="center"/>
        </w:trPr>
        <w:tc>
          <w:tcPr>
            <w:tcW w:w="846" w:type="dxa"/>
            <w:vAlign w:val="center"/>
          </w:tcPr>
          <w:p w14:paraId="1D86154D" w14:textId="5C5996C1" w:rsidR="0096133D" w:rsidRDefault="0096133D" w:rsidP="00173374">
            <w:pPr>
              <w:spacing w:before="60" w:after="40" w:line="288" w:lineRule="auto"/>
              <w:ind w:firstLine="0"/>
              <w:jc w:val="center"/>
              <w:rPr>
                <w:rFonts w:cs="Tahoma"/>
                <w:sz w:val="18"/>
                <w:szCs w:val="18"/>
              </w:rPr>
            </w:pPr>
            <w:r>
              <w:rPr>
                <w:rFonts w:cs="Tahoma"/>
                <w:sz w:val="18"/>
                <w:szCs w:val="18"/>
              </w:rPr>
              <w:t>19</w:t>
            </w:r>
          </w:p>
        </w:tc>
        <w:tc>
          <w:tcPr>
            <w:tcW w:w="1559" w:type="dxa"/>
            <w:vAlign w:val="center"/>
          </w:tcPr>
          <w:p w14:paraId="3BEBE51E" w14:textId="0C807DF3" w:rsidR="0096133D" w:rsidRDefault="00173374" w:rsidP="00173374">
            <w:pPr>
              <w:spacing w:before="60" w:after="40" w:line="288" w:lineRule="auto"/>
              <w:ind w:firstLine="0"/>
              <w:jc w:val="right"/>
              <w:rPr>
                <w:rFonts w:cs="Tahoma"/>
                <w:sz w:val="18"/>
                <w:szCs w:val="18"/>
              </w:rPr>
            </w:pPr>
            <w:r>
              <w:rPr>
                <w:rFonts w:cs="Tahoma"/>
                <w:sz w:val="18"/>
                <w:szCs w:val="18"/>
              </w:rPr>
              <w:t>44,1</w:t>
            </w:r>
          </w:p>
        </w:tc>
        <w:tc>
          <w:tcPr>
            <w:tcW w:w="1111" w:type="dxa"/>
            <w:vAlign w:val="center"/>
          </w:tcPr>
          <w:p w14:paraId="63C187F0" w14:textId="6B893505" w:rsidR="0096133D" w:rsidRDefault="00173374" w:rsidP="00173374">
            <w:pPr>
              <w:spacing w:before="60" w:after="40" w:line="288" w:lineRule="auto"/>
              <w:ind w:firstLine="0"/>
              <w:jc w:val="right"/>
              <w:rPr>
                <w:rFonts w:cs="Tahoma"/>
                <w:sz w:val="18"/>
                <w:szCs w:val="18"/>
              </w:rPr>
            </w:pPr>
            <w:r>
              <w:rPr>
                <w:rFonts w:cs="Tahoma"/>
                <w:sz w:val="18"/>
                <w:szCs w:val="18"/>
              </w:rPr>
              <w:t>57,3</w:t>
            </w:r>
          </w:p>
        </w:tc>
        <w:tc>
          <w:tcPr>
            <w:tcW w:w="1111" w:type="dxa"/>
            <w:vAlign w:val="center"/>
          </w:tcPr>
          <w:p w14:paraId="1288EC70" w14:textId="09C3E8AC" w:rsidR="0096133D" w:rsidRDefault="00173374" w:rsidP="00173374">
            <w:pPr>
              <w:spacing w:before="60" w:after="40" w:line="288" w:lineRule="auto"/>
              <w:ind w:firstLine="0"/>
              <w:jc w:val="right"/>
              <w:rPr>
                <w:rFonts w:cs="Tahoma"/>
                <w:sz w:val="18"/>
                <w:szCs w:val="18"/>
              </w:rPr>
            </w:pPr>
            <w:r>
              <w:rPr>
                <w:rFonts w:cs="Tahoma"/>
                <w:sz w:val="18"/>
                <w:szCs w:val="18"/>
              </w:rPr>
              <w:t>90,4</w:t>
            </w:r>
          </w:p>
        </w:tc>
        <w:tc>
          <w:tcPr>
            <w:tcW w:w="1111" w:type="dxa"/>
            <w:vAlign w:val="center"/>
          </w:tcPr>
          <w:p w14:paraId="29E34DE5" w14:textId="4DF30245" w:rsidR="0096133D" w:rsidRDefault="00173374" w:rsidP="00173374">
            <w:pPr>
              <w:spacing w:before="60" w:after="40" w:line="288" w:lineRule="auto"/>
              <w:ind w:firstLine="0"/>
              <w:jc w:val="right"/>
              <w:rPr>
                <w:rFonts w:cs="Tahoma"/>
                <w:sz w:val="18"/>
                <w:szCs w:val="18"/>
              </w:rPr>
            </w:pPr>
            <w:r>
              <w:rPr>
                <w:rFonts w:cs="Tahoma"/>
                <w:sz w:val="18"/>
                <w:szCs w:val="18"/>
              </w:rPr>
              <w:t>9,6</w:t>
            </w:r>
          </w:p>
        </w:tc>
        <w:tc>
          <w:tcPr>
            <w:tcW w:w="1111" w:type="dxa"/>
            <w:vAlign w:val="center"/>
          </w:tcPr>
          <w:p w14:paraId="10300F6E" w14:textId="7EAAE116" w:rsidR="0096133D" w:rsidRDefault="00173374" w:rsidP="00173374">
            <w:pPr>
              <w:spacing w:before="60" w:after="40" w:line="288" w:lineRule="auto"/>
              <w:ind w:firstLine="0"/>
              <w:jc w:val="right"/>
              <w:rPr>
                <w:rFonts w:cs="Tahoma"/>
                <w:sz w:val="18"/>
                <w:szCs w:val="18"/>
              </w:rPr>
            </w:pPr>
            <w:r>
              <w:rPr>
                <w:rFonts w:cs="Tahoma"/>
                <w:sz w:val="18"/>
                <w:szCs w:val="18"/>
              </w:rPr>
              <w:t>15,1</w:t>
            </w:r>
          </w:p>
        </w:tc>
        <w:tc>
          <w:tcPr>
            <w:tcW w:w="1111" w:type="dxa"/>
            <w:vAlign w:val="center"/>
          </w:tcPr>
          <w:p w14:paraId="1ECC9C25" w14:textId="7C8A08E4" w:rsidR="0096133D" w:rsidRDefault="00173374" w:rsidP="00173374">
            <w:pPr>
              <w:spacing w:before="60" w:after="40" w:line="288" w:lineRule="auto"/>
              <w:ind w:firstLine="0"/>
              <w:jc w:val="right"/>
              <w:rPr>
                <w:rFonts w:cs="Tahoma"/>
                <w:sz w:val="18"/>
                <w:szCs w:val="18"/>
              </w:rPr>
            </w:pPr>
            <w:r>
              <w:rPr>
                <w:rFonts w:cs="Tahoma"/>
                <w:sz w:val="18"/>
                <w:szCs w:val="18"/>
              </w:rPr>
              <w:t>81/128</w:t>
            </w:r>
          </w:p>
        </w:tc>
        <w:tc>
          <w:tcPr>
            <w:tcW w:w="1112" w:type="dxa"/>
            <w:vAlign w:val="center"/>
          </w:tcPr>
          <w:p w14:paraId="2A8EFF39" w14:textId="5684156D" w:rsidR="0096133D" w:rsidRDefault="00173374" w:rsidP="00173374">
            <w:pPr>
              <w:spacing w:before="60" w:after="40" w:line="288" w:lineRule="auto"/>
              <w:ind w:firstLine="0"/>
              <w:jc w:val="right"/>
              <w:rPr>
                <w:rFonts w:cs="Tahoma"/>
                <w:sz w:val="18"/>
                <w:szCs w:val="18"/>
              </w:rPr>
            </w:pPr>
            <w:r>
              <w:rPr>
                <w:rFonts w:cs="Tahoma"/>
                <w:sz w:val="18"/>
                <w:szCs w:val="18"/>
              </w:rPr>
              <w:t>120</w:t>
            </w:r>
          </w:p>
        </w:tc>
      </w:tr>
      <w:tr w:rsidR="0096133D" w:rsidRPr="00C532F2" w14:paraId="5CE9AE93" w14:textId="77777777" w:rsidTr="00427C49">
        <w:trPr>
          <w:jc w:val="center"/>
        </w:trPr>
        <w:tc>
          <w:tcPr>
            <w:tcW w:w="846" w:type="dxa"/>
            <w:vAlign w:val="center"/>
          </w:tcPr>
          <w:p w14:paraId="10FFDDC2" w14:textId="0BDB3285" w:rsidR="0096133D" w:rsidRDefault="0096133D" w:rsidP="00173374">
            <w:pPr>
              <w:spacing w:before="60" w:after="40" w:line="288" w:lineRule="auto"/>
              <w:ind w:firstLine="0"/>
              <w:jc w:val="center"/>
              <w:rPr>
                <w:rFonts w:cs="Tahoma"/>
                <w:sz w:val="18"/>
                <w:szCs w:val="18"/>
              </w:rPr>
            </w:pPr>
            <w:r>
              <w:rPr>
                <w:rFonts w:cs="Tahoma"/>
                <w:sz w:val="18"/>
                <w:szCs w:val="18"/>
              </w:rPr>
              <w:t>30</w:t>
            </w:r>
          </w:p>
        </w:tc>
        <w:tc>
          <w:tcPr>
            <w:tcW w:w="1559" w:type="dxa"/>
            <w:vAlign w:val="center"/>
          </w:tcPr>
          <w:p w14:paraId="42EB1014" w14:textId="386C79F1" w:rsidR="0096133D" w:rsidRDefault="00173374" w:rsidP="00173374">
            <w:pPr>
              <w:spacing w:before="60" w:after="40" w:line="288" w:lineRule="auto"/>
              <w:ind w:firstLine="0"/>
              <w:jc w:val="right"/>
              <w:rPr>
                <w:rFonts w:cs="Tahoma"/>
                <w:sz w:val="18"/>
                <w:szCs w:val="18"/>
              </w:rPr>
            </w:pPr>
            <w:r>
              <w:rPr>
                <w:rFonts w:cs="Tahoma"/>
                <w:sz w:val="18"/>
                <w:szCs w:val="18"/>
              </w:rPr>
              <w:t>36,3</w:t>
            </w:r>
          </w:p>
        </w:tc>
        <w:tc>
          <w:tcPr>
            <w:tcW w:w="1111" w:type="dxa"/>
            <w:vAlign w:val="center"/>
          </w:tcPr>
          <w:p w14:paraId="4ED4AD60" w14:textId="726550C7" w:rsidR="0096133D" w:rsidRDefault="00173374" w:rsidP="00173374">
            <w:pPr>
              <w:spacing w:before="60" w:after="40" w:line="288" w:lineRule="auto"/>
              <w:ind w:firstLine="0"/>
              <w:jc w:val="right"/>
              <w:rPr>
                <w:rFonts w:cs="Tahoma"/>
                <w:sz w:val="18"/>
                <w:szCs w:val="18"/>
              </w:rPr>
            </w:pPr>
            <w:r>
              <w:rPr>
                <w:rFonts w:cs="Tahoma"/>
                <w:sz w:val="18"/>
                <w:szCs w:val="18"/>
              </w:rPr>
              <w:t>47,2</w:t>
            </w:r>
          </w:p>
        </w:tc>
        <w:tc>
          <w:tcPr>
            <w:tcW w:w="1111" w:type="dxa"/>
            <w:vAlign w:val="center"/>
          </w:tcPr>
          <w:p w14:paraId="500C1B1C" w14:textId="33D8C559" w:rsidR="0096133D" w:rsidRDefault="00173374" w:rsidP="00173374">
            <w:pPr>
              <w:spacing w:before="60" w:after="40" w:line="288" w:lineRule="auto"/>
              <w:ind w:firstLine="0"/>
              <w:jc w:val="right"/>
              <w:rPr>
                <w:rFonts w:cs="Tahoma"/>
                <w:sz w:val="18"/>
                <w:szCs w:val="18"/>
              </w:rPr>
            </w:pPr>
            <w:r>
              <w:rPr>
                <w:rFonts w:cs="Tahoma"/>
                <w:sz w:val="18"/>
                <w:szCs w:val="18"/>
              </w:rPr>
              <w:t>74,4</w:t>
            </w:r>
          </w:p>
        </w:tc>
        <w:tc>
          <w:tcPr>
            <w:tcW w:w="1111" w:type="dxa"/>
            <w:vAlign w:val="center"/>
          </w:tcPr>
          <w:p w14:paraId="7B78D5D6" w14:textId="2436E784" w:rsidR="0096133D" w:rsidRDefault="00173374" w:rsidP="00173374">
            <w:pPr>
              <w:spacing w:before="60" w:after="40" w:line="288" w:lineRule="auto"/>
              <w:ind w:firstLine="0"/>
              <w:jc w:val="right"/>
              <w:rPr>
                <w:rFonts w:cs="Tahoma"/>
                <w:sz w:val="18"/>
                <w:szCs w:val="18"/>
              </w:rPr>
            </w:pPr>
            <w:r>
              <w:rPr>
                <w:rFonts w:cs="Tahoma"/>
                <w:sz w:val="18"/>
                <w:szCs w:val="18"/>
              </w:rPr>
              <w:t>7,8</w:t>
            </w:r>
          </w:p>
        </w:tc>
        <w:tc>
          <w:tcPr>
            <w:tcW w:w="1111" w:type="dxa"/>
            <w:vAlign w:val="center"/>
          </w:tcPr>
          <w:p w14:paraId="65B07CAF" w14:textId="695C8286" w:rsidR="0096133D" w:rsidRDefault="00173374" w:rsidP="00173374">
            <w:pPr>
              <w:spacing w:before="60" w:after="40" w:line="288" w:lineRule="auto"/>
              <w:ind w:firstLine="0"/>
              <w:jc w:val="right"/>
              <w:rPr>
                <w:rFonts w:cs="Tahoma"/>
                <w:sz w:val="18"/>
                <w:szCs w:val="18"/>
              </w:rPr>
            </w:pPr>
            <w:r>
              <w:rPr>
                <w:rFonts w:cs="Tahoma"/>
                <w:sz w:val="18"/>
                <w:szCs w:val="18"/>
              </w:rPr>
              <w:t>12,4</w:t>
            </w:r>
          </w:p>
        </w:tc>
        <w:tc>
          <w:tcPr>
            <w:tcW w:w="1111" w:type="dxa"/>
            <w:vAlign w:val="center"/>
          </w:tcPr>
          <w:p w14:paraId="3EAC2ED9" w14:textId="1D084B23" w:rsidR="0096133D" w:rsidRDefault="00173374" w:rsidP="00173374">
            <w:pPr>
              <w:spacing w:before="60" w:after="40" w:line="288" w:lineRule="auto"/>
              <w:ind w:firstLine="0"/>
              <w:jc w:val="right"/>
              <w:rPr>
                <w:rFonts w:cs="Tahoma"/>
                <w:sz w:val="18"/>
                <w:szCs w:val="18"/>
              </w:rPr>
            </w:pPr>
            <w:r>
              <w:rPr>
                <w:rFonts w:cs="Tahoma"/>
                <w:sz w:val="18"/>
                <w:szCs w:val="18"/>
              </w:rPr>
              <w:t>67/105</w:t>
            </w:r>
          </w:p>
        </w:tc>
        <w:tc>
          <w:tcPr>
            <w:tcW w:w="1112" w:type="dxa"/>
            <w:vAlign w:val="center"/>
          </w:tcPr>
          <w:p w14:paraId="6E8E1C89" w14:textId="62374C3D" w:rsidR="0096133D" w:rsidRDefault="00173374" w:rsidP="00173374">
            <w:pPr>
              <w:spacing w:before="60" w:after="40" w:line="288" w:lineRule="auto"/>
              <w:ind w:firstLine="0"/>
              <w:jc w:val="right"/>
              <w:rPr>
                <w:rFonts w:cs="Tahoma"/>
                <w:sz w:val="18"/>
                <w:szCs w:val="18"/>
              </w:rPr>
            </w:pPr>
            <w:r>
              <w:rPr>
                <w:rFonts w:cs="Tahoma"/>
                <w:sz w:val="18"/>
                <w:szCs w:val="18"/>
              </w:rPr>
              <w:t>90</w:t>
            </w:r>
          </w:p>
        </w:tc>
      </w:tr>
      <w:tr w:rsidR="007F4915" w:rsidRPr="00C532F2" w14:paraId="23A33C9F" w14:textId="77777777" w:rsidTr="00427C49">
        <w:trPr>
          <w:jc w:val="center"/>
        </w:trPr>
        <w:tc>
          <w:tcPr>
            <w:tcW w:w="846" w:type="dxa"/>
            <w:vAlign w:val="center"/>
          </w:tcPr>
          <w:p w14:paraId="461219FF" w14:textId="732DC81E" w:rsidR="005F4808" w:rsidRPr="00C532F2" w:rsidRDefault="0096133D" w:rsidP="00173374">
            <w:pPr>
              <w:spacing w:before="60" w:after="40" w:line="288" w:lineRule="auto"/>
              <w:ind w:firstLine="0"/>
              <w:jc w:val="center"/>
              <w:rPr>
                <w:rFonts w:cs="Tahoma"/>
                <w:sz w:val="18"/>
                <w:szCs w:val="18"/>
              </w:rPr>
            </w:pPr>
            <w:r>
              <w:rPr>
                <w:rFonts w:cs="Tahoma"/>
                <w:sz w:val="18"/>
                <w:szCs w:val="18"/>
              </w:rPr>
              <w:t>34</w:t>
            </w:r>
          </w:p>
        </w:tc>
        <w:tc>
          <w:tcPr>
            <w:tcW w:w="1559" w:type="dxa"/>
            <w:vAlign w:val="center"/>
          </w:tcPr>
          <w:p w14:paraId="3F7C38A8" w14:textId="687D1C1A" w:rsidR="005F4808" w:rsidRPr="00C532F2" w:rsidRDefault="00173374" w:rsidP="00173374">
            <w:pPr>
              <w:spacing w:before="60" w:after="40" w:line="288" w:lineRule="auto"/>
              <w:ind w:firstLine="0"/>
              <w:jc w:val="right"/>
              <w:rPr>
                <w:rFonts w:cs="Tahoma"/>
                <w:sz w:val="18"/>
                <w:szCs w:val="18"/>
              </w:rPr>
            </w:pPr>
            <w:r>
              <w:rPr>
                <w:rFonts w:cs="Tahoma"/>
                <w:sz w:val="18"/>
                <w:szCs w:val="18"/>
              </w:rPr>
              <w:t>74,7</w:t>
            </w:r>
          </w:p>
        </w:tc>
        <w:tc>
          <w:tcPr>
            <w:tcW w:w="1111" w:type="dxa"/>
            <w:vAlign w:val="center"/>
          </w:tcPr>
          <w:p w14:paraId="1B9669E3" w14:textId="5EAAECB6" w:rsidR="005F4808" w:rsidRPr="00C532F2" w:rsidRDefault="00173374" w:rsidP="00173374">
            <w:pPr>
              <w:spacing w:before="60" w:after="40" w:line="288" w:lineRule="auto"/>
              <w:ind w:firstLine="0"/>
              <w:jc w:val="right"/>
              <w:rPr>
                <w:rFonts w:cs="Tahoma"/>
                <w:sz w:val="18"/>
                <w:szCs w:val="18"/>
              </w:rPr>
            </w:pPr>
            <w:r>
              <w:rPr>
                <w:rFonts w:cs="Tahoma"/>
                <w:sz w:val="18"/>
                <w:szCs w:val="18"/>
              </w:rPr>
              <w:t>97,0</w:t>
            </w:r>
          </w:p>
        </w:tc>
        <w:tc>
          <w:tcPr>
            <w:tcW w:w="1111" w:type="dxa"/>
            <w:vAlign w:val="center"/>
          </w:tcPr>
          <w:p w14:paraId="7468EFAB" w14:textId="5E47E060" w:rsidR="005F4808" w:rsidRPr="00C532F2" w:rsidRDefault="00173374" w:rsidP="00173374">
            <w:pPr>
              <w:spacing w:before="60" w:after="40" w:line="288" w:lineRule="auto"/>
              <w:ind w:firstLine="0"/>
              <w:jc w:val="right"/>
              <w:rPr>
                <w:rFonts w:cs="Tahoma"/>
                <w:sz w:val="18"/>
                <w:szCs w:val="18"/>
              </w:rPr>
            </w:pPr>
            <w:r>
              <w:rPr>
                <w:rFonts w:cs="Tahoma"/>
                <w:sz w:val="18"/>
                <w:szCs w:val="18"/>
              </w:rPr>
              <w:t>153,0</w:t>
            </w:r>
          </w:p>
        </w:tc>
        <w:tc>
          <w:tcPr>
            <w:tcW w:w="1111" w:type="dxa"/>
            <w:vAlign w:val="center"/>
          </w:tcPr>
          <w:p w14:paraId="78BF7AE3" w14:textId="33A3A2A7" w:rsidR="005F4808" w:rsidRPr="00C532F2" w:rsidRDefault="00173374" w:rsidP="00173374">
            <w:pPr>
              <w:spacing w:before="60" w:after="40" w:line="288" w:lineRule="auto"/>
              <w:ind w:firstLine="0"/>
              <w:jc w:val="right"/>
              <w:rPr>
                <w:rFonts w:cs="Tahoma"/>
                <w:sz w:val="18"/>
                <w:szCs w:val="18"/>
              </w:rPr>
            </w:pPr>
            <w:r>
              <w:rPr>
                <w:rFonts w:cs="Tahoma"/>
                <w:sz w:val="18"/>
                <w:szCs w:val="18"/>
              </w:rPr>
              <w:t>16,2</w:t>
            </w:r>
          </w:p>
        </w:tc>
        <w:tc>
          <w:tcPr>
            <w:tcW w:w="1111" w:type="dxa"/>
            <w:vAlign w:val="center"/>
          </w:tcPr>
          <w:p w14:paraId="64DA5BC3" w14:textId="4C7F3E32" w:rsidR="005F4808" w:rsidRPr="00C532F2" w:rsidRDefault="00173374" w:rsidP="00173374">
            <w:pPr>
              <w:spacing w:before="60" w:after="40" w:line="288" w:lineRule="auto"/>
              <w:ind w:firstLine="0"/>
              <w:jc w:val="right"/>
              <w:rPr>
                <w:rFonts w:cs="Tahoma"/>
                <w:sz w:val="18"/>
                <w:szCs w:val="18"/>
              </w:rPr>
            </w:pPr>
            <w:r>
              <w:rPr>
                <w:rFonts w:cs="Tahoma"/>
                <w:sz w:val="18"/>
                <w:szCs w:val="18"/>
              </w:rPr>
              <w:t>25,5</w:t>
            </w:r>
          </w:p>
        </w:tc>
        <w:tc>
          <w:tcPr>
            <w:tcW w:w="1111" w:type="dxa"/>
            <w:vAlign w:val="center"/>
          </w:tcPr>
          <w:p w14:paraId="27FF2713" w14:textId="39179F12" w:rsidR="005F4808" w:rsidRPr="00C532F2" w:rsidRDefault="00173374" w:rsidP="00173374">
            <w:pPr>
              <w:spacing w:before="60" w:after="40" w:line="288" w:lineRule="auto"/>
              <w:ind w:firstLine="0"/>
              <w:jc w:val="right"/>
              <w:rPr>
                <w:rFonts w:cs="Tahoma"/>
                <w:sz w:val="18"/>
                <w:szCs w:val="18"/>
              </w:rPr>
            </w:pPr>
            <w:r>
              <w:rPr>
                <w:rFonts w:cs="Tahoma"/>
                <w:sz w:val="18"/>
                <w:szCs w:val="18"/>
              </w:rPr>
              <w:t>137/216</w:t>
            </w:r>
          </w:p>
        </w:tc>
        <w:tc>
          <w:tcPr>
            <w:tcW w:w="1112" w:type="dxa"/>
            <w:vAlign w:val="center"/>
          </w:tcPr>
          <w:p w14:paraId="028AD893" w14:textId="2297D800" w:rsidR="005F4808" w:rsidRPr="00C532F2" w:rsidRDefault="00173374" w:rsidP="00173374">
            <w:pPr>
              <w:spacing w:before="60" w:after="40" w:line="288" w:lineRule="auto"/>
              <w:ind w:firstLine="0"/>
              <w:jc w:val="right"/>
              <w:rPr>
                <w:rFonts w:cs="Tahoma"/>
                <w:sz w:val="18"/>
                <w:szCs w:val="18"/>
              </w:rPr>
            </w:pPr>
            <w:r>
              <w:rPr>
                <w:rFonts w:cs="Tahoma"/>
                <w:sz w:val="18"/>
                <w:szCs w:val="18"/>
              </w:rPr>
              <w:t>160</w:t>
            </w:r>
          </w:p>
        </w:tc>
      </w:tr>
    </w:tbl>
    <w:p w14:paraId="485E3368" w14:textId="7E2492F3" w:rsidR="005F4808" w:rsidRPr="00C532F2" w:rsidRDefault="005F4808" w:rsidP="00173374">
      <w:pPr>
        <w:spacing w:before="120" w:after="240"/>
        <w:ind w:firstLine="0"/>
        <w:jc w:val="left"/>
        <w:rPr>
          <w:rFonts w:cs="Tahoma"/>
          <w:sz w:val="20"/>
          <w:szCs w:val="20"/>
        </w:rPr>
      </w:pPr>
      <w:r w:rsidRPr="00C532F2">
        <w:rPr>
          <w:rFonts w:cs="Tahoma"/>
          <w:sz w:val="20"/>
          <w:szCs w:val="20"/>
        </w:rPr>
        <w:t>Źródło: opracowanie własne.</w:t>
      </w:r>
    </w:p>
    <w:p w14:paraId="4FA5CA51" w14:textId="4A10E696" w:rsidR="004527FE" w:rsidRPr="004527FE" w:rsidRDefault="00143304" w:rsidP="00173374">
      <w:r>
        <w:t>Zestawienie zawarte w tabeli 9</w:t>
      </w:r>
      <w:r w:rsidR="004527FE" w:rsidRPr="004527FE">
        <w:t xml:space="preserve"> ma jednak charakter przede wszystkim poglądowy, gdyż przy proponowanym zachowaniu obecnych częstych zmian w przypisaniu pojazdów do linii, kolejne kursy realizowane byłyby na różnych parach linii zestawionych spośród wymienionych w tabeli oraz o różnej długości wariantów tras. </w:t>
      </w:r>
    </w:p>
    <w:p w14:paraId="7DC0349D" w14:textId="349C1AFB" w:rsidR="00DE4035" w:rsidRDefault="00DE4035" w:rsidP="00173374">
      <w:r>
        <w:t xml:space="preserve">Przedstawione czasy ładowania są </w:t>
      </w:r>
      <w:r w:rsidR="00104C9D">
        <w:t xml:space="preserve">dość </w:t>
      </w:r>
      <w:r w:rsidR="00173374">
        <w:t>długie z dodatkowym ogrzewaniem spalinowym, a bardzo długie z ogrzewaniem elektrycznym</w:t>
      </w:r>
      <w:r>
        <w:t xml:space="preserve"> w okresie zimowym. Oznacza to, że nabywane autobusy zeroemisyjne powinny być wyposażone w ogrzewanie spalinowe</w:t>
      </w:r>
      <w:r w:rsidR="0086539F">
        <w:t xml:space="preserve"> –</w:t>
      </w:r>
      <w:r>
        <w:t xml:space="preserve"> na olej napędowy lub </w:t>
      </w:r>
      <w:r w:rsidR="00747863">
        <w:t>gaz (</w:t>
      </w:r>
      <w:r w:rsidR="00173374">
        <w:t xml:space="preserve">CNG, </w:t>
      </w:r>
      <w:r>
        <w:t>LPG</w:t>
      </w:r>
      <w:r w:rsidR="00747863">
        <w:t>)</w:t>
      </w:r>
      <w:r>
        <w:t>. Pomimo t</w:t>
      </w:r>
      <w:r w:rsidR="0086539F">
        <w:t xml:space="preserve">ego, </w:t>
      </w:r>
      <w:r>
        <w:t xml:space="preserve">wymagana </w:t>
      </w:r>
      <w:r w:rsidR="00E43886">
        <w:t xml:space="preserve">dla większości linii </w:t>
      </w:r>
      <w:r>
        <w:t>pojemność baterii</w:t>
      </w:r>
      <w:r w:rsidR="00E43886">
        <w:t xml:space="preserve"> i czas postoju na pętli dla doładowania baterii</w:t>
      </w:r>
      <w:r>
        <w:t xml:space="preserve"> </w:t>
      </w:r>
      <w:r w:rsidR="007A54F9">
        <w:t xml:space="preserve">i tak </w:t>
      </w:r>
      <w:r w:rsidR="00173374">
        <w:t>są</w:t>
      </w:r>
      <w:r w:rsidR="007A54F9">
        <w:t xml:space="preserve"> </w:t>
      </w:r>
      <w:r w:rsidR="00173374">
        <w:t>znaczące</w:t>
      </w:r>
      <w:r w:rsidR="007A54F9">
        <w:t xml:space="preserve">. </w:t>
      </w:r>
    </w:p>
    <w:p w14:paraId="06893A66" w14:textId="6D74B9AD" w:rsidR="007A54F9" w:rsidRDefault="007A54F9" w:rsidP="00E43886">
      <w:r>
        <w:t xml:space="preserve">Czas ładowania rozładowanej baterii autobusu na pętli zależy od jej pojemności, ale także od mocy dyspozycyjnej ładowarki. Przyjęta </w:t>
      </w:r>
      <w:r w:rsidR="0086539F">
        <w:t xml:space="preserve">maksymalna </w:t>
      </w:r>
      <w:r w:rsidR="00104C9D">
        <w:t>moc ładowania 4</w:t>
      </w:r>
      <w:r>
        <w:t xml:space="preserve">00 kW powoduje, że konieczny postój pojazdu na pętli </w:t>
      </w:r>
      <w:r w:rsidR="00E43886">
        <w:t>może</w:t>
      </w:r>
      <w:r>
        <w:t xml:space="preserve"> być </w:t>
      </w:r>
      <w:r w:rsidR="0086539F">
        <w:t xml:space="preserve">relatywnie </w:t>
      </w:r>
      <w:r w:rsidR="00104C9D">
        <w:t>krótszy</w:t>
      </w:r>
      <w:r>
        <w:t xml:space="preserve">, a efektywność wykorzystania pojazdów </w:t>
      </w:r>
      <w:r w:rsidR="00104C9D">
        <w:t>większa</w:t>
      </w:r>
      <w:r w:rsidR="0086539F">
        <w:t xml:space="preserve">. </w:t>
      </w:r>
      <w:r w:rsidR="00104C9D">
        <w:t>Przy mnie</w:t>
      </w:r>
      <w:r w:rsidR="00E43886">
        <w:t xml:space="preserve">jszej wydajności ładowarki niezbędne czasy doładowania baterii </w:t>
      </w:r>
      <w:r w:rsidR="00104C9D">
        <w:t>zdecydowanie by się wydłużyły, a autobusy z</w:t>
      </w:r>
      <w:r>
        <w:t xml:space="preserve">naczną część czasu na trasie zmuszone byłyby poświęcać na postój </w:t>
      </w:r>
      <w:r w:rsidR="00104C9D">
        <w:t xml:space="preserve">na pętlach, </w:t>
      </w:r>
      <w:r w:rsidR="00E43886">
        <w:t>podłączone do ładowarki</w:t>
      </w:r>
      <w:r>
        <w:t>.</w:t>
      </w:r>
      <w:r w:rsidRPr="007A54F9">
        <w:t xml:space="preserve"> </w:t>
      </w:r>
      <w:r>
        <w:t>Czas postoju można skrócić o połowę, doładowując baterie pojazdu po każdym kółku, lecz łączny czas postoju nie ulega w</w:t>
      </w:r>
      <w:r w:rsidR="00DD2244">
        <w:t> </w:t>
      </w:r>
      <w:r>
        <w:t>takim przypadku skróceniu, a</w:t>
      </w:r>
      <w:r w:rsidR="0086539F">
        <w:t xml:space="preserve"> jedynie </w:t>
      </w:r>
      <w:r>
        <w:t>podziałowi na dwie części.</w:t>
      </w:r>
      <w:r w:rsidR="00E43886">
        <w:t xml:space="preserve"> </w:t>
      </w:r>
    </w:p>
    <w:p w14:paraId="61851978" w14:textId="5F680ED6" w:rsidR="00E43886" w:rsidRDefault="00E43886" w:rsidP="00E43886">
      <w:r>
        <w:lastRenderedPageBreak/>
        <w:t>Większa pojemność baterii autobusu pozwala jednocześnie na okresowe niedoładowanie pojazdu, zgromadzona w bateriach energia jest bowiem wówczas większa niż jej zużycie w</w:t>
      </w:r>
      <w:r w:rsidR="00DD2244">
        <w:t> </w:t>
      </w:r>
      <w:r>
        <w:t>kursach pomiędzy ładowaniami. Zwiększa to elastyczność dysponowania taborem oraz zmniejsza ryzyko awaryjnego zjazdu z trasy z powodu wyczerpania zasobów energii.</w:t>
      </w:r>
    </w:p>
    <w:p w14:paraId="7EAE2FD1" w14:textId="307C2F89" w:rsidR="00D401B7" w:rsidRPr="007C2F8E" w:rsidRDefault="00AC1096" w:rsidP="00E43886">
      <w:r w:rsidRPr="007C2F8E">
        <w:t>Obsługę dwóch par kursów na lini</w:t>
      </w:r>
      <w:r w:rsidR="00104C9D">
        <w:t>i</w:t>
      </w:r>
      <w:r w:rsidRPr="007C2F8E">
        <w:t xml:space="preserve"> </w:t>
      </w:r>
      <w:r w:rsidR="00E43886">
        <w:t>30</w:t>
      </w:r>
      <w:r w:rsidR="007A54F9" w:rsidRPr="007C2F8E">
        <w:t xml:space="preserve"> </w:t>
      </w:r>
      <w:r w:rsidR="00D401B7" w:rsidRPr="007C2F8E">
        <w:t xml:space="preserve">w lecie </w:t>
      </w:r>
      <w:r w:rsidRPr="007C2F8E">
        <w:t>u</w:t>
      </w:r>
      <w:r w:rsidR="00D401B7" w:rsidRPr="007C2F8E">
        <w:t>możliwiłyby</w:t>
      </w:r>
      <w:r w:rsidRPr="007C2F8E">
        <w:t xml:space="preserve"> </w:t>
      </w:r>
      <w:r w:rsidR="009F0712" w:rsidRPr="007C2F8E">
        <w:t xml:space="preserve">autobusy z </w:t>
      </w:r>
      <w:r w:rsidRPr="007C2F8E">
        <w:t>bateri</w:t>
      </w:r>
      <w:r w:rsidR="009F0712" w:rsidRPr="007C2F8E">
        <w:t xml:space="preserve">ami </w:t>
      </w:r>
      <w:r w:rsidRPr="007C2F8E">
        <w:t>o</w:t>
      </w:r>
      <w:r w:rsidR="00744780" w:rsidRPr="007C2F8E">
        <w:t> </w:t>
      </w:r>
      <w:r w:rsidR="00DE4035" w:rsidRPr="007C2F8E">
        <w:t xml:space="preserve">mniejszej pojemności – </w:t>
      </w:r>
      <w:r w:rsidR="00E43886">
        <w:t>ok. 90</w:t>
      </w:r>
      <w:r w:rsidRPr="007C2F8E">
        <w:t xml:space="preserve"> kWh. </w:t>
      </w:r>
      <w:r w:rsidR="00D401B7" w:rsidRPr="007C2F8E">
        <w:t>Pojemność ta może być jednak niewystarczająca</w:t>
      </w:r>
      <w:r w:rsidR="004276C6" w:rsidRPr="007C2F8E">
        <w:t xml:space="preserve"> w </w:t>
      </w:r>
      <w:r w:rsidR="00D401B7" w:rsidRPr="007C2F8E">
        <w:t>okresie wzmożonego zapotrzebowania w pojeździe na energię</w:t>
      </w:r>
      <w:r w:rsidR="004276C6" w:rsidRPr="007C2F8E">
        <w:t>,</w:t>
      </w:r>
      <w:r w:rsidR="00D401B7" w:rsidRPr="007C2F8E">
        <w:t xml:space="preserve"> generowanego przez urządzenia klimatyzacyjno-wentylacyjne. </w:t>
      </w:r>
      <w:r w:rsidRPr="007C2F8E">
        <w:t xml:space="preserve">Zalecane jest </w:t>
      </w:r>
      <w:r w:rsidR="00D401B7" w:rsidRPr="007C2F8E">
        <w:t>więc</w:t>
      </w:r>
      <w:r w:rsidRPr="007C2F8E">
        <w:t xml:space="preserve"> wprowadzanie autobusów elektrycznych o</w:t>
      </w:r>
      <w:r w:rsidR="009F0712" w:rsidRPr="007C2F8E">
        <w:t> </w:t>
      </w:r>
      <w:r w:rsidRPr="007C2F8E">
        <w:t>ujednoliconej pojemności baterii</w:t>
      </w:r>
      <w:r w:rsidR="007A54F9" w:rsidRPr="007C2F8E">
        <w:t xml:space="preserve"> </w:t>
      </w:r>
      <w:r w:rsidRPr="007C2F8E">
        <w:t>– w celu umożliwienia swobodnego dysponowania pojazdami na</w:t>
      </w:r>
      <w:r w:rsidR="0086539F">
        <w:t> </w:t>
      </w:r>
      <w:r w:rsidRPr="007C2F8E">
        <w:t>poszczególnych liniach</w:t>
      </w:r>
      <w:r w:rsidR="009F0712" w:rsidRPr="007C2F8E">
        <w:t xml:space="preserve"> i pewności </w:t>
      </w:r>
      <w:r w:rsidR="004276C6" w:rsidRPr="007C2F8E">
        <w:t xml:space="preserve">ich </w:t>
      </w:r>
      <w:r w:rsidR="009F0712" w:rsidRPr="007C2F8E">
        <w:t>eksploatacji w każdych warunkach pogodowych oraz ruchowych</w:t>
      </w:r>
      <w:r w:rsidR="007A54F9" w:rsidRPr="007C2F8E">
        <w:t>. Pojemność baterii autobusów zeroemisyjnych pow</w:t>
      </w:r>
      <w:r w:rsidR="0041219A">
        <w:t xml:space="preserve">inna więc wynosić </w:t>
      </w:r>
      <w:r w:rsidR="00E43886">
        <w:t xml:space="preserve">ok. </w:t>
      </w:r>
      <w:r w:rsidR="0041219A">
        <w:t>16</w:t>
      </w:r>
      <w:r w:rsidR="007A54F9" w:rsidRPr="007C2F8E">
        <w:t>0</w:t>
      </w:r>
      <w:r w:rsidR="00C87C39" w:rsidRPr="007C2F8E">
        <w:t> </w:t>
      </w:r>
      <w:r w:rsidR="004276C6" w:rsidRPr="007C2F8E">
        <w:t xml:space="preserve">kWh </w:t>
      </w:r>
      <w:r w:rsidR="00744780" w:rsidRPr="007C2F8E">
        <w:t xml:space="preserve">dla </w:t>
      </w:r>
      <w:r w:rsidR="00C94845" w:rsidRPr="007C2F8E">
        <w:t xml:space="preserve">autobusu </w:t>
      </w:r>
      <w:r w:rsidR="007A54F9" w:rsidRPr="007C2F8E">
        <w:t>klasy maxi</w:t>
      </w:r>
      <w:r w:rsidR="009F0712" w:rsidRPr="007C2F8E">
        <w:t>.</w:t>
      </w:r>
      <w:r w:rsidR="004276C6" w:rsidRPr="007C2F8E">
        <w:t xml:space="preserve"> Większa pojemność baterii pozwala na układanie zadań z</w:t>
      </w:r>
      <w:r w:rsidR="0086539F">
        <w:t> </w:t>
      </w:r>
      <w:r w:rsidR="004276C6" w:rsidRPr="007C2F8E">
        <w:t xml:space="preserve">wykorzystaniem autobusów elektrycznych w wybranych kursach na odcinkach nawet niezakończonych stacją </w:t>
      </w:r>
      <w:r w:rsidR="00C87C39" w:rsidRPr="007C2F8E">
        <w:t xml:space="preserve">szybkiego </w:t>
      </w:r>
      <w:r w:rsidR="004276C6" w:rsidRPr="007C2F8E">
        <w:t xml:space="preserve">ładowania. Zwiększa </w:t>
      </w:r>
      <w:r w:rsidR="00744780" w:rsidRPr="007C2F8E">
        <w:t xml:space="preserve">się </w:t>
      </w:r>
      <w:r w:rsidR="004276C6" w:rsidRPr="007C2F8E">
        <w:t xml:space="preserve">więc </w:t>
      </w:r>
      <w:r w:rsidR="00744780" w:rsidRPr="007C2F8E">
        <w:t xml:space="preserve">też </w:t>
      </w:r>
      <w:r w:rsidR="004276C6" w:rsidRPr="007C2F8E">
        <w:t>elastyczność w planowa</w:t>
      </w:r>
      <w:r w:rsidR="004A2A4C" w:rsidRPr="007C2F8E">
        <w:t>niu zadań i czasu pracy taboru oraz</w:t>
      </w:r>
      <w:r w:rsidR="004276C6" w:rsidRPr="007C2F8E">
        <w:t xml:space="preserve"> kierowców.</w:t>
      </w:r>
      <w:r w:rsidR="007A54F9" w:rsidRPr="007C2F8E">
        <w:t xml:space="preserve"> Zmniejsza jednak jednocześnie pojemność pasażerską pojazdu i podnosi jego cenę.</w:t>
      </w:r>
      <w:r w:rsidR="00E43886">
        <w:t xml:space="preserve"> Dla autobusu elektrycznego z taką baterią można zaplanować przejazd dłuższej trasy bez ładowania (np. 4 kursów), po czym przewidzieć dłuższą przerwę na uzupełnienie energii w bateriach.</w:t>
      </w:r>
    </w:p>
    <w:p w14:paraId="668BB8A6" w14:textId="42461C75" w:rsidR="0086539F" w:rsidRDefault="00D401B7" w:rsidP="00114A31">
      <w:pPr>
        <w:pStyle w:val="Akapitzlist"/>
        <w:spacing w:after="0" w:line="360" w:lineRule="auto"/>
        <w:ind w:left="0" w:firstLine="567"/>
        <w:jc w:val="both"/>
        <w:rPr>
          <w:rFonts w:ascii="Tahoma" w:hAnsi="Tahoma" w:cs="Tahoma"/>
        </w:rPr>
      </w:pPr>
      <w:r w:rsidRPr="00821AF6">
        <w:rPr>
          <w:rFonts w:ascii="Tahoma" w:hAnsi="Tahoma" w:cs="Tahoma"/>
        </w:rPr>
        <w:t xml:space="preserve">Zastosowanie </w:t>
      </w:r>
      <w:r w:rsidR="0041219A">
        <w:rPr>
          <w:rFonts w:ascii="Tahoma" w:hAnsi="Tahoma" w:cs="Tahoma"/>
        </w:rPr>
        <w:t xml:space="preserve">w autobusach zeroemisyjnych </w:t>
      </w:r>
      <w:r w:rsidR="00114A31">
        <w:rPr>
          <w:rFonts w:ascii="Tahoma" w:hAnsi="Tahoma" w:cs="Tahoma"/>
        </w:rPr>
        <w:t xml:space="preserve">doładowywanych na pętlach </w:t>
      </w:r>
      <w:r w:rsidR="0041219A">
        <w:rPr>
          <w:rFonts w:ascii="Tahoma" w:hAnsi="Tahoma" w:cs="Tahoma"/>
        </w:rPr>
        <w:t xml:space="preserve">baterii </w:t>
      </w:r>
      <w:r w:rsidR="0086539F">
        <w:rPr>
          <w:rFonts w:ascii="Tahoma" w:hAnsi="Tahoma" w:cs="Tahoma"/>
        </w:rPr>
        <w:t xml:space="preserve">o pojemności </w:t>
      </w:r>
      <w:r w:rsidR="0041219A">
        <w:rPr>
          <w:rFonts w:ascii="Tahoma" w:hAnsi="Tahoma" w:cs="Tahoma"/>
        </w:rPr>
        <w:t>16</w:t>
      </w:r>
      <w:r w:rsidR="007A54F9">
        <w:rPr>
          <w:rFonts w:ascii="Tahoma" w:hAnsi="Tahoma" w:cs="Tahoma"/>
        </w:rPr>
        <w:t xml:space="preserve">0 </w:t>
      </w:r>
      <w:r w:rsidRPr="00821AF6">
        <w:rPr>
          <w:rFonts w:ascii="Tahoma" w:hAnsi="Tahoma" w:cs="Tahoma"/>
        </w:rPr>
        <w:t xml:space="preserve">kWh </w:t>
      </w:r>
      <w:r w:rsidR="007A54F9">
        <w:rPr>
          <w:rFonts w:ascii="Tahoma" w:hAnsi="Tahoma" w:cs="Tahoma"/>
        </w:rPr>
        <w:t>nie byłoby</w:t>
      </w:r>
      <w:r w:rsidRPr="00821AF6">
        <w:rPr>
          <w:rFonts w:ascii="Tahoma" w:hAnsi="Tahoma" w:cs="Tahoma"/>
        </w:rPr>
        <w:t xml:space="preserve"> wystarczające </w:t>
      </w:r>
      <w:r w:rsidR="007C62D8">
        <w:rPr>
          <w:rFonts w:ascii="Tahoma" w:hAnsi="Tahoma" w:cs="Tahoma"/>
        </w:rPr>
        <w:t>dla części linii w </w:t>
      </w:r>
      <w:r w:rsidR="004276C6" w:rsidRPr="00821AF6">
        <w:rPr>
          <w:rFonts w:ascii="Tahoma" w:hAnsi="Tahoma" w:cs="Tahoma"/>
        </w:rPr>
        <w:t xml:space="preserve">okresie zimowym </w:t>
      </w:r>
      <w:r w:rsidR="00747863">
        <w:rPr>
          <w:rFonts w:ascii="Tahoma" w:hAnsi="Tahoma" w:cs="Tahoma"/>
        </w:rPr>
        <w:t xml:space="preserve">– </w:t>
      </w:r>
      <w:r w:rsidR="004276C6" w:rsidRPr="00821AF6">
        <w:rPr>
          <w:rFonts w:ascii="Tahoma" w:hAnsi="Tahoma" w:cs="Tahoma"/>
        </w:rPr>
        <w:t>przy zastosowaniu ogrzewania elektrycznego</w:t>
      </w:r>
      <w:r w:rsidRPr="00821AF6">
        <w:rPr>
          <w:rFonts w:ascii="Tahoma" w:hAnsi="Tahoma" w:cs="Tahoma"/>
        </w:rPr>
        <w:t xml:space="preserve">. </w:t>
      </w:r>
      <w:r w:rsidR="007A54F9">
        <w:rPr>
          <w:rFonts w:ascii="Tahoma" w:hAnsi="Tahoma" w:cs="Tahoma"/>
        </w:rPr>
        <w:t>Zakłada się więc</w:t>
      </w:r>
      <w:r w:rsidR="007C62D8">
        <w:rPr>
          <w:rFonts w:ascii="Tahoma" w:hAnsi="Tahoma" w:cs="Tahoma"/>
        </w:rPr>
        <w:t>, że pojazdy wyposażone zostaną w</w:t>
      </w:r>
      <w:r w:rsidR="007A54F9">
        <w:rPr>
          <w:rFonts w:ascii="Tahoma" w:hAnsi="Tahoma" w:cs="Tahoma"/>
        </w:rPr>
        <w:t xml:space="preserve"> </w:t>
      </w:r>
      <w:r w:rsidR="0086539F">
        <w:rPr>
          <w:rFonts w:ascii="Tahoma" w:hAnsi="Tahoma" w:cs="Tahoma"/>
        </w:rPr>
        <w:t xml:space="preserve">dodatkowe ogrzewanie spalinowe </w:t>
      </w:r>
      <w:r w:rsidR="004276C6" w:rsidRPr="00821AF6">
        <w:rPr>
          <w:rFonts w:ascii="Tahoma" w:hAnsi="Tahoma" w:cs="Tahoma"/>
        </w:rPr>
        <w:t>(gazowe lub na olej napędowy)</w:t>
      </w:r>
      <w:r w:rsidR="00911902" w:rsidRPr="00821AF6">
        <w:rPr>
          <w:rFonts w:ascii="Tahoma" w:hAnsi="Tahoma" w:cs="Tahoma"/>
        </w:rPr>
        <w:t>.</w:t>
      </w:r>
    </w:p>
    <w:p w14:paraId="4A6A7601" w14:textId="3F72DC01" w:rsidR="00A4716F" w:rsidRDefault="00A4716F" w:rsidP="00114A31">
      <w:pPr>
        <w:pStyle w:val="Akapitzlist"/>
        <w:spacing w:after="0" w:line="360" w:lineRule="auto"/>
        <w:ind w:left="0" w:firstLine="567"/>
        <w:jc w:val="both"/>
        <w:rPr>
          <w:rFonts w:ascii="Tahoma" w:hAnsi="Tahoma" w:cs="Tahoma"/>
        </w:rPr>
      </w:pPr>
      <w:r>
        <w:rPr>
          <w:rFonts w:ascii="Tahoma" w:hAnsi="Tahoma" w:cs="Tahoma"/>
        </w:rPr>
        <w:t>Dla autobusów klasy mega zużycie energii jest większe, zatem i pojemność baterii musi być wyższa. Na podstawie doświadczeń miast eksploatujących autobusy elektryczne różnych klas można stwierdzić, że zużycie energii przez autobus elektryczny przegubowy jest o 30-35% wyższe niż dla autobusu standardowego, zatem zalecana pojemność baterii dla autobusu klasy mega to 210 kWh. Z kolei zużycie energii przez autobus elektryczny klasy midi lub mini jest odpowiednio mniejsze niż dla autobusu standardowego.</w:t>
      </w:r>
    </w:p>
    <w:p w14:paraId="18D2BE0A" w14:textId="581A0CC5" w:rsidR="008A67A9" w:rsidRDefault="008A67A9" w:rsidP="00114A31">
      <w:pPr>
        <w:pStyle w:val="Akapitzlist"/>
        <w:spacing w:after="0" w:line="360" w:lineRule="auto"/>
        <w:ind w:left="0" w:firstLine="567"/>
        <w:jc w:val="both"/>
        <w:rPr>
          <w:rFonts w:ascii="Tahoma" w:hAnsi="Tahoma" w:cs="Tahoma"/>
        </w:rPr>
      </w:pPr>
      <w:r w:rsidRPr="00821AF6">
        <w:rPr>
          <w:rFonts w:ascii="Tahoma" w:hAnsi="Tahoma" w:cs="Tahoma"/>
        </w:rPr>
        <w:t xml:space="preserve">Powyższe wyliczenia mają </w:t>
      </w:r>
      <w:r w:rsidR="00911902" w:rsidRPr="00821AF6">
        <w:rPr>
          <w:rFonts w:ascii="Tahoma" w:hAnsi="Tahoma" w:cs="Tahoma"/>
        </w:rPr>
        <w:t xml:space="preserve">jednak </w:t>
      </w:r>
      <w:r w:rsidRPr="00821AF6">
        <w:rPr>
          <w:rFonts w:ascii="Tahoma" w:hAnsi="Tahoma" w:cs="Tahoma"/>
        </w:rPr>
        <w:t xml:space="preserve">charakter </w:t>
      </w:r>
      <w:r w:rsidR="00911902" w:rsidRPr="00821AF6">
        <w:rPr>
          <w:rFonts w:ascii="Tahoma" w:hAnsi="Tahoma" w:cs="Tahoma"/>
        </w:rPr>
        <w:t xml:space="preserve">wyłącznie </w:t>
      </w:r>
      <w:r w:rsidRPr="00821AF6">
        <w:rPr>
          <w:rFonts w:ascii="Tahoma" w:hAnsi="Tahoma" w:cs="Tahoma"/>
        </w:rPr>
        <w:t xml:space="preserve">szacunkowy </w:t>
      </w:r>
      <w:r w:rsidR="0086539F">
        <w:rPr>
          <w:rFonts w:ascii="Tahoma" w:hAnsi="Tahoma" w:cs="Tahoma"/>
        </w:rPr>
        <w:t xml:space="preserve">– dla potrzeb analizy kosztów i korzyści – wskutek czego </w:t>
      </w:r>
      <w:r w:rsidRPr="00821AF6">
        <w:rPr>
          <w:rFonts w:ascii="Tahoma" w:hAnsi="Tahoma" w:cs="Tahoma"/>
        </w:rPr>
        <w:t>nie mogą stanowić jedynej podstawy do ostatecznego doboru pojemności baterii autobusów.</w:t>
      </w:r>
    </w:p>
    <w:p w14:paraId="16BE916B" w14:textId="67421F66" w:rsidR="00114A31" w:rsidRDefault="00114A31" w:rsidP="00114A31">
      <w:pPr>
        <w:pStyle w:val="Akapitzlist"/>
        <w:spacing w:after="0" w:line="360" w:lineRule="auto"/>
        <w:ind w:left="0" w:firstLine="567"/>
        <w:jc w:val="both"/>
        <w:rPr>
          <w:rFonts w:ascii="Tahoma" w:hAnsi="Tahoma" w:cs="Tahoma"/>
        </w:rPr>
      </w:pPr>
      <w:r>
        <w:rPr>
          <w:rFonts w:ascii="Tahoma" w:hAnsi="Tahoma" w:cs="Tahoma"/>
        </w:rPr>
        <w:t>Powyższe uwagi odnoszą się do autobusów elektrycznych z doładowywaniem za pomocą pantografu także w wariancie wodorowym. Natomiast autobusy elektryczne wyposażone w</w:t>
      </w:r>
      <w:r w:rsidR="00DD2244">
        <w:rPr>
          <w:rFonts w:ascii="Tahoma" w:hAnsi="Tahoma" w:cs="Tahoma"/>
        </w:rPr>
        <w:t> </w:t>
      </w:r>
      <w:r>
        <w:rPr>
          <w:rFonts w:ascii="Tahoma" w:hAnsi="Tahoma" w:cs="Tahoma"/>
        </w:rPr>
        <w:t>ogniwa paliwowe powinny być zakupione z takimi zasobnikami wodoru, które pozwolą na</w:t>
      </w:r>
      <w:r w:rsidR="00DD2244">
        <w:rPr>
          <w:rFonts w:ascii="Tahoma" w:hAnsi="Tahoma" w:cs="Tahoma"/>
        </w:rPr>
        <w:t> </w:t>
      </w:r>
      <w:r>
        <w:rPr>
          <w:rFonts w:ascii="Tahoma" w:hAnsi="Tahoma" w:cs="Tahoma"/>
        </w:rPr>
        <w:t xml:space="preserve">wykonanie niemal każdego dziennego zadania, bez konieczności zajeżdżania na bazę w celu </w:t>
      </w:r>
      <w:r>
        <w:rPr>
          <w:rFonts w:ascii="Tahoma" w:hAnsi="Tahoma" w:cs="Tahoma"/>
        </w:rPr>
        <w:lastRenderedPageBreak/>
        <w:t>uzupełnienia paliwa. Dysponowanie tymi autobusami będzie więc podobne do dysponowania autobusami spalinowymi.</w:t>
      </w:r>
    </w:p>
    <w:p w14:paraId="165DC860" w14:textId="2879FA42" w:rsidR="00DF7540" w:rsidRPr="00DF7540" w:rsidRDefault="00DF7540" w:rsidP="00114A31">
      <w:pPr>
        <w:rPr>
          <w:rFonts w:eastAsia="Calibri" w:cs="Tahoma"/>
          <w:szCs w:val="22"/>
          <w:lang w:eastAsia="en-US"/>
        </w:rPr>
      </w:pPr>
      <w:r w:rsidRPr="00DF7540">
        <w:rPr>
          <w:rFonts w:eastAsia="Calibri" w:cs="Tahoma"/>
          <w:szCs w:val="22"/>
          <w:lang w:eastAsia="en-US"/>
        </w:rPr>
        <w:t>Wykorzystanie pojazdów elektrycznych można zwiększyć, stosując cykliczne zmiany w przypisaniu autobusów do obsługiwanych linii, odbywające się w obrębie pętli integrujących grupy linii i powodujące skrócenie czasu oczekiwania na pętlach na rozpoczęcie kolejnego kursu, a w konsekwencji – zmniejszające liczbę ekspediowanych na trasy autobusów. Linie przeznaczone do obsługi taborem zeroemisyjnym mogą też być w określonych porach dnia obsługiwane pojazdami z tradycyjnym napędem Diesla</w:t>
      </w:r>
      <w:r w:rsidR="00114A31">
        <w:rPr>
          <w:rFonts w:eastAsia="Calibri" w:cs="Tahoma"/>
          <w:szCs w:val="22"/>
          <w:lang w:eastAsia="en-US"/>
        </w:rPr>
        <w:t xml:space="preserve"> lub w wariancie wodorowym wyposażonymi w ogniwa paliwowe</w:t>
      </w:r>
      <w:r w:rsidRPr="00DF7540">
        <w:rPr>
          <w:rFonts w:eastAsia="Calibri" w:cs="Tahoma"/>
          <w:szCs w:val="22"/>
          <w:lang w:eastAsia="en-US"/>
        </w:rPr>
        <w:t xml:space="preserve">. Analogicznie, autobusy </w:t>
      </w:r>
      <w:r w:rsidR="00114A31">
        <w:rPr>
          <w:rFonts w:eastAsia="Calibri" w:cs="Tahoma"/>
          <w:szCs w:val="22"/>
          <w:lang w:eastAsia="en-US"/>
        </w:rPr>
        <w:t>elektryczne dostosowane do ładowania za</w:t>
      </w:r>
      <w:r w:rsidR="00DD2244">
        <w:rPr>
          <w:rFonts w:eastAsia="Calibri" w:cs="Tahoma"/>
          <w:szCs w:val="22"/>
          <w:lang w:eastAsia="en-US"/>
        </w:rPr>
        <w:t> </w:t>
      </w:r>
      <w:r w:rsidR="00114A31">
        <w:rPr>
          <w:rFonts w:eastAsia="Calibri" w:cs="Tahoma"/>
          <w:szCs w:val="22"/>
          <w:lang w:eastAsia="en-US"/>
        </w:rPr>
        <w:t>pomocą pantografu</w:t>
      </w:r>
      <w:r w:rsidRPr="00DF7540">
        <w:rPr>
          <w:rFonts w:eastAsia="Calibri" w:cs="Tahoma"/>
          <w:szCs w:val="22"/>
          <w:lang w:eastAsia="en-US"/>
        </w:rPr>
        <w:t xml:space="preserve"> mogą być wykorzystywane na innych liniach, których trasy kończą się na pętlach ze stacją ładowania szybkiego.</w:t>
      </w:r>
    </w:p>
    <w:p w14:paraId="56D7A43A" w14:textId="4CD912D5" w:rsidR="00F5777D" w:rsidRPr="00821AF6" w:rsidRDefault="00F5777D" w:rsidP="00114A31">
      <w:bookmarkStart w:id="77" w:name="_Hlk86686742"/>
      <w:r w:rsidRPr="00821AF6">
        <w:t xml:space="preserve">Miasto </w:t>
      </w:r>
      <w:r w:rsidR="00C73F5E">
        <w:t xml:space="preserve">Rzeszów </w:t>
      </w:r>
      <w:r w:rsidRPr="00821AF6">
        <w:t>może docelowo wybrać także zupełnie inne linie do obsługi taborem zeroemisyjnym</w:t>
      </w:r>
      <w:r w:rsidR="00F66D0E">
        <w:t xml:space="preserve"> w kolejnych etapach</w:t>
      </w:r>
      <w:r w:rsidRPr="00821AF6">
        <w:t>, jeśli zostanie to odpowiednio uzasadnione.</w:t>
      </w:r>
    </w:p>
    <w:p w14:paraId="112FDBD9" w14:textId="6F20F56F" w:rsidR="00F5777D" w:rsidRPr="00821AF6" w:rsidRDefault="00F5777D" w:rsidP="00114A31">
      <w:pPr>
        <w:pStyle w:val="Nagwek2"/>
        <w:spacing w:before="120"/>
        <w:ind w:left="567"/>
        <w:jc w:val="center"/>
      </w:pPr>
      <w:bookmarkStart w:id="78" w:name="_Toc89417676"/>
      <w:bookmarkEnd w:id="77"/>
      <w:r w:rsidRPr="00821AF6">
        <w:t>Planowane nakłady inwestycyjne</w:t>
      </w:r>
      <w:bookmarkEnd w:id="78"/>
    </w:p>
    <w:p w14:paraId="1F52FD68" w14:textId="31ADD126" w:rsidR="00747863" w:rsidRDefault="00FE5BE5" w:rsidP="000B7422">
      <w:pPr>
        <w:pStyle w:val="Akapitzlist"/>
        <w:spacing w:after="0" w:line="360" w:lineRule="auto"/>
        <w:ind w:left="0" w:firstLine="567"/>
        <w:jc w:val="both"/>
        <w:rPr>
          <w:rFonts w:ascii="Tahoma" w:hAnsi="Tahoma" w:cs="Tahoma"/>
        </w:rPr>
      </w:pPr>
      <w:r w:rsidRPr="00821AF6">
        <w:rPr>
          <w:rFonts w:ascii="Tahoma" w:hAnsi="Tahoma" w:cs="Tahoma"/>
        </w:rPr>
        <w:t xml:space="preserve">Przewidywane (przyszłe) koszty zakupu jednostek taborowych przyjęto </w:t>
      </w:r>
      <w:r w:rsidR="00D72B36" w:rsidRPr="00D72B36">
        <w:rPr>
          <w:rFonts w:ascii="Tahoma" w:hAnsi="Tahoma" w:cs="Tahoma"/>
        </w:rPr>
        <w:t>na podstawie wyników rozstrzygniętych postępowań p</w:t>
      </w:r>
      <w:r w:rsidR="003D30E3">
        <w:rPr>
          <w:rFonts w:ascii="Tahoma" w:hAnsi="Tahoma" w:cs="Tahoma"/>
        </w:rPr>
        <w:t xml:space="preserve">rzetargowych w latach 2019-2021. Uwzględniono </w:t>
      </w:r>
      <w:r w:rsidR="000B7422">
        <w:rPr>
          <w:rFonts w:ascii="Tahoma" w:hAnsi="Tahoma" w:cs="Tahoma"/>
        </w:rPr>
        <w:t xml:space="preserve">także </w:t>
      </w:r>
      <w:r w:rsidR="003D30E3">
        <w:rPr>
          <w:rFonts w:ascii="Tahoma" w:hAnsi="Tahoma" w:cs="Tahoma"/>
        </w:rPr>
        <w:t>wynik</w:t>
      </w:r>
      <w:r w:rsidR="000B7422">
        <w:rPr>
          <w:rFonts w:ascii="Tahoma" w:hAnsi="Tahoma" w:cs="Tahoma"/>
        </w:rPr>
        <w:t>i</w:t>
      </w:r>
      <w:r w:rsidR="003D30E3">
        <w:rPr>
          <w:rFonts w:ascii="Tahoma" w:hAnsi="Tahoma" w:cs="Tahoma"/>
        </w:rPr>
        <w:t xml:space="preserve"> postępowa</w:t>
      </w:r>
      <w:r w:rsidR="000B7422">
        <w:rPr>
          <w:rFonts w:ascii="Tahoma" w:hAnsi="Tahoma" w:cs="Tahoma"/>
        </w:rPr>
        <w:t>ń</w:t>
      </w:r>
      <w:r w:rsidR="003D30E3">
        <w:rPr>
          <w:rFonts w:ascii="Tahoma" w:hAnsi="Tahoma" w:cs="Tahoma"/>
        </w:rPr>
        <w:t xml:space="preserve"> przetargow</w:t>
      </w:r>
      <w:r w:rsidR="000B7422">
        <w:rPr>
          <w:rFonts w:ascii="Tahoma" w:hAnsi="Tahoma" w:cs="Tahoma"/>
        </w:rPr>
        <w:t>ych</w:t>
      </w:r>
      <w:r w:rsidR="003D30E3">
        <w:rPr>
          <w:rFonts w:ascii="Tahoma" w:hAnsi="Tahoma" w:cs="Tahoma"/>
        </w:rPr>
        <w:t xml:space="preserve"> na dostawę autobusów zasilanych </w:t>
      </w:r>
      <w:r w:rsidR="000B7422">
        <w:rPr>
          <w:rFonts w:ascii="Tahoma" w:hAnsi="Tahoma" w:cs="Tahoma"/>
        </w:rPr>
        <w:t>olejem napędowym oraz CNG w ramach realizacji projektów</w:t>
      </w:r>
      <w:r w:rsidR="003D30E3">
        <w:rPr>
          <w:rFonts w:ascii="Tahoma" w:hAnsi="Tahoma" w:cs="Tahoma"/>
        </w:rPr>
        <w:t xml:space="preserve"> </w:t>
      </w:r>
      <w:r w:rsidR="003D30E3" w:rsidRPr="003D30E3">
        <w:rPr>
          <w:rFonts w:ascii="Tahoma" w:hAnsi="Tahoma" w:cs="Tahoma"/>
        </w:rPr>
        <w:t>„</w:t>
      </w:r>
      <w:r w:rsidR="000B7422">
        <w:rPr>
          <w:rFonts w:ascii="Tahoma" w:hAnsi="Tahoma" w:cs="Tahoma"/>
        </w:rPr>
        <w:t>Rozwój systemu transportu publicznego w Rzeszowie</w:t>
      </w:r>
      <w:r w:rsidR="003D30E3" w:rsidRPr="003D30E3">
        <w:rPr>
          <w:rFonts w:ascii="Tahoma" w:hAnsi="Tahoma" w:cs="Tahoma"/>
        </w:rPr>
        <w:t>”</w:t>
      </w:r>
      <w:r w:rsidR="000B7422">
        <w:rPr>
          <w:rFonts w:ascii="Tahoma" w:hAnsi="Tahoma" w:cs="Tahoma"/>
        </w:rPr>
        <w:t xml:space="preserve"> oraz „Integracja </w:t>
      </w:r>
      <w:r w:rsidR="000B7422" w:rsidRPr="000B7422">
        <w:rPr>
          <w:rFonts w:ascii="Tahoma" w:hAnsi="Tahoma" w:cs="Tahoma"/>
        </w:rPr>
        <w:t>różnych form publicznego transportu zbiorowego w Rzeszowie</w:t>
      </w:r>
      <w:r w:rsidR="000B7422">
        <w:rPr>
          <w:rFonts w:ascii="Tahoma" w:hAnsi="Tahoma" w:cs="Tahoma"/>
        </w:rPr>
        <w:t>”.</w:t>
      </w:r>
    </w:p>
    <w:p w14:paraId="245832AC" w14:textId="261B91E5" w:rsidR="00FE5BE5" w:rsidRPr="00821AF6" w:rsidRDefault="003D30E3" w:rsidP="00D6092D">
      <w:pPr>
        <w:pStyle w:val="Akapitzlist"/>
        <w:spacing w:after="0" w:line="360" w:lineRule="auto"/>
        <w:ind w:left="0" w:firstLine="567"/>
        <w:jc w:val="both"/>
        <w:rPr>
          <w:rFonts w:ascii="Tahoma" w:hAnsi="Tahoma" w:cs="Tahoma"/>
        </w:rPr>
      </w:pPr>
      <w:bookmarkStart w:id="79" w:name="_Hlk85148593"/>
      <w:r>
        <w:rPr>
          <w:rFonts w:ascii="Tahoma" w:hAnsi="Tahoma" w:cs="Tahoma"/>
        </w:rPr>
        <w:t xml:space="preserve">Nakłady </w:t>
      </w:r>
      <w:r w:rsidR="006578B3">
        <w:rPr>
          <w:rFonts w:ascii="Tahoma" w:hAnsi="Tahoma" w:cs="Tahoma"/>
        </w:rPr>
        <w:t xml:space="preserve">na tabor </w:t>
      </w:r>
      <w:r>
        <w:rPr>
          <w:rFonts w:ascii="Tahoma" w:hAnsi="Tahoma" w:cs="Tahoma"/>
        </w:rPr>
        <w:t xml:space="preserve">przyjęto </w:t>
      </w:r>
      <w:r w:rsidR="00D72B36" w:rsidRPr="00D72B36">
        <w:rPr>
          <w:rFonts w:ascii="Tahoma" w:hAnsi="Tahoma" w:cs="Tahoma"/>
        </w:rPr>
        <w:t>w kwotach netto</w:t>
      </w:r>
      <w:r w:rsidR="00D142C4">
        <w:rPr>
          <w:rFonts w:ascii="Tahoma" w:hAnsi="Tahoma" w:cs="Tahoma"/>
        </w:rPr>
        <w:t>,</w:t>
      </w:r>
      <w:r w:rsidR="00D72B36" w:rsidRPr="00D72B36">
        <w:rPr>
          <w:rFonts w:ascii="Tahoma" w:hAnsi="Tahoma" w:cs="Tahoma"/>
        </w:rPr>
        <w:t xml:space="preserve"> </w:t>
      </w:r>
      <w:r w:rsidR="006578B3" w:rsidRPr="00D72B36">
        <w:rPr>
          <w:rFonts w:ascii="Tahoma" w:hAnsi="Tahoma" w:cs="Tahoma"/>
        </w:rPr>
        <w:t xml:space="preserve">wynoszących </w:t>
      </w:r>
      <w:r w:rsidR="00D72B36" w:rsidRPr="00D72B36">
        <w:rPr>
          <w:rFonts w:ascii="Tahoma" w:hAnsi="Tahoma" w:cs="Tahoma"/>
        </w:rPr>
        <w:t>za jeden autobus fabrycznie nowy</w:t>
      </w:r>
      <w:r w:rsidR="006578B3">
        <w:rPr>
          <w:rFonts w:ascii="Tahoma" w:hAnsi="Tahoma" w:cs="Tahoma"/>
        </w:rPr>
        <w:t xml:space="preserve"> odpowiednio</w:t>
      </w:r>
      <w:r w:rsidR="00D72B36" w:rsidRPr="00D72B36">
        <w:rPr>
          <w:rFonts w:ascii="Tahoma" w:hAnsi="Tahoma" w:cs="Tahoma"/>
        </w:rPr>
        <w:t>:</w:t>
      </w:r>
    </w:p>
    <w:bookmarkEnd w:id="79"/>
    <w:p w14:paraId="7B1F0282" w14:textId="386944AB" w:rsidR="005B56E6" w:rsidRDefault="005B56E6" w:rsidP="00D6092D">
      <w:pPr>
        <w:pStyle w:val="Akapitzlist"/>
        <w:numPr>
          <w:ilvl w:val="0"/>
          <w:numId w:val="17"/>
        </w:numPr>
        <w:spacing w:after="0" w:line="360" w:lineRule="auto"/>
        <w:jc w:val="both"/>
        <w:rPr>
          <w:rFonts w:ascii="Tahoma" w:hAnsi="Tahoma" w:cs="Tahoma"/>
        </w:rPr>
      </w:pPr>
      <w:r>
        <w:rPr>
          <w:rFonts w:ascii="Tahoma" w:hAnsi="Tahoma" w:cs="Tahoma"/>
        </w:rPr>
        <w:t>0,</w:t>
      </w:r>
      <w:r w:rsidR="000B7422">
        <w:rPr>
          <w:rFonts w:ascii="Tahoma" w:hAnsi="Tahoma" w:cs="Tahoma"/>
        </w:rPr>
        <w:t>89</w:t>
      </w:r>
      <w:r>
        <w:rPr>
          <w:rFonts w:ascii="Tahoma" w:hAnsi="Tahoma" w:cs="Tahoma"/>
        </w:rPr>
        <w:t xml:space="preserve"> mln zł – z silni</w:t>
      </w:r>
      <w:r w:rsidR="000B7422">
        <w:rPr>
          <w:rFonts w:ascii="Tahoma" w:hAnsi="Tahoma" w:cs="Tahoma"/>
        </w:rPr>
        <w:t>kiem na olej napędowy, o długości ok. 8 m</w:t>
      </w:r>
      <w:r>
        <w:rPr>
          <w:rFonts w:ascii="Tahoma" w:hAnsi="Tahoma" w:cs="Tahoma"/>
        </w:rPr>
        <w:t>;</w:t>
      </w:r>
    </w:p>
    <w:p w14:paraId="2416D159" w14:textId="3D345E8C" w:rsidR="00FE5BE5" w:rsidRPr="00821AF6" w:rsidRDefault="000B7422" w:rsidP="00D6092D">
      <w:pPr>
        <w:pStyle w:val="Akapitzlist"/>
        <w:numPr>
          <w:ilvl w:val="0"/>
          <w:numId w:val="17"/>
        </w:numPr>
        <w:spacing w:after="0" w:line="360" w:lineRule="auto"/>
        <w:jc w:val="both"/>
        <w:rPr>
          <w:rFonts w:ascii="Tahoma" w:hAnsi="Tahoma" w:cs="Tahoma"/>
        </w:rPr>
      </w:pPr>
      <w:r>
        <w:rPr>
          <w:rFonts w:ascii="Tahoma" w:hAnsi="Tahoma" w:cs="Tahoma"/>
        </w:rPr>
        <w:t>0,90</w:t>
      </w:r>
      <w:r w:rsidR="00FE5BE5" w:rsidRPr="00821AF6">
        <w:rPr>
          <w:rFonts w:ascii="Tahoma" w:hAnsi="Tahoma" w:cs="Tahoma"/>
        </w:rPr>
        <w:t xml:space="preserve"> mln zł </w:t>
      </w:r>
      <w:r w:rsidR="009D028E">
        <w:rPr>
          <w:rFonts w:ascii="Tahoma" w:hAnsi="Tahoma" w:cs="Tahoma"/>
        </w:rPr>
        <w:t xml:space="preserve">– </w:t>
      </w:r>
      <w:r w:rsidR="00FE5BE5" w:rsidRPr="00821AF6">
        <w:rPr>
          <w:rFonts w:ascii="Tahoma" w:hAnsi="Tahoma" w:cs="Tahoma"/>
        </w:rPr>
        <w:t>z silnikiem na olej napędowy</w:t>
      </w:r>
      <w:r w:rsidR="003758F3">
        <w:rPr>
          <w:rFonts w:ascii="Tahoma" w:hAnsi="Tahoma" w:cs="Tahoma"/>
        </w:rPr>
        <w:t xml:space="preserve">, </w:t>
      </w:r>
      <w:r>
        <w:rPr>
          <w:rFonts w:ascii="Tahoma" w:hAnsi="Tahoma" w:cs="Tahoma"/>
        </w:rPr>
        <w:t>o długości ok. 10 m</w:t>
      </w:r>
      <w:r w:rsidR="009D028E">
        <w:rPr>
          <w:rFonts w:ascii="Tahoma" w:hAnsi="Tahoma" w:cs="Tahoma"/>
        </w:rPr>
        <w:t>;</w:t>
      </w:r>
    </w:p>
    <w:p w14:paraId="72C8BFD8" w14:textId="6128748F" w:rsidR="00FE5BE5" w:rsidRDefault="000B7422" w:rsidP="00D6092D">
      <w:pPr>
        <w:pStyle w:val="Akapitzlist"/>
        <w:numPr>
          <w:ilvl w:val="0"/>
          <w:numId w:val="17"/>
        </w:numPr>
        <w:spacing w:after="0" w:line="360" w:lineRule="auto"/>
        <w:jc w:val="both"/>
        <w:rPr>
          <w:rFonts w:ascii="Tahoma" w:hAnsi="Tahoma" w:cs="Tahoma"/>
        </w:rPr>
      </w:pPr>
      <w:r>
        <w:rPr>
          <w:rFonts w:ascii="Tahoma" w:hAnsi="Tahoma" w:cs="Tahoma"/>
        </w:rPr>
        <w:t>0,98</w:t>
      </w:r>
      <w:r w:rsidR="00FE5BE5" w:rsidRPr="00821AF6">
        <w:rPr>
          <w:rFonts w:ascii="Tahoma" w:hAnsi="Tahoma" w:cs="Tahoma"/>
        </w:rPr>
        <w:t xml:space="preserve"> mln zł </w:t>
      </w:r>
      <w:r w:rsidR="009D028E">
        <w:rPr>
          <w:rFonts w:ascii="Tahoma" w:hAnsi="Tahoma" w:cs="Tahoma"/>
        </w:rPr>
        <w:t xml:space="preserve">– </w:t>
      </w:r>
      <w:r w:rsidR="005B56E6" w:rsidRPr="005B56E6">
        <w:rPr>
          <w:rFonts w:ascii="Tahoma" w:hAnsi="Tahoma" w:cs="Tahoma"/>
        </w:rPr>
        <w:t>z silnikiem na olej napędowy</w:t>
      </w:r>
      <w:r w:rsidR="003758F3">
        <w:rPr>
          <w:rFonts w:ascii="Tahoma" w:hAnsi="Tahoma" w:cs="Tahoma"/>
        </w:rPr>
        <w:t xml:space="preserve">, </w:t>
      </w:r>
      <w:r>
        <w:rPr>
          <w:rFonts w:ascii="Tahoma" w:hAnsi="Tahoma" w:cs="Tahoma"/>
        </w:rPr>
        <w:t>o długości ok. 12 m</w:t>
      </w:r>
      <w:r w:rsidR="009D028E">
        <w:rPr>
          <w:rFonts w:ascii="Tahoma" w:hAnsi="Tahoma" w:cs="Tahoma"/>
        </w:rPr>
        <w:t>;</w:t>
      </w:r>
    </w:p>
    <w:p w14:paraId="680C6F28" w14:textId="2A524C38" w:rsidR="000B7422" w:rsidRDefault="000B7422" w:rsidP="00D6092D">
      <w:pPr>
        <w:pStyle w:val="Akapitzlist"/>
        <w:numPr>
          <w:ilvl w:val="0"/>
          <w:numId w:val="17"/>
        </w:numPr>
        <w:spacing w:after="0" w:line="360" w:lineRule="auto"/>
        <w:jc w:val="both"/>
        <w:rPr>
          <w:rFonts w:ascii="Tahoma" w:hAnsi="Tahoma" w:cs="Tahoma"/>
        </w:rPr>
      </w:pPr>
      <w:r>
        <w:rPr>
          <w:rFonts w:ascii="Tahoma" w:hAnsi="Tahoma" w:cs="Tahoma"/>
        </w:rPr>
        <w:t>1,42 mln zł – z silnikiem na olej napędowy, o długości ok. 18 m;</w:t>
      </w:r>
    </w:p>
    <w:p w14:paraId="63F30B11" w14:textId="3DE06842" w:rsidR="005B56E6" w:rsidRDefault="005B56E6" w:rsidP="00D6092D">
      <w:pPr>
        <w:pStyle w:val="Akapitzlist"/>
        <w:numPr>
          <w:ilvl w:val="0"/>
          <w:numId w:val="17"/>
        </w:numPr>
        <w:spacing w:after="0" w:line="360" w:lineRule="auto"/>
        <w:jc w:val="both"/>
        <w:rPr>
          <w:rFonts w:ascii="Tahoma" w:hAnsi="Tahoma" w:cs="Tahoma"/>
        </w:rPr>
      </w:pPr>
      <w:r>
        <w:rPr>
          <w:rFonts w:ascii="Tahoma" w:hAnsi="Tahoma" w:cs="Tahoma"/>
        </w:rPr>
        <w:t xml:space="preserve">1,03 mln zł – z silnikiem na CNG, </w:t>
      </w:r>
      <w:r w:rsidR="000B7422" w:rsidRPr="000B7422">
        <w:rPr>
          <w:rFonts w:ascii="Tahoma" w:hAnsi="Tahoma" w:cs="Tahoma"/>
        </w:rPr>
        <w:t>o długości ok. 10 m;</w:t>
      </w:r>
      <w:r>
        <w:rPr>
          <w:rFonts w:ascii="Tahoma" w:hAnsi="Tahoma" w:cs="Tahoma"/>
        </w:rPr>
        <w:t>;</w:t>
      </w:r>
    </w:p>
    <w:p w14:paraId="38BC2047" w14:textId="477143DD" w:rsidR="005B56E6" w:rsidRDefault="005B56E6" w:rsidP="00D6092D">
      <w:pPr>
        <w:pStyle w:val="Akapitzlist"/>
        <w:numPr>
          <w:ilvl w:val="0"/>
          <w:numId w:val="17"/>
        </w:numPr>
        <w:spacing w:after="0" w:line="360" w:lineRule="auto"/>
        <w:jc w:val="both"/>
        <w:rPr>
          <w:rFonts w:ascii="Tahoma" w:hAnsi="Tahoma" w:cs="Tahoma"/>
        </w:rPr>
      </w:pPr>
      <w:r>
        <w:rPr>
          <w:rFonts w:ascii="Tahoma" w:hAnsi="Tahoma" w:cs="Tahoma"/>
        </w:rPr>
        <w:t>1,12</w:t>
      </w:r>
      <w:r w:rsidRPr="005B56E6">
        <w:rPr>
          <w:rFonts w:ascii="Tahoma" w:hAnsi="Tahoma" w:cs="Tahoma"/>
        </w:rPr>
        <w:t xml:space="preserve"> mln zł – z silnikiem na CNG, </w:t>
      </w:r>
      <w:r w:rsidR="000B7422" w:rsidRPr="000B7422">
        <w:rPr>
          <w:rFonts w:ascii="Tahoma" w:hAnsi="Tahoma" w:cs="Tahoma"/>
        </w:rPr>
        <w:t>o długości ok. 12 m;</w:t>
      </w:r>
    </w:p>
    <w:p w14:paraId="280751C1" w14:textId="3655252C" w:rsidR="005B56E6" w:rsidRDefault="005B56E6" w:rsidP="00D6092D">
      <w:pPr>
        <w:pStyle w:val="Akapitzlist"/>
        <w:numPr>
          <w:ilvl w:val="0"/>
          <w:numId w:val="17"/>
        </w:numPr>
        <w:spacing w:after="0" w:line="360" w:lineRule="auto"/>
        <w:jc w:val="both"/>
        <w:rPr>
          <w:rFonts w:ascii="Tahoma" w:hAnsi="Tahoma" w:cs="Tahoma"/>
        </w:rPr>
      </w:pPr>
      <w:r>
        <w:rPr>
          <w:rFonts w:ascii="Tahoma" w:hAnsi="Tahoma" w:cs="Tahoma"/>
        </w:rPr>
        <w:t>1,</w:t>
      </w:r>
      <w:r w:rsidR="00D6092D">
        <w:rPr>
          <w:rFonts w:ascii="Tahoma" w:hAnsi="Tahoma" w:cs="Tahoma"/>
        </w:rPr>
        <w:t>62</w:t>
      </w:r>
      <w:r w:rsidRPr="005B56E6">
        <w:rPr>
          <w:rFonts w:ascii="Tahoma" w:hAnsi="Tahoma" w:cs="Tahoma"/>
        </w:rPr>
        <w:t xml:space="preserve"> mln zł – z silnikiem na CNG, </w:t>
      </w:r>
      <w:r w:rsidR="000B7422" w:rsidRPr="000B7422">
        <w:rPr>
          <w:rFonts w:ascii="Tahoma" w:hAnsi="Tahoma" w:cs="Tahoma"/>
        </w:rPr>
        <w:t>o długości ok. 18 m;</w:t>
      </w:r>
    </w:p>
    <w:p w14:paraId="7B7FCD3E" w14:textId="1235C362" w:rsidR="00D6092D" w:rsidRPr="00821AF6" w:rsidRDefault="00D6092D" w:rsidP="00D6092D">
      <w:pPr>
        <w:pStyle w:val="Akapitzlist"/>
        <w:numPr>
          <w:ilvl w:val="0"/>
          <w:numId w:val="17"/>
        </w:numPr>
        <w:spacing w:after="0" w:line="360" w:lineRule="auto"/>
        <w:jc w:val="both"/>
        <w:rPr>
          <w:rFonts w:ascii="Tahoma" w:hAnsi="Tahoma" w:cs="Tahoma"/>
        </w:rPr>
      </w:pPr>
      <w:r>
        <w:rPr>
          <w:rFonts w:ascii="Tahoma" w:hAnsi="Tahoma" w:cs="Tahoma"/>
        </w:rPr>
        <w:t>1,42 mln zł – z silnikiem elektrycznym, ł</w:t>
      </w:r>
      <w:r w:rsidRPr="00D6092D">
        <w:rPr>
          <w:rFonts w:ascii="Tahoma" w:hAnsi="Tahoma" w:cs="Tahoma"/>
        </w:rPr>
        <w:t>adowany za pomocą pantografu i poprzez plug-in,</w:t>
      </w:r>
      <w:r>
        <w:rPr>
          <w:rFonts w:ascii="Tahoma" w:hAnsi="Tahoma" w:cs="Tahoma"/>
        </w:rPr>
        <w:t xml:space="preserve"> o długości ok. 8 m;</w:t>
      </w:r>
    </w:p>
    <w:p w14:paraId="1A74BF93" w14:textId="21DF70B6" w:rsidR="00FE5BE5" w:rsidRDefault="005B56E6" w:rsidP="00D6092D">
      <w:pPr>
        <w:pStyle w:val="Akapitzlist"/>
        <w:numPr>
          <w:ilvl w:val="0"/>
          <w:numId w:val="17"/>
        </w:numPr>
        <w:spacing w:after="0" w:line="360" w:lineRule="auto"/>
        <w:jc w:val="both"/>
        <w:rPr>
          <w:rFonts w:ascii="Tahoma" w:hAnsi="Tahoma" w:cs="Tahoma"/>
        </w:rPr>
      </w:pPr>
      <w:r>
        <w:rPr>
          <w:rFonts w:ascii="Tahoma" w:hAnsi="Tahoma" w:cs="Tahoma"/>
        </w:rPr>
        <w:t>2,37</w:t>
      </w:r>
      <w:r w:rsidR="00FE5BE5" w:rsidRPr="00821AF6">
        <w:rPr>
          <w:rFonts w:ascii="Tahoma" w:hAnsi="Tahoma" w:cs="Tahoma"/>
        </w:rPr>
        <w:t xml:space="preserve"> mln zł </w:t>
      </w:r>
      <w:r w:rsidR="0008268D">
        <w:rPr>
          <w:rFonts w:ascii="Tahoma" w:hAnsi="Tahoma" w:cs="Tahoma"/>
        </w:rPr>
        <w:t xml:space="preserve">– </w:t>
      </w:r>
      <w:r w:rsidR="00FE5BE5" w:rsidRPr="00821AF6">
        <w:rPr>
          <w:rFonts w:ascii="Tahoma" w:hAnsi="Tahoma" w:cs="Tahoma"/>
        </w:rPr>
        <w:t xml:space="preserve">z silnikiem elektrycznym, </w:t>
      </w:r>
      <w:r w:rsidR="003758F3">
        <w:rPr>
          <w:rFonts w:ascii="Tahoma" w:hAnsi="Tahoma" w:cs="Tahoma"/>
        </w:rPr>
        <w:t>ładowany za pomocą</w:t>
      </w:r>
      <w:r w:rsidR="00FE5BE5" w:rsidRPr="00821AF6">
        <w:rPr>
          <w:rFonts w:ascii="Tahoma" w:hAnsi="Tahoma" w:cs="Tahoma"/>
        </w:rPr>
        <w:t xml:space="preserve"> pantograf</w:t>
      </w:r>
      <w:r w:rsidR="003758F3">
        <w:rPr>
          <w:rFonts w:ascii="Tahoma" w:hAnsi="Tahoma" w:cs="Tahoma"/>
        </w:rPr>
        <w:t>u</w:t>
      </w:r>
      <w:r w:rsidR="00FE5BE5" w:rsidRPr="00821AF6">
        <w:rPr>
          <w:rFonts w:ascii="Tahoma" w:hAnsi="Tahoma" w:cs="Tahoma"/>
        </w:rPr>
        <w:t xml:space="preserve"> i </w:t>
      </w:r>
      <w:r w:rsidR="001079ED">
        <w:rPr>
          <w:rFonts w:ascii="Tahoma" w:hAnsi="Tahoma" w:cs="Tahoma"/>
        </w:rPr>
        <w:t xml:space="preserve">poprzez </w:t>
      </w:r>
      <w:r w:rsidR="00FE5BE5" w:rsidRPr="00821AF6">
        <w:rPr>
          <w:rFonts w:ascii="Tahoma" w:hAnsi="Tahoma" w:cs="Tahoma"/>
        </w:rPr>
        <w:t>plug-in</w:t>
      </w:r>
      <w:r w:rsidR="003758F3">
        <w:rPr>
          <w:rFonts w:ascii="Tahoma" w:hAnsi="Tahoma" w:cs="Tahoma"/>
        </w:rPr>
        <w:t xml:space="preserve">, </w:t>
      </w:r>
      <w:r w:rsidR="00D6092D">
        <w:rPr>
          <w:rFonts w:ascii="Tahoma" w:hAnsi="Tahoma" w:cs="Tahoma"/>
        </w:rPr>
        <w:t>o długości ok. 12 m</w:t>
      </w:r>
      <w:r>
        <w:rPr>
          <w:rFonts w:ascii="Tahoma" w:hAnsi="Tahoma" w:cs="Tahoma"/>
        </w:rPr>
        <w:t>;</w:t>
      </w:r>
    </w:p>
    <w:p w14:paraId="65E6E8EE" w14:textId="2C362939" w:rsidR="005B56E6" w:rsidRDefault="00D6092D" w:rsidP="00D6092D">
      <w:pPr>
        <w:pStyle w:val="Akapitzlist"/>
        <w:numPr>
          <w:ilvl w:val="0"/>
          <w:numId w:val="17"/>
        </w:numPr>
        <w:spacing w:after="0" w:line="360" w:lineRule="auto"/>
        <w:jc w:val="both"/>
        <w:rPr>
          <w:rFonts w:ascii="Tahoma" w:hAnsi="Tahoma" w:cs="Tahoma"/>
        </w:rPr>
      </w:pPr>
      <w:r>
        <w:rPr>
          <w:rFonts w:ascii="Tahoma" w:hAnsi="Tahoma" w:cs="Tahoma"/>
        </w:rPr>
        <w:t xml:space="preserve">3,44 </w:t>
      </w:r>
      <w:r w:rsidR="005B56E6" w:rsidRPr="005B56E6">
        <w:rPr>
          <w:rFonts w:ascii="Tahoma" w:hAnsi="Tahoma" w:cs="Tahoma"/>
        </w:rPr>
        <w:t xml:space="preserve">mln zł – z silnikiem elektrycznym, ładowany </w:t>
      </w:r>
      <w:r w:rsidR="005B56E6">
        <w:rPr>
          <w:rFonts w:ascii="Tahoma" w:hAnsi="Tahoma" w:cs="Tahoma"/>
        </w:rPr>
        <w:t>wyłącznie</w:t>
      </w:r>
      <w:r w:rsidR="005B56E6" w:rsidRPr="005B56E6">
        <w:rPr>
          <w:rFonts w:ascii="Tahoma" w:hAnsi="Tahoma" w:cs="Tahoma"/>
        </w:rPr>
        <w:t xml:space="preserve"> </w:t>
      </w:r>
      <w:r w:rsidR="001079ED">
        <w:rPr>
          <w:rFonts w:ascii="Tahoma" w:hAnsi="Tahoma" w:cs="Tahoma"/>
        </w:rPr>
        <w:t xml:space="preserve">poprzez </w:t>
      </w:r>
      <w:r w:rsidR="005B56E6" w:rsidRPr="005B56E6">
        <w:rPr>
          <w:rFonts w:ascii="Tahoma" w:hAnsi="Tahoma" w:cs="Tahoma"/>
        </w:rPr>
        <w:t>plug-in</w:t>
      </w:r>
      <w:r w:rsidR="005B56E6">
        <w:rPr>
          <w:rFonts w:ascii="Tahoma" w:hAnsi="Tahoma" w:cs="Tahoma"/>
        </w:rPr>
        <w:t xml:space="preserve"> </w:t>
      </w:r>
      <w:r w:rsidR="00414DC6">
        <w:rPr>
          <w:rFonts w:ascii="Tahoma" w:hAnsi="Tahoma" w:cs="Tahoma"/>
        </w:rPr>
        <w:t>w</w:t>
      </w:r>
      <w:r w:rsidR="005B56E6">
        <w:rPr>
          <w:rFonts w:ascii="Tahoma" w:hAnsi="Tahoma" w:cs="Tahoma"/>
        </w:rPr>
        <w:t xml:space="preserve"> zajezdni</w:t>
      </w:r>
      <w:r w:rsidR="005B56E6" w:rsidRPr="005B56E6">
        <w:rPr>
          <w:rFonts w:ascii="Tahoma" w:hAnsi="Tahoma" w:cs="Tahoma"/>
        </w:rPr>
        <w:t xml:space="preserve">, </w:t>
      </w:r>
      <w:r w:rsidRPr="00D6092D">
        <w:rPr>
          <w:rFonts w:ascii="Tahoma" w:hAnsi="Tahoma" w:cs="Tahoma"/>
        </w:rPr>
        <w:t>o</w:t>
      </w:r>
      <w:r w:rsidR="00DD2244">
        <w:rPr>
          <w:rFonts w:ascii="Tahoma" w:hAnsi="Tahoma" w:cs="Tahoma"/>
        </w:rPr>
        <w:t> </w:t>
      </w:r>
      <w:r w:rsidRPr="00D6092D">
        <w:rPr>
          <w:rFonts w:ascii="Tahoma" w:hAnsi="Tahoma" w:cs="Tahoma"/>
        </w:rPr>
        <w:t>długoś</w:t>
      </w:r>
      <w:r>
        <w:rPr>
          <w:rFonts w:ascii="Tahoma" w:hAnsi="Tahoma" w:cs="Tahoma"/>
        </w:rPr>
        <w:t>ci ok. 18</w:t>
      </w:r>
      <w:r w:rsidRPr="00D6092D">
        <w:rPr>
          <w:rFonts w:ascii="Tahoma" w:hAnsi="Tahoma" w:cs="Tahoma"/>
        </w:rPr>
        <w:t xml:space="preserve"> m;</w:t>
      </w:r>
      <w:r w:rsidR="005B56E6">
        <w:rPr>
          <w:rFonts w:ascii="Tahoma" w:hAnsi="Tahoma" w:cs="Tahoma"/>
        </w:rPr>
        <w:t>.</w:t>
      </w:r>
    </w:p>
    <w:p w14:paraId="1BE229B7" w14:textId="1DBB6C59" w:rsidR="003B489E" w:rsidRPr="003B489E" w:rsidRDefault="003B489E" w:rsidP="00D6092D">
      <w:r w:rsidRPr="003B489E">
        <w:lastRenderedPageBreak/>
        <w:t>Dla autobusów używanych</w:t>
      </w:r>
      <w:r w:rsidR="00D6092D">
        <w:t xml:space="preserve"> zasilanych olejem napędowym</w:t>
      </w:r>
      <w:r w:rsidRPr="003B489E">
        <w:t>, po 8</w:t>
      </w:r>
      <w:r w:rsidR="009D028E">
        <w:t>-</w:t>
      </w:r>
      <w:r>
        <w:t>l</w:t>
      </w:r>
      <w:r w:rsidRPr="003B489E">
        <w:t>etnim okresie wcześniejszej eksploatacji, cenę</w:t>
      </w:r>
      <w:r>
        <w:t xml:space="preserve"> zakupu przyjęto w wysokości </w:t>
      </w:r>
      <w:r w:rsidR="005B56E6">
        <w:t>netto</w:t>
      </w:r>
      <w:r w:rsidR="00D142C4">
        <w:t xml:space="preserve"> odpowiednio</w:t>
      </w:r>
      <w:r w:rsidR="00D6092D">
        <w:t>: 0,20</w:t>
      </w:r>
      <w:r w:rsidR="005B56E6">
        <w:t xml:space="preserve"> mln zł dla </w:t>
      </w:r>
      <w:r w:rsidR="00D6092D">
        <w:t>pojazdu o długości ok. 8 m</w:t>
      </w:r>
      <w:r w:rsidR="005B56E6">
        <w:t xml:space="preserve"> </w:t>
      </w:r>
      <w:r>
        <w:t>0,</w:t>
      </w:r>
      <w:r w:rsidR="00D6092D">
        <w:t>25</w:t>
      </w:r>
      <w:r>
        <w:t xml:space="preserve"> mln zł </w:t>
      </w:r>
      <w:r w:rsidR="005B56E6">
        <w:t xml:space="preserve">dla </w:t>
      </w:r>
      <w:r w:rsidR="00D6092D">
        <w:t xml:space="preserve">pojazdu o długości ok. 10 m, 0,30 mln zł dla pojazdu o długości ok. 12 m oraz </w:t>
      </w:r>
      <w:r w:rsidR="005B56E6">
        <w:t xml:space="preserve">0,35 mln zł dla </w:t>
      </w:r>
      <w:r w:rsidR="00D6092D">
        <w:t>pojazdu o długości ok. 18 m</w:t>
      </w:r>
      <w:r>
        <w:t>.</w:t>
      </w:r>
      <w:r w:rsidR="005B56E6">
        <w:t xml:space="preserve"> Przyjęto, że ceny te uwzględniają konieczność dostosowania jednostek taborowych do wymogów </w:t>
      </w:r>
      <w:r w:rsidR="00C73F5E">
        <w:t>rzeszowskie</w:t>
      </w:r>
      <w:r w:rsidR="005B56E6">
        <w:t>j komunikacji miejskiej.</w:t>
      </w:r>
    </w:p>
    <w:p w14:paraId="083022F5" w14:textId="34E85C12" w:rsidR="00F5777D" w:rsidRPr="003B489E" w:rsidRDefault="00F5777D" w:rsidP="00D6092D">
      <w:r w:rsidRPr="003B489E">
        <w:t xml:space="preserve">W przypadku decyzji o zakupie i wprowadzeniu do eksploatacji autobusów elektrycznych </w:t>
      </w:r>
      <w:r w:rsidR="00D6092D">
        <w:t xml:space="preserve">doładowywanych na pętlach </w:t>
      </w:r>
      <w:r w:rsidRPr="003B489E">
        <w:t>przewiduje się realizację inwestycji wspomagających:</w:t>
      </w:r>
    </w:p>
    <w:p w14:paraId="740BD6F5" w14:textId="656B357B" w:rsidR="00F5777D" w:rsidRPr="00821AF6" w:rsidRDefault="00F5777D" w:rsidP="00D6092D">
      <w:pPr>
        <w:pStyle w:val="Akapitzlist"/>
        <w:numPr>
          <w:ilvl w:val="0"/>
          <w:numId w:val="17"/>
        </w:numPr>
        <w:spacing w:after="0" w:line="360" w:lineRule="auto"/>
        <w:jc w:val="both"/>
        <w:rPr>
          <w:rFonts w:ascii="Tahoma" w:hAnsi="Tahoma" w:cs="Tahoma"/>
        </w:rPr>
      </w:pPr>
      <w:r w:rsidRPr="00821AF6">
        <w:rPr>
          <w:rFonts w:ascii="Tahoma" w:hAnsi="Tahoma" w:cs="Tahoma"/>
        </w:rPr>
        <w:t>budow</w:t>
      </w:r>
      <w:r w:rsidR="009D028E">
        <w:rPr>
          <w:rFonts w:ascii="Tahoma" w:hAnsi="Tahoma" w:cs="Tahoma"/>
        </w:rPr>
        <w:t>ę</w:t>
      </w:r>
      <w:r w:rsidRPr="00821AF6">
        <w:rPr>
          <w:rFonts w:ascii="Tahoma" w:hAnsi="Tahoma" w:cs="Tahoma"/>
        </w:rPr>
        <w:t xml:space="preserve"> na wybranych pętlach </w:t>
      </w:r>
      <w:r w:rsidR="00D6092D">
        <w:rPr>
          <w:rFonts w:ascii="Tahoma" w:hAnsi="Tahoma" w:cs="Tahoma"/>
        </w:rPr>
        <w:t xml:space="preserve">oraz na terenie zajezdni MPK </w:t>
      </w:r>
      <w:r w:rsidRPr="00821AF6">
        <w:rPr>
          <w:rFonts w:ascii="Tahoma" w:hAnsi="Tahoma" w:cs="Tahoma"/>
        </w:rPr>
        <w:t xml:space="preserve">stacji </w:t>
      </w:r>
      <w:r w:rsidR="00C87C39" w:rsidRPr="00821AF6">
        <w:rPr>
          <w:rFonts w:ascii="Tahoma" w:hAnsi="Tahoma" w:cs="Tahoma"/>
        </w:rPr>
        <w:t xml:space="preserve">szybkiego </w:t>
      </w:r>
      <w:r w:rsidRPr="00821AF6">
        <w:rPr>
          <w:rFonts w:ascii="Tahoma" w:hAnsi="Tahoma" w:cs="Tahoma"/>
        </w:rPr>
        <w:t>ładowania z</w:t>
      </w:r>
      <w:r w:rsidR="00DD2244">
        <w:rPr>
          <w:rFonts w:ascii="Tahoma" w:hAnsi="Tahoma" w:cs="Tahoma"/>
        </w:rPr>
        <w:t> </w:t>
      </w:r>
      <w:r w:rsidRPr="00821AF6">
        <w:rPr>
          <w:rFonts w:ascii="Tahoma" w:hAnsi="Tahoma" w:cs="Tahoma"/>
        </w:rPr>
        <w:t>zasilaniem, o mocy pozwalającej na doładowanie autobusu elektrycznego w czasie nie większym niż kilkanaście minut;</w:t>
      </w:r>
    </w:p>
    <w:p w14:paraId="0453D581" w14:textId="694268DD" w:rsidR="00F5777D" w:rsidRPr="00821AF6" w:rsidRDefault="00F5777D" w:rsidP="00D6092D">
      <w:pPr>
        <w:pStyle w:val="Akapitzlist"/>
        <w:numPr>
          <w:ilvl w:val="0"/>
          <w:numId w:val="17"/>
        </w:numPr>
        <w:spacing w:after="0" w:line="360" w:lineRule="auto"/>
        <w:jc w:val="both"/>
        <w:rPr>
          <w:rFonts w:ascii="Tahoma" w:hAnsi="Tahoma" w:cs="Tahoma"/>
        </w:rPr>
      </w:pPr>
      <w:r w:rsidRPr="00821AF6">
        <w:rPr>
          <w:rFonts w:ascii="Tahoma" w:hAnsi="Tahoma" w:cs="Tahoma"/>
        </w:rPr>
        <w:t>budow</w:t>
      </w:r>
      <w:r w:rsidR="009D028E">
        <w:rPr>
          <w:rFonts w:ascii="Tahoma" w:hAnsi="Tahoma" w:cs="Tahoma"/>
        </w:rPr>
        <w:t>ę</w:t>
      </w:r>
      <w:r w:rsidRPr="00821AF6">
        <w:rPr>
          <w:rFonts w:ascii="Tahoma" w:hAnsi="Tahoma" w:cs="Tahoma"/>
        </w:rPr>
        <w:t xml:space="preserve"> w bazie </w:t>
      </w:r>
      <w:r w:rsidR="00C73F5E">
        <w:rPr>
          <w:rFonts w:ascii="Tahoma" w:hAnsi="Tahoma" w:cs="Tahoma"/>
        </w:rPr>
        <w:t>MPK</w:t>
      </w:r>
      <w:r w:rsidR="00D6092D">
        <w:rPr>
          <w:rFonts w:ascii="Tahoma" w:hAnsi="Tahoma" w:cs="Tahoma"/>
        </w:rPr>
        <w:t>-Rzeszów</w:t>
      </w:r>
      <w:r w:rsidR="00C73F5E">
        <w:rPr>
          <w:rFonts w:ascii="Tahoma" w:hAnsi="Tahoma" w:cs="Tahoma"/>
        </w:rPr>
        <w:t xml:space="preserve"> </w:t>
      </w:r>
      <w:r w:rsidRPr="00821AF6">
        <w:rPr>
          <w:rFonts w:ascii="Tahoma" w:hAnsi="Tahoma" w:cs="Tahoma"/>
        </w:rPr>
        <w:t xml:space="preserve">sp. z o.o. stacji </w:t>
      </w:r>
      <w:r w:rsidR="00C87C39" w:rsidRPr="00821AF6">
        <w:rPr>
          <w:rFonts w:ascii="Tahoma" w:hAnsi="Tahoma" w:cs="Tahoma"/>
        </w:rPr>
        <w:t xml:space="preserve">wolnego </w:t>
      </w:r>
      <w:r w:rsidRPr="00821AF6">
        <w:rPr>
          <w:rFonts w:ascii="Tahoma" w:hAnsi="Tahoma" w:cs="Tahoma"/>
        </w:rPr>
        <w:t>ładowania, o mocy pozwalającej na naładowanie autobusu w czasie nie dłuższym niż 4-6 godzin;</w:t>
      </w:r>
    </w:p>
    <w:p w14:paraId="34C5C81C" w14:textId="75E7BC3E" w:rsidR="00F5777D" w:rsidRPr="00821AF6" w:rsidRDefault="005B56E6" w:rsidP="00D6092D">
      <w:pPr>
        <w:pStyle w:val="Akapitzlist"/>
        <w:numPr>
          <w:ilvl w:val="0"/>
          <w:numId w:val="17"/>
        </w:numPr>
        <w:spacing w:after="0" w:line="360" w:lineRule="auto"/>
        <w:jc w:val="both"/>
        <w:rPr>
          <w:rFonts w:ascii="Tahoma" w:hAnsi="Tahoma" w:cs="Tahoma"/>
        </w:rPr>
      </w:pPr>
      <w:r w:rsidRPr="005B56E6">
        <w:rPr>
          <w:rFonts w:ascii="Tahoma" w:hAnsi="Tahoma" w:cs="Tahoma"/>
        </w:rPr>
        <w:t>rozbudow</w:t>
      </w:r>
      <w:r w:rsidR="00D142C4">
        <w:rPr>
          <w:rFonts w:ascii="Tahoma" w:hAnsi="Tahoma" w:cs="Tahoma"/>
        </w:rPr>
        <w:t>ę</w:t>
      </w:r>
      <w:r w:rsidRPr="005B56E6">
        <w:rPr>
          <w:rFonts w:ascii="Tahoma" w:hAnsi="Tahoma" w:cs="Tahoma"/>
        </w:rPr>
        <w:t xml:space="preserve"> stacji transformatorowych, rozdzielni i sieci zasilających oraz stanowisk postojowych </w:t>
      </w:r>
      <w:r>
        <w:rPr>
          <w:rFonts w:ascii="Tahoma" w:hAnsi="Tahoma" w:cs="Tahoma"/>
        </w:rPr>
        <w:t xml:space="preserve">oraz </w:t>
      </w:r>
      <w:r w:rsidR="002336E3">
        <w:rPr>
          <w:rFonts w:ascii="Tahoma" w:hAnsi="Tahoma" w:cs="Tahoma"/>
        </w:rPr>
        <w:t>dostosowani</w:t>
      </w:r>
      <w:r w:rsidR="009D028E">
        <w:rPr>
          <w:rFonts w:ascii="Tahoma" w:hAnsi="Tahoma" w:cs="Tahoma"/>
        </w:rPr>
        <w:t>e</w:t>
      </w:r>
      <w:r w:rsidR="002336E3">
        <w:rPr>
          <w:rFonts w:ascii="Tahoma" w:hAnsi="Tahoma" w:cs="Tahoma"/>
        </w:rPr>
        <w:t xml:space="preserve"> obiektów zajezdni </w:t>
      </w:r>
      <w:r w:rsidR="00C73F5E">
        <w:rPr>
          <w:rFonts w:ascii="Tahoma" w:hAnsi="Tahoma" w:cs="Tahoma"/>
        </w:rPr>
        <w:t xml:space="preserve">MPK </w:t>
      </w:r>
      <w:r w:rsidR="002336E3">
        <w:rPr>
          <w:rFonts w:ascii="Tahoma" w:hAnsi="Tahoma" w:cs="Tahoma"/>
        </w:rPr>
        <w:t xml:space="preserve">do eksploatacji </w:t>
      </w:r>
      <w:r w:rsidR="00D6092D">
        <w:rPr>
          <w:rFonts w:ascii="Tahoma" w:hAnsi="Tahoma" w:cs="Tahoma"/>
        </w:rPr>
        <w:t xml:space="preserve">dużej liczby </w:t>
      </w:r>
      <w:r w:rsidR="002336E3">
        <w:rPr>
          <w:rFonts w:ascii="Tahoma" w:hAnsi="Tahoma" w:cs="Tahoma"/>
        </w:rPr>
        <w:t>autobusów elektrycznych.</w:t>
      </w:r>
    </w:p>
    <w:p w14:paraId="43E9F493" w14:textId="6D017DC6" w:rsidR="00F5777D" w:rsidRPr="00821AF6" w:rsidRDefault="00F5777D" w:rsidP="00D6092D">
      <w:bookmarkStart w:id="80" w:name="_Hlk530073333"/>
      <w:r w:rsidRPr="00821AF6">
        <w:t xml:space="preserve">Moc ładowarek na pętlach zależy </w:t>
      </w:r>
      <w:r w:rsidR="00C66896" w:rsidRPr="00821AF6">
        <w:t>od zużycia energii na trasie</w:t>
      </w:r>
      <w:r w:rsidR="004A2A4C" w:rsidRPr="00821AF6">
        <w:t>,</w:t>
      </w:r>
      <w:r w:rsidR="00C66896" w:rsidRPr="00821AF6">
        <w:t xml:space="preserve"> jaka ma być przez autobus elektryczny obsługiwana oraz </w:t>
      </w:r>
      <w:r w:rsidRPr="00821AF6">
        <w:t xml:space="preserve">od rodzaju i pojemności </w:t>
      </w:r>
      <w:r w:rsidR="00C66896" w:rsidRPr="00821AF6">
        <w:t xml:space="preserve">baterii </w:t>
      </w:r>
      <w:r w:rsidRPr="00821AF6">
        <w:t>zastosowanych w autobusach</w:t>
      </w:r>
      <w:r w:rsidR="000C6487" w:rsidRPr="00821AF6">
        <w:t xml:space="preserve">, </w:t>
      </w:r>
      <w:r w:rsidR="00C66896" w:rsidRPr="00821AF6">
        <w:t>a</w:t>
      </w:r>
      <w:r w:rsidR="00CB6059" w:rsidRPr="00821AF6">
        <w:t> </w:t>
      </w:r>
      <w:r w:rsidR="00C66896" w:rsidRPr="00821AF6">
        <w:t>także</w:t>
      </w:r>
      <w:r w:rsidR="000C6487" w:rsidRPr="00821AF6">
        <w:t xml:space="preserve"> </w:t>
      </w:r>
      <w:r w:rsidR="00C66896" w:rsidRPr="00821AF6">
        <w:t>dopuszczalnego</w:t>
      </w:r>
      <w:r w:rsidR="000C6487" w:rsidRPr="00821AF6">
        <w:t xml:space="preserve"> prądu i mocy ładowania</w:t>
      </w:r>
      <w:r w:rsidRPr="00821AF6">
        <w:t>.</w:t>
      </w:r>
      <w:r w:rsidR="000C6487" w:rsidRPr="00821AF6">
        <w:t xml:space="preserve"> </w:t>
      </w:r>
      <w:r w:rsidR="00C66896" w:rsidRPr="00821AF6">
        <w:t xml:space="preserve">Ładowanie za pomocą pantografu w obecnie produkowanych autobusach pozwala na ładowanie mocą najczęściej od </w:t>
      </w:r>
      <w:r w:rsidR="00CB6059" w:rsidRPr="00821AF6">
        <w:t>2</w:t>
      </w:r>
      <w:r w:rsidR="00C66896" w:rsidRPr="00821AF6">
        <w:t>00 do 400 kW, a</w:t>
      </w:r>
      <w:r w:rsidR="00CB6059" w:rsidRPr="00821AF6">
        <w:t> </w:t>
      </w:r>
      <w:r w:rsidR="00C66896" w:rsidRPr="00821AF6">
        <w:t xml:space="preserve">niekiedy nawet do 500 </w:t>
      </w:r>
      <w:proofErr w:type="spellStart"/>
      <w:r w:rsidR="00C66896" w:rsidRPr="00821AF6">
        <w:t>kW.</w:t>
      </w:r>
      <w:proofErr w:type="spellEnd"/>
      <w:r w:rsidR="00C66896" w:rsidRPr="00821AF6">
        <w:t xml:space="preserve"> Złącze kablowe plug-in ma </w:t>
      </w:r>
      <w:r w:rsidR="000111FB">
        <w:t xml:space="preserve">jednak </w:t>
      </w:r>
      <w:r w:rsidR="00C66896" w:rsidRPr="00821AF6">
        <w:t>zwykle moc przekazywaną ograniczoną do 1</w:t>
      </w:r>
      <w:r w:rsidR="00CB6059" w:rsidRPr="00821AF6">
        <w:t>2</w:t>
      </w:r>
      <w:r w:rsidR="00C66896" w:rsidRPr="00821AF6">
        <w:t>0 </w:t>
      </w:r>
      <w:proofErr w:type="spellStart"/>
      <w:r w:rsidR="00C66896" w:rsidRPr="00821AF6">
        <w:t>kW.</w:t>
      </w:r>
      <w:proofErr w:type="spellEnd"/>
      <w:r w:rsidR="00C66896" w:rsidRPr="00821AF6">
        <w:t xml:space="preserve"> Od dopuszczalnej mocy ładowarki zależy czas postoju autobusu na pętli. Dłuższy czas postoju zmniejsza efektywność wykorzystania taboru, co wpływa na wyższe koszty funkcjonowania komunikacji miejskiej, a także na konieczność posiadania większej rezerwy taboru. Obecnie wraz z rozwojem techniki zalecanym rozwiązaniem jest montaż ładowarek na pętlach pozwalających na ładowanie autobusów elektrycznych z mocą do 400 </w:t>
      </w:r>
      <w:proofErr w:type="spellStart"/>
      <w:r w:rsidR="00C66896" w:rsidRPr="00821AF6">
        <w:t>kW.</w:t>
      </w:r>
      <w:proofErr w:type="spellEnd"/>
    </w:p>
    <w:p w14:paraId="29C9BA68" w14:textId="387B6A52" w:rsidR="000C6487" w:rsidRPr="00821AF6" w:rsidRDefault="000C6487" w:rsidP="00D6092D">
      <w:r w:rsidRPr="00821AF6">
        <w:t xml:space="preserve">Parametry ładowania </w:t>
      </w:r>
      <w:r w:rsidR="003F1F93" w:rsidRPr="00821AF6">
        <w:t>w</w:t>
      </w:r>
      <w:r w:rsidR="00D716E4" w:rsidRPr="00821AF6">
        <w:t xml:space="preserve"> zajezdni powinny zapewnić pełne naładowanie rozładowanych baterii autobusu w czasie nie dłuższym niż czas nocnego jego postoju, zatem standardowy czas ładowania nie powinien być dłuższy niż 6 godzin.</w:t>
      </w:r>
      <w:r w:rsidRPr="00821AF6">
        <w:t xml:space="preserve"> Na rynku występują ładowarki o małej (</w:t>
      </w:r>
      <w:r w:rsidR="00CB6059" w:rsidRPr="00821AF6">
        <w:t>4</w:t>
      </w:r>
      <w:r w:rsidRPr="00821AF6">
        <w:t>0-</w:t>
      </w:r>
      <w:r w:rsidR="00CB6059" w:rsidRPr="00821AF6">
        <w:t>6</w:t>
      </w:r>
      <w:r w:rsidRPr="00821AF6">
        <w:t xml:space="preserve">0 kW) </w:t>
      </w:r>
      <w:r w:rsidR="00D716E4" w:rsidRPr="00821AF6">
        <w:t xml:space="preserve">oraz </w:t>
      </w:r>
      <w:r w:rsidR="00A33E60">
        <w:t xml:space="preserve">o </w:t>
      </w:r>
      <w:r w:rsidR="00D716E4" w:rsidRPr="00821AF6">
        <w:t xml:space="preserve">średniej mocy (do 120 kW) – te </w:t>
      </w:r>
      <w:r w:rsidR="00CB6059" w:rsidRPr="00821AF6">
        <w:t xml:space="preserve">ostatnie </w:t>
      </w:r>
      <w:r w:rsidR="00D716E4" w:rsidRPr="00821AF6">
        <w:t>najczęściej pozwalają na jednoczesne ładowanie jednego albo dwóch autobusów.</w:t>
      </w:r>
      <w:r w:rsidRPr="00821AF6">
        <w:t xml:space="preserve"> Podstawową metodą dostarczania energii jest złącze kablowe plug-in, które ma jednak zwykle </w:t>
      </w:r>
      <w:r w:rsidR="00D716E4" w:rsidRPr="00821AF6">
        <w:t xml:space="preserve">ograniczoną przekazywaną </w:t>
      </w:r>
      <w:r w:rsidRPr="00821AF6">
        <w:t>moc</w:t>
      </w:r>
      <w:r w:rsidR="00D716E4" w:rsidRPr="00821AF6">
        <w:t xml:space="preserve">. W niektórych układach sieci i budowanych instalacjach proponuje się budowę </w:t>
      </w:r>
      <w:r w:rsidR="003F1F93" w:rsidRPr="00821AF6">
        <w:t>w</w:t>
      </w:r>
      <w:r w:rsidR="00D716E4" w:rsidRPr="00821AF6">
        <w:t xml:space="preserve"> zajezdni ładowarek pantografowych o dużej mocy (np. 200</w:t>
      </w:r>
      <w:r w:rsidR="00CB6059" w:rsidRPr="00821AF6">
        <w:t>-</w:t>
      </w:r>
      <w:r w:rsidR="00D6092D">
        <w:t>4</w:t>
      </w:r>
      <w:r w:rsidR="00D716E4" w:rsidRPr="00821AF6">
        <w:t>00 kW),</w:t>
      </w:r>
      <w:r w:rsidRPr="00821AF6">
        <w:t xml:space="preserve"> </w:t>
      </w:r>
      <w:r w:rsidR="00D716E4" w:rsidRPr="00821AF6">
        <w:t>pozwalających</w:t>
      </w:r>
      <w:r w:rsidRPr="00821AF6">
        <w:t xml:space="preserve"> na szybkie </w:t>
      </w:r>
      <w:r w:rsidR="00D716E4" w:rsidRPr="00821AF6">
        <w:t>do</w:t>
      </w:r>
      <w:r w:rsidRPr="00821AF6">
        <w:t xml:space="preserve">ładowanie wysokim prądem </w:t>
      </w:r>
      <w:r w:rsidR="00D716E4" w:rsidRPr="00821AF6">
        <w:t>autobusu zjeżdżającego do zajezdni na przerwę w wykonywaniu zadań.</w:t>
      </w:r>
      <w:r w:rsidRPr="00821AF6">
        <w:t xml:space="preserve"> </w:t>
      </w:r>
      <w:r w:rsidR="00D716E4" w:rsidRPr="00821AF6">
        <w:t xml:space="preserve">Jest to </w:t>
      </w:r>
      <w:r w:rsidR="00D716E4" w:rsidRPr="00821AF6">
        <w:lastRenderedPageBreak/>
        <w:t xml:space="preserve">także rozwiązanie korzystne w przypadku konieczności krótkiego postoju autobusu dla </w:t>
      </w:r>
      <w:r w:rsidR="00274B91" w:rsidRPr="00821AF6">
        <w:t xml:space="preserve">szybkiego </w:t>
      </w:r>
      <w:r w:rsidR="00D716E4" w:rsidRPr="00821AF6">
        <w:t xml:space="preserve">usunięcia awarii. Po naprawie tak doładowany pojazd może wyruszyć na trasę bez konieczności </w:t>
      </w:r>
      <w:r w:rsidR="00274B91" w:rsidRPr="00821AF6">
        <w:t>dłuższego</w:t>
      </w:r>
      <w:r w:rsidR="00D716E4" w:rsidRPr="00821AF6">
        <w:t xml:space="preserve"> wyłą</w:t>
      </w:r>
      <w:r w:rsidR="00274B91" w:rsidRPr="00821AF6">
        <w:t>czenia z ruchu z powodu niena</w:t>
      </w:r>
      <w:r w:rsidR="00D716E4" w:rsidRPr="00821AF6">
        <w:t>ładowanych baterii.</w:t>
      </w:r>
      <w:r w:rsidR="00D6092D">
        <w:t xml:space="preserve"> Rozwiązanie to umożliwia także pełne doładowanie pojazdu podczas zjazdów do zajezdni w przerywanym czasie pracy autobusu.</w:t>
      </w:r>
    </w:p>
    <w:p w14:paraId="229A9AD6" w14:textId="5D8A4C45" w:rsidR="00F5777D" w:rsidRPr="00821AF6" w:rsidRDefault="00274B91" w:rsidP="00D6092D">
      <w:r w:rsidRPr="00821AF6">
        <w:t>Zalec</w:t>
      </w:r>
      <w:r w:rsidR="00F5777D" w:rsidRPr="00821AF6">
        <w:t>ane są ładowa</w:t>
      </w:r>
      <w:r w:rsidRPr="00821AF6">
        <w:t xml:space="preserve">rki </w:t>
      </w:r>
      <w:r w:rsidR="002336E3">
        <w:t xml:space="preserve">zajezdniowe </w:t>
      </w:r>
      <w:r w:rsidRPr="00821AF6">
        <w:t xml:space="preserve">o większej mocy, </w:t>
      </w:r>
      <w:r w:rsidR="002952DA">
        <w:t>nie mniej niż</w:t>
      </w:r>
      <w:r w:rsidRPr="00821AF6">
        <w:t xml:space="preserve"> 80</w:t>
      </w:r>
      <w:r w:rsidR="002952DA">
        <w:t xml:space="preserve"> </w:t>
      </w:r>
      <w:r w:rsidR="00F5777D" w:rsidRPr="00821AF6">
        <w:t>kW, pozwalające na ładowanie dwóch autobusów jednocześnie. Możliwość ładowania po kolei dwóch pojazdów w czasie przerwy nocnej pozwala na obniżenie kosztów inwestycji w instalacje sieci i rozdzielni oraz wysokości opłat operatora za moc zamówioną, wymaga jednak zapewnienia odpowiedniej obsługi na zmianie nocnej.</w:t>
      </w:r>
      <w:r w:rsidRPr="00821AF6">
        <w:t xml:space="preserve"> Co najmniej jedno urządzenie powinno mieć charakter mobilny, umożliwiający przemieszczanie go po terenie zajezdni. </w:t>
      </w:r>
      <w:r w:rsidR="00CB6059" w:rsidRPr="00821AF6">
        <w:t>U</w:t>
      </w:r>
      <w:r w:rsidRPr="00821AF6">
        <w:t xml:space="preserve">łatwi </w:t>
      </w:r>
      <w:r w:rsidR="00CB6059" w:rsidRPr="00821AF6">
        <w:t xml:space="preserve">to </w:t>
      </w:r>
      <w:r w:rsidRPr="00821AF6">
        <w:t>ładowani</w:t>
      </w:r>
      <w:r w:rsidR="00CB6059" w:rsidRPr="00821AF6">
        <w:t>e</w:t>
      </w:r>
      <w:r w:rsidRPr="00821AF6">
        <w:t xml:space="preserve"> pojazdów w sytuacjach awaryjnych.</w:t>
      </w:r>
    </w:p>
    <w:p w14:paraId="470C8D0C" w14:textId="77777777" w:rsidR="00D142C4" w:rsidRDefault="00CB6059" w:rsidP="00D6092D">
      <w:r w:rsidRPr="00821AF6">
        <w:t>Opisane r</w:t>
      </w:r>
      <w:r w:rsidR="00F5777D" w:rsidRPr="00821AF6">
        <w:t xml:space="preserve">ozwiązanie wymaga także posiadania placu </w:t>
      </w:r>
      <w:r w:rsidRPr="00821AF6">
        <w:t xml:space="preserve">umożliwiającego </w:t>
      </w:r>
      <w:r w:rsidR="00F5777D" w:rsidRPr="00821AF6">
        <w:t xml:space="preserve">parkowanie obok stanowiska podłączeniowego dwóch autobusów. Przestawianie pojazdów w okresie postoju nocnego wymagałoby dodatkowej pracy kierowcy w porze nocnej i obarczone jest większym ryzykiem kolizji, w związku z czym </w:t>
      </w:r>
      <w:r w:rsidRPr="00821AF6">
        <w:t xml:space="preserve">zdecydowanie </w:t>
      </w:r>
      <w:r w:rsidR="00F5777D" w:rsidRPr="00821AF6">
        <w:t>nie jest rekomendowane.</w:t>
      </w:r>
    </w:p>
    <w:bookmarkEnd w:id="80"/>
    <w:p w14:paraId="2032D438" w14:textId="7A0DB4DE" w:rsidR="00F5777D" w:rsidRPr="00821AF6" w:rsidRDefault="00C73F5E" w:rsidP="003F468D">
      <w:r>
        <w:t>MPK</w:t>
      </w:r>
      <w:r w:rsidR="00D6092D">
        <w:t>-Rzeszów</w:t>
      </w:r>
      <w:r>
        <w:t xml:space="preserve"> </w:t>
      </w:r>
      <w:r w:rsidR="00274B91" w:rsidRPr="00821AF6">
        <w:t>s</w:t>
      </w:r>
      <w:r w:rsidR="00F5777D" w:rsidRPr="00821AF6">
        <w:t xml:space="preserve">p. z o.o. posiada place </w:t>
      </w:r>
      <w:r w:rsidR="00CB6059" w:rsidRPr="00821AF6">
        <w:t xml:space="preserve">postojowe dla autobusów </w:t>
      </w:r>
      <w:r w:rsidR="001E22B5">
        <w:t>pozwalające</w:t>
      </w:r>
      <w:r w:rsidR="00F5777D" w:rsidRPr="00821AF6">
        <w:t xml:space="preserve"> </w:t>
      </w:r>
      <w:r w:rsidR="00CB6059" w:rsidRPr="00821AF6">
        <w:t xml:space="preserve">na </w:t>
      </w:r>
      <w:r w:rsidR="00F5777D" w:rsidRPr="00821AF6">
        <w:t>instalacj</w:t>
      </w:r>
      <w:r w:rsidR="00CB6059" w:rsidRPr="00821AF6">
        <w:t>ę</w:t>
      </w:r>
      <w:r w:rsidR="00F5777D" w:rsidRPr="00821AF6">
        <w:t xml:space="preserve"> ładowarek </w:t>
      </w:r>
      <w:r w:rsidR="00D6092D">
        <w:t>dla autobusów elektrycznych</w:t>
      </w:r>
      <w:r w:rsidR="001E22B5">
        <w:t xml:space="preserve">, wymagają one jednak </w:t>
      </w:r>
      <w:r w:rsidR="00D6092D">
        <w:t>prac dostosowawczych</w:t>
      </w:r>
      <w:r w:rsidR="001E22B5">
        <w:t>.</w:t>
      </w:r>
    </w:p>
    <w:p w14:paraId="407FC053" w14:textId="25FBF128" w:rsidR="00435F0A" w:rsidRPr="00821AF6" w:rsidRDefault="00C71943" w:rsidP="003F468D">
      <w:r w:rsidRPr="00821AF6">
        <w:t xml:space="preserve">Elementem inwestycji związanej </w:t>
      </w:r>
      <w:r w:rsidR="00767431" w:rsidRPr="00821AF6">
        <w:t>z</w:t>
      </w:r>
      <w:r w:rsidRPr="00821AF6">
        <w:t xml:space="preserve"> system</w:t>
      </w:r>
      <w:r w:rsidR="00767431" w:rsidRPr="00821AF6">
        <w:t>em</w:t>
      </w:r>
      <w:r w:rsidRPr="00821AF6">
        <w:t xml:space="preserve"> ładowania nocnego autobusów jest konieczność dostosowania instalacji doprowadzających energię elektryczną do </w:t>
      </w:r>
      <w:r w:rsidR="00274B91" w:rsidRPr="00821AF6">
        <w:t>zajezdni oraz do</w:t>
      </w:r>
      <w:r w:rsidR="00CB6059" w:rsidRPr="00821AF6">
        <w:t> </w:t>
      </w:r>
      <w:r w:rsidRPr="00821AF6">
        <w:t>ładowarek.</w:t>
      </w:r>
      <w:r w:rsidR="00700A6C" w:rsidRPr="00821AF6">
        <w:t xml:space="preserve"> </w:t>
      </w:r>
      <w:r w:rsidR="00EA431B" w:rsidRPr="00821AF6">
        <w:t>W </w:t>
      </w:r>
      <w:r w:rsidR="00274B91" w:rsidRPr="00821AF6">
        <w:t xml:space="preserve">wariantach </w:t>
      </w:r>
      <w:r w:rsidR="001E22B5">
        <w:t>elektryczny</w:t>
      </w:r>
      <w:r w:rsidR="00D6092D">
        <w:t>m i wodorowym</w:t>
      </w:r>
      <w:r w:rsidR="00274B91" w:rsidRPr="00821AF6">
        <w:t xml:space="preserve"> </w:t>
      </w:r>
      <w:r w:rsidR="00EA431B" w:rsidRPr="00821AF6">
        <w:t xml:space="preserve">przyjmuje się rozpoczęcie eksploatacji </w:t>
      </w:r>
      <w:r w:rsidR="00D6092D">
        <w:t>bateryjnych</w:t>
      </w:r>
      <w:r w:rsidR="00274B91" w:rsidRPr="00821AF6">
        <w:t xml:space="preserve"> </w:t>
      </w:r>
      <w:r w:rsidR="00EA431B" w:rsidRPr="00821AF6">
        <w:t>autobus</w:t>
      </w:r>
      <w:r w:rsidR="00D6092D">
        <w:t>ów</w:t>
      </w:r>
      <w:r w:rsidR="00EA431B" w:rsidRPr="00821AF6">
        <w:t xml:space="preserve"> </w:t>
      </w:r>
      <w:r w:rsidR="00274B91" w:rsidRPr="00821AF6">
        <w:t>elektrycznymi</w:t>
      </w:r>
      <w:r w:rsidR="00EA431B" w:rsidRPr="00821AF6">
        <w:t xml:space="preserve">, </w:t>
      </w:r>
      <w:bookmarkStart w:id="81" w:name="_Hlk530073530"/>
      <w:r w:rsidR="00274B91" w:rsidRPr="00821AF6">
        <w:t xml:space="preserve">z zapewnieniem </w:t>
      </w:r>
      <w:r w:rsidR="000440AF" w:rsidRPr="00821AF6">
        <w:t xml:space="preserve">ładowarek </w:t>
      </w:r>
      <w:r w:rsidR="00274B91" w:rsidRPr="00821AF6">
        <w:t>o </w:t>
      </w:r>
      <w:r w:rsidR="003F6A97" w:rsidRPr="00821AF6">
        <w:t>mocy</w:t>
      </w:r>
      <w:bookmarkEnd w:id="81"/>
      <w:r w:rsidR="003F6A97" w:rsidRPr="00821AF6">
        <w:t xml:space="preserve"> </w:t>
      </w:r>
      <w:r w:rsidR="003F468D">
        <w:t>nie mniej</w:t>
      </w:r>
      <w:r w:rsidR="006F3550">
        <w:t>szej</w:t>
      </w:r>
      <w:r w:rsidR="003F468D">
        <w:t xml:space="preserve"> niż </w:t>
      </w:r>
      <w:r w:rsidR="001E22B5">
        <w:t>40 </w:t>
      </w:r>
      <w:r w:rsidR="00700A6C" w:rsidRPr="00821AF6">
        <w:t>kW</w:t>
      </w:r>
      <w:r w:rsidR="003F6A97" w:rsidRPr="00821AF6">
        <w:t xml:space="preserve"> </w:t>
      </w:r>
      <w:r w:rsidR="001E22B5" w:rsidRPr="00821AF6">
        <w:t>na jeden autobus</w:t>
      </w:r>
      <w:r w:rsidR="003F6A97" w:rsidRPr="00821AF6">
        <w:t xml:space="preserve">. </w:t>
      </w:r>
      <w:r w:rsidR="003F468D">
        <w:t xml:space="preserve">Niezbędna byłaby więc </w:t>
      </w:r>
      <w:r w:rsidR="00843E67" w:rsidRPr="00821AF6">
        <w:t xml:space="preserve">rozbudowa </w:t>
      </w:r>
      <w:r w:rsidR="003F468D">
        <w:t xml:space="preserve">sieci zasilającej, </w:t>
      </w:r>
      <w:r w:rsidR="00843E67" w:rsidRPr="00821AF6">
        <w:t xml:space="preserve">rozdzielni </w:t>
      </w:r>
      <w:r w:rsidR="002336E3">
        <w:t>i</w:t>
      </w:r>
      <w:r w:rsidR="00843E67" w:rsidRPr="00821AF6">
        <w:t xml:space="preserve"> stacji transformatorowej</w:t>
      </w:r>
      <w:r w:rsidR="00274B91" w:rsidRPr="00821AF6">
        <w:t xml:space="preserve"> </w:t>
      </w:r>
      <w:r w:rsidR="00CB6059" w:rsidRPr="00821AF6">
        <w:t xml:space="preserve">w celu </w:t>
      </w:r>
      <w:r w:rsidR="00274B91" w:rsidRPr="00821AF6">
        <w:t>umożliwienia dostarczenia takiej mocy do instalacji ładowania</w:t>
      </w:r>
      <w:r w:rsidR="003F468D">
        <w:t xml:space="preserve"> autobusów</w:t>
      </w:r>
      <w:r w:rsidR="00274B91" w:rsidRPr="00821AF6">
        <w:t>.</w:t>
      </w:r>
    </w:p>
    <w:p w14:paraId="435CC2E7" w14:textId="3EF1A524" w:rsidR="002336E3" w:rsidRDefault="003F6A97" w:rsidP="003F468D">
      <w:r w:rsidRPr="00821AF6">
        <w:t xml:space="preserve">Przy </w:t>
      </w:r>
      <w:r w:rsidR="000440AF" w:rsidRPr="00821AF6">
        <w:t xml:space="preserve">docelowym użytkowaniu </w:t>
      </w:r>
      <w:r w:rsidR="00AA2CBF">
        <w:t>w warian</w:t>
      </w:r>
      <w:r w:rsidR="001E22B5">
        <w:t>tach</w:t>
      </w:r>
      <w:r w:rsidR="00250803" w:rsidRPr="00821AF6">
        <w:t xml:space="preserve"> </w:t>
      </w:r>
      <w:r w:rsidR="001E22B5">
        <w:t>elektrycznych</w:t>
      </w:r>
      <w:r w:rsidR="00250803" w:rsidRPr="00821AF6">
        <w:t xml:space="preserve"> łącznie</w:t>
      </w:r>
      <w:r w:rsidR="00435F0A" w:rsidRPr="00821AF6">
        <w:t xml:space="preserve"> </w:t>
      </w:r>
      <w:r w:rsidR="003F468D">
        <w:t>69</w:t>
      </w:r>
      <w:r w:rsidR="00982CE4" w:rsidRPr="00821AF6">
        <w:t xml:space="preserve"> </w:t>
      </w:r>
      <w:r w:rsidR="00700A6C" w:rsidRPr="00821AF6">
        <w:t>autobusów</w:t>
      </w:r>
      <w:r w:rsidR="00C71943" w:rsidRPr="00821AF6">
        <w:t xml:space="preserve"> elektrycznych,</w:t>
      </w:r>
      <w:r w:rsidR="003F468D">
        <w:t xml:space="preserve"> przy współczynniku jednoczesności 85%, </w:t>
      </w:r>
      <w:r w:rsidR="00700A6C" w:rsidRPr="00821AF6">
        <w:t>wymaga</w:t>
      </w:r>
      <w:r w:rsidR="000440AF" w:rsidRPr="00821AF6">
        <w:t xml:space="preserve">na </w:t>
      </w:r>
      <w:r w:rsidR="00250803" w:rsidRPr="00821AF6">
        <w:t xml:space="preserve">moc dostarczona przez rozdzielnię </w:t>
      </w:r>
      <w:r w:rsidR="003F468D">
        <w:t>byłaby rzędu</w:t>
      </w:r>
      <w:r w:rsidR="00700A6C" w:rsidRPr="00821AF6">
        <w:t xml:space="preserve"> </w:t>
      </w:r>
      <w:r w:rsidR="003F468D">
        <w:t>2,4</w:t>
      </w:r>
      <w:r w:rsidR="000440AF" w:rsidRPr="00821AF6">
        <w:t xml:space="preserve"> MW</w:t>
      </w:r>
      <w:r w:rsidR="003F468D">
        <w:t>. Dla</w:t>
      </w:r>
      <w:r w:rsidR="00250803" w:rsidRPr="00821AF6">
        <w:t xml:space="preserve"> </w:t>
      </w:r>
      <w:r w:rsidR="003F468D">
        <w:t xml:space="preserve">umożliwienia </w:t>
      </w:r>
      <w:r w:rsidR="00250803" w:rsidRPr="00821AF6">
        <w:t xml:space="preserve">dostarczenia </w:t>
      </w:r>
      <w:r w:rsidR="00843E67" w:rsidRPr="00821AF6">
        <w:t>takich mocy powinna być rozbudowana instalacja zasilająca zajezdni</w:t>
      </w:r>
      <w:r w:rsidR="00720C21" w:rsidRPr="00821AF6">
        <w:t>ę</w:t>
      </w:r>
      <w:r w:rsidR="00700A6C" w:rsidRPr="00821AF6">
        <w:t>.</w:t>
      </w:r>
      <w:r w:rsidR="00843E67" w:rsidRPr="00821AF6">
        <w:t xml:space="preserve"> </w:t>
      </w:r>
      <w:r w:rsidR="0006037A" w:rsidRPr="00821AF6">
        <w:t xml:space="preserve">W </w:t>
      </w:r>
      <w:r w:rsidR="00250803" w:rsidRPr="00821AF6">
        <w:t>obydwu wariantach</w:t>
      </w:r>
      <w:r w:rsidR="0006037A" w:rsidRPr="00821AF6">
        <w:t xml:space="preserve"> rozbudowa byłaby konieczna przed wprowadzeniem do ruchu </w:t>
      </w:r>
      <w:r w:rsidR="003F468D">
        <w:t>znacznej liczby</w:t>
      </w:r>
      <w:r w:rsidR="0006037A" w:rsidRPr="00821AF6">
        <w:t xml:space="preserve"> pojazdów elektrycznych</w:t>
      </w:r>
      <w:r w:rsidR="003F468D">
        <w:t>, czyli przed 1 stycznia 2025 r.</w:t>
      </w:r>
      <w:r w:rsidR="0006037A" w:rsidRPr="00821AF6">
        <w:t xml:space="preserve"> </w:t>
      </w:r>
    </w:p>
    <w:p w14:paraId="3A181D09" w14:textId="61F341B5" w:rsidR="003F468D" w:rsidRDefault="00843E67" w:rsidP="002B3B45">
      <w:r w:rsidRPr="00821AF6">
        <w:t>Koszt inw</w:t>
      </w:r>
      <w:r w:rsidR="00250803" w:rsidRPr="00821AF6">
        <w:t xml:space="preserve">estycji dla potrzeb </w:t>
      </w:r>
      <w:r w:rsidR="002336E3">
        <w:t xml:space="preserve">eksploatacji autobusów </w:t>
      </w:r>
      <w:r w:rsidRPr="00821AF6">
        <w:t xml:space="preserve">elektrycznych </w:t>
      </w:r>
      <w:r w:rsidR="002336E3">
        <w:t xml:space="preserve">przyjęto w wysokości </w:t>
      </w:r>
      <w:r w:rsidR="001E22B5">
        <w:t>szacunkowej</w:t>
      </w:r>
      <w:r w:rsidRPr="00821AF6">
        <w:t xml:space="preserve"> </w:t>
      </w:r>
      <w:r w:rsidR="002336E3">
        <w:t xml:space="preserve">w kwocie </w:t>
      </w:r>
      <w:r w:rsidR="003F468D">
        <w:t>2</w:t>
      </w:r>
      <w:r w:rsidR="001E22B5">
        <w:t>,5 mln zł</w:t>
      </w:r>
      <w:r w:rsidR="00A92E6A">
        <w:t xml:space="preserve"> na przebudowę instalacji zasilania zajezdni, rozdzielni oraz obiektów obsługi autobusów </w:t>
      </w:r>
      <w:r w:rsidR="003F468D">
        <w:t xml:space="preserve">do poniesienia najpóźniej w 2024 r. </w:t>
      </w:r>
      <w:r w:rsidR="00A92E6A">
        <w:t xml:space="preserve">oraz 0,5 mln zł na </w:t>
      </w:r>
      <w:r w:rsidR="003F468D">
        <w:t xml:space="preserve">dalszą </w:t>
      </w:r>
      <w:r w:rsidR="003F468D">
        <w:lastRenderedPageBreak/>
        <w:t>rozbudowę do poniesienia najpóźniej w 2027 r.</w:t>
      </w:r>
      <w:r w:rsidR="00F85BCE">
        <w:t xml:space="preserve"> W warian</w:t>
      </w:r>
      <w:r w:rsidR="00D4666B">
        <w:t xml:space="preserve">tach elektrycznym </w:t>
      </w:r>
      <w:r w:rsidR="003F468D">
        <w:t>i wodorowym przewidziano ponadto instalacj</w:t>
      </w:r>
      <w:r w:rsidR="00D4666B">
        <w:t xml:space="preserve">ę na terenie zajezdni szybkiej </w:t>
      </w:r>
      <w:r w:rsidR="003F468D">
        <w:t>ładowarki pantografowej o mocy rzędu 400 kW, nie wymagałaby ona jednak znacznego zwiększenia poziomu mocy zamawianej</w:t>
      </w:r>
      <w:r w:rsidR="00F85BCE">
        <w:t>,</w:t>
      </w:r>
      <w:r w:rsidR="003F468D">
        <w:t xml:space="preserve"> gdyż jej wykorzystywanie nie zbiegało by się z korzystaniem z wolnych ładowarek zajezdniowych w okresie postoju nocnego. </w:t>
      </w:r>
    </w:p>
    <w:p w14:paraId="6DB0232A" w14:textId="51112953" w:rsidR="003F6A97" w:rsidRPr="00821AF6" w:rsidRDefault="00F85BCE" w:rsidP="002B3B45">
      <w:r>
        <w:t xml:space="preserve">W wariancie </w:t>
      </w:r>
      <w:r w:rsidR="003F468D">
        <w:t xml:space="preserve">wodorowym przyjęto dodatkowo instalację na terenie zajezdni przy ul. Lubelskiej stacji tankowania wodoru wraz z niezbędnymi zbiornikami tego paliwa. Inwestycję tą ponosiłby jednak zewnętrzny operator stacji, a koszt jej instalacji oraz użytkowania zawarty byłby w cenie dostarczanego paliwa. </w:t>
      </w:r>
      <w:r w:rsidR="002B3B45">
        <w:t>Kosztów tych nie ujmowano więc w analizie.</w:t>
      </w:r>
      <w:r w:rsidR="00FD5961">
        <w:t xml:space="preserve"> Przyjęto natomiast ryczałtowe koszty przystosowania obiektów i wyposażenia do eksploatacji autobusów wodorowych, w wysokości 0,5 mln zł. MPK-Rzeszów sp. z o.o. eksploatuje już autobusy zasilane CNG, lotnym paliwem gazowym o własnościach wybuchowych, także magazynowanym w zbiornikach na dachach autobusów, koszty adaptacji nie będą więc zbyt duże.</w:t>
      </w:r>
    </w:p>
    <w:p w14:paraId="29494173" w14:textId="0D413C3A" w:rsidR="00700A6C" w:rsidRPr="00821AF6" w:rsidRDefault="00700A6C" w:rsidP="002B3B45">
      <w:bookmarkStart w:id="82" w:name="_Hlk530074788"/>
      <w:r w:rsidRPr="00821AF6">
        <w:t xml:space="preserve">Ryczałtowy koszt instalacji </w:t>
      </w:r>
      <w:r w:rsidR="002B3B45">
        <w:t>punktów</w:t>
      </w:r>
      <w:r w:rsidRPr="00821AF6">
        <w:t xml:space="preserve"> </w:t>
      </w:r>
      <w:r w:rsidR="00C87C39" w:rsidRPr="00821AF6">
        <w:t xml:space="preserve">wolnego </w:t>
      </w:r>
      <w:r w:rsidRPr="00821AF6">
        <w:t xml:space="preserve">ładowania na terenie zajezdni operatora </w:t>
      </w:r>
      <w:r w:rsidR="000440AF" w:rsidRPr="00821AF6">
        <w:t xml:space="preserve">przyjęto w analizie </w:t>
      </w:r>
      <w:r w:rsidR="00A673A7" w:rsidRPr="00821AF6">
        <w:t>na uśrednionym poziomie</w:t>
      </w:r>
      <w:r w:rsidR="001E22B5">
        <w:t xml:space="preserve"> </w:t>
      </w:r>
      <w:r w:rsidR="002B3B45">
        <w:t>75</w:t>
      </w:r>
      <w:r w:rsidRPr="00821AF6">
        <w:t xml:space="preserve"> tys. zł na autobus.</w:t>
      </w:r>
    </w:p>
    <w:p w14:paraId="1990F259" w14:textId="1AB02B01" w:rsidR="0006037A" w:rsidRPr="00821AF6" w:rsidRDefault="00D962A2" w:rsidP="002B3B45">
      <w:r w:rsidRPr="00821AF6">
        <w:t xml:space="preserve">Osiągane w przetargach w latach 2019-2020 ceny za jedną </w:t>
      </w:r>
      <w:r w:rsidR="00C87C39" w:rsidRPr="00821AF6">
        <w:t xml:space="preserve">szybką </w:t>
      </w:r>
      <w:r w:rsidRPr="00821AF6">
        <w:t>ładowarkę wynosiły średnio ok. 330 tys. zł. Uwzględniając dodatkowe nakłady na przebudowę nawierzchni stanowiska dojazdowego</w:t>
      </w:r>
      <w:r w:rsidR="009D028E">
        <w:t>,</w:t>
      </w:r>
      <w:r w:rsidRPr="00821AF6">
        <w:t xml:space="preserve"> r</w:t>
      </w:r>
      <w:r w:rsidR="0006037A" w:rsidRPr="00821AF6">
        <w:t xml:space="preserve">yczałtowy koszt instalacji do </w:t>
      </w:r>
      <w:r w:rsidR="00C87C39" w:rsidRPr="00821AF6">
        <w:t xml:space="preserve">szybkiego </w:t>
      </w:r>
      <w:r w:rsidR="0006037A" w:rsidRPr="00821AF6">
        <w:t xml:space="preserve">ładowania </w:t>
      </w:r>
      <w:r w:rsidR="00435F0A" w:rsidRPr="00821AF6">
        <w:t>(</w:t>
      </w:r>
      <w:r w:rsidR="0006037A" w:rsidRPr="00821AF6">
        <w:t>na pętli</w:t>
      </w:r>
      <w:r w:rsidR="00435F0A" w:rsidRPr="00821AF6">
        <w:t>)</w:t>
      </w:r>
      <w:r w:rsidR="009D028E">
        <w:t>,</w:t>
      </w:r>
      <w:r w:rsidR="00250803" w:rsidRPr="00821AF6">
        <w:t xml:space="preserve"> </w:t>
      </w:r>
      <w:r w:rsidR="00CB6059" w:rsidRPr="00821AF6">
        <w:t xml:space="preserve">założono </w:t>
      </w:r>
      <w:r w:rsidR="00250803" w:rsidRPr="00821AF6">
        <w:t>w</w:t>
      </w:r>
      <w:r w:rsidR="00CB6059" w:rsidRPr="00821AF6">
        <w:t> </w:t>
      </w:r>
      <w:r w:rsidR="002952DA">
        <w:t>wysokości 75</w:t>
      </w:r>
      <w:r w:rsidR="0006037A" w:rsidRPr="00821AF6">
        <w:t>0</w:t>
      </w:r>
      <w:r w:rsidR="00435F0A" w:rsidRPr="00821AF6">
        <w:t> </w:t>
      </w:r>
      <w:r w:rsidR="0006037A" w:rsidRPr="00821AF6">
        <w:t>tys. zł na jedno stanowisko</w:t>
      </w:r>
      <w:r w:rsidRPr="00821AF6">
        <w:t xml:space="preserve"> ładowania</w:t>
      </w:r>
      <w:r w:rsidR="002B3B45">
        <w:t xml:space="preserve"> autobusu</w:t>
      </w:r>
      <w:r w:rsidR="002952DA">
        <w:t>.</w:t>
      </w:r>
    </w:p>
    <w:bookmarkEnd w:id="82"/>
    <w:p w14:paraId="6A1905CA" w14:textId="7508B072" w:rsidR="00CF2689" w:rsidRDefault="00CF2689" w:rsidP="002B3B45">
      <w:r>
        <w:t xml:space="preserve">Przy kolejnych zakupach autobusów elektrycznych </w:t>
      </w:r>
      <w:r w:rsidR="002B3B45">
        <w:t xml:space="preserve">z doładowywaniem za pomocą pantografu </w:t>
      </w:r>
      <w:r>
        <w:t xml:space="preserve">założono jednoczesny zakup ładowarek zajezdniowych – po jednej na każdy autobus oraz budowę stacji ładowania na pętlach – jednej </w:t>
      </w:r>
      <w:r w:rsidRPr="00767792">
        <w:t xml:space="preserve">dla każdej dostarczonej kolejnej partii </w:t>
      </w:r>
      <w:r w:rsidR="002B3B45">
        <w:t>sześciu</w:t>
      </w:r>
      <w:r w:rsidRPr="00767792">
        <w:t xml:space="preserve"> </w:t>
      </w:r>
      <w:r>
        <w:t>autobusów elektrycznych.</w:t>
      </w:r>
    </w:p>
    <w:p w14:paraId="1735CB79" w14:textId="2135C946" w:rsidR="00FE5BE5" w:rsidRPr="00821AF6" w:rsidRDefault="002952DA" w:rsidP="00A4716F">
      <w:pPr>
        <w:pStyle w:val="Akapitzlist"/>
        <w:spacing w:after="0" w:line="360" w:lineRule="auto"/>
        <w:ind w:left="0" w:firstLine="567"/>
        <w:jc w:val="both"/>
        <w:rPr>
          <w:rFonts w:ascii="Tahoma" w:hAnsi="Tahoma" w:cs="Tahoma"/>
        </w:rPr>
      </w:pPr>
      <w:r>
        <w:rPr>
          <w:rFonts w:ascii="Tahoma" w:hAnsi="Tahoma" w:cs="Tahoma"/>
        </w:rPr>
        <w:t>Podsumowując, w</w:t>
      </w:r>
      <w:r w:rsidR="00A92E6A">
        <w:rPr>
          <w:rFonts w:ascii="Tahoma" w:hAnsi="Tahoma" w:cs="Tahoma"/>
        </w:rPr>
        <w:t xml:space="preserve"> wariantach elektrycznych</w:t>
      </w:r>
      <w:r w:rsidR="00FE5BE5" w:rsidRPr="00821AF6">
        <w:rPr>
          <w:rFonts w:ascii="Tahoma" w:hAnsi="Tahoma" w:cs="Tahoma"/>
        </w:rPr>
        <w:t xml:space="preserve"> przyjęto poniesienie nakładów infrastrukturalnych </w:t>
      </w:r>
      <w:r w:rsidR="00145DBA">
        <w:rPr>
          <w:rFonts w:ascii="Tahoma" w:hAnsi="Tahoma" w:cs="Tahoma"/>
        </w:rPr>
        <w:t xml:space="preserve">w następujących kwotach </w:t>
      </w:r>
      <w:r w:rsidR="00FE5BE5" w:rsidRPr="00821AF6">
        <w:rPr>
          <w:rFonts w:ascii="Tahoma" w:hAnsi="Tahoma" w:cs="Tahoma"/>
        </w:rPr>
        <w:t>(netto):</w:t>
      </w:r>
    </w:p>
    <w:p w14:paraId="05CB915D" w14:textId="7160F2F6" w:rsidR="00FE5BE5" w:rsidRDefault="00950717" w:rsidP="00A4716F">
      <w:pPr>
        <w:pStyle w:val="Akapitzlist"/>
        <w:numPr>
          <w:ilvl w:val="0"/>
          <w:numId w:val="17"/>
        </w:numPr>
        <w:spacing w:after="0" w:line="360" w:lineRule="auto"/>
        <w:ind w:left="357" w:hanging="357"/>
        <w:jc w:val="both"/>
        <w:rPr>
          <w:rFonts w:ascii="Tahoma" w:hAnsi="Tahoma" w:cs="Tahoma"/>
        </w:rPr>
      </w:pPr>
      <w:r>
        <w:rPr>
          <w:rFonts w:ascii="Tahoma" w:hAnsi="Tahoma" w:cs="Tahoma"/>
        </w:rPr>
        <w:t>2,5</w:t>
      </w:r>
      <w:r w:rsidR="00A92E6A">
        <w:rPr>
          <w:rFonts w:ascii="Tahoma" w:hAnsi="Tahoma" w:cs="Tahoma"/>
        </w:rPr>
        <w:t>0</w:t>
      </w:r>
      <w:r w:rsidR="00FE5BE5" w:rsidRPr="00821AF6">
        <w:rPr>
          <w:rFonts w:ascii="Tahoma" w:hAnsi="Tahoma" w:cs="Tahoma"/>
        </w:rPr>
        <w:t xml:space="preserve"> mln zł –</w:t>
      </w:r>
      <w:r>
        <w:rPr>
          <w:rFonts w:ascii="Tahoma" w:hAnsi="Tahoma" w:cs="Tahoma"/>
        </w:rPr>
        <w:t xml:space="preserve"> </w:t>
      </w:r>
      <w:r w:rsidR="00FE5BE5" w:rsidRPr="00821AF6">
        <w:rPr>
          <w:rFonts w:ascii="Tahoma" w:hAnsi="Tahoma" w:cs="Tahoma"/>
        </w:rPr>
        <w:t xml:space="preserve">na budowę </w:t>
      </w:r>
      <w:r w:rsidR="00A92E6A">
        <w:rPr>
          <w:rFonts w:ascii="Tahoma" w:hAnsi="Tahoma" w:cs="Tahoma"/>
        </w:rPr>
        <w:t>zasilania oraz adaptację</w:t>
      </w:r>
      <w:r w:rsidR="00FE5BE5" w:rsidRPr="00821AF6">
        <w:rPr>
          <w:rFonts w:ascii="Tahoma" w:hAnsi="Tahoma" w:cs="Tahoma"/>
        </w:rPr>
        <w:t xml:space="preserve"> zajezdni </w:t>
      </w:r>
      <w:r w:rsidR="00C73F5E">
        <w:rPr>
          <w:rFonts w:ascii="Tahoma" w:hAnsi="Tahoma" w:cs="Tahoma"/>
        </w:rPr>
        <w:t xml:space="preserve">MPK </w:t>
      </w:r>
      <w:r w:rsidR="002952DA">
        <w:rPr>
          <w:rFonts w:ascii="Tahoma" w:hAnsi="Tahoma" w:cs="Tahoma"/>
        </w:rPr>
        <w:t>do potrzeb eksploatacji i</w:t>
      </w:r>
      <w:r w:rsidR="00DD2244">
        <w:rPr>
          <w:rFonts w:ascii="Tahoma" w:hAnsi="Tahoma" w:cs="Tahoma"/>
        </w:rPr>
        <w:t> </w:t>
      </w:r>
      <w:r w:rsidR="002952DA">
        <w:rPr>
          <w:rFonts w:ascii="Tahoma" w:hAnsi="Tahoma" w:cs="Tahoma"/>
        </w:rPr>
        <w:t>utrzymania w ruchu autobusów elektrycznych</w:t>
      </w:r>
      <w:r>
        <w:rPr>
          <w:rFonts w:ascii="Tahoma" w:hAnsi="Tahoma" w:cs="Tahoma"/>
        </w:rPr>
        <w:t>, do poniesienia w 2024 r.</w:t>
      </w:r>
      <w:r w:rsidR="00FE5BE5" w:rsidRPr="00821AF6">
        <w:rPr>
          <w:rFonts w:ascii="Tahoma" w:hAnsi="Tahoma" w:cs="Tahoma"/>
        </w:rPr>
        <w:t>;</w:t>
      </w:r>
    </w:p>
    <w:p w14:paraId="232440BE" w14:textId="21CCE46C" w:rsidR="00E246FF" w:rsidRPr="00821AF6" w:rsidRDefault="00E246FF" w:rsidP="00A4716F">
      <w:pPr>
        <w:pStyle w:val="Akapitzlist"/>
        <w:numPr>
          <w:ilvl w:val="0"/>
          <w:numId w:val="17"/>
        </w:numPr>
        <w:spacing w:after="0" w:line="360" w:lineRule="auto"/>
        <w:ind w:left="357" w:hanging="357"/>
        <w:jc w:val="both"/>
        <w:rPr>
          <w:rFonts w:ascii="Tahoma" w:hAnsi="Tahoma" w:cs="Tahoma"/>
        </w:rPr>
      </w:pPr>
      <w:r>
        <w:rPr>
          <w:rFonts w:ascii="Tahoma" w:hAnsi="Tahoma" w:cs="Tahoma"/>
        </w:rPr>
        <w:t>0,50 mln zł – na dostosowanie zajezdni i wyposażenia do eksploatacji autobusów wodorowych;</w:t>
      </w:r>
    </w:p>
    <w:p w14:paraId="7EA5A7B2" w14:textId="32E63ADC" w:rsidR="00F85BCE" w:rsidRDefault="00950717" w:rsidP="00A4716F">
      <w:pPr>
        <w:pStyle w:val="Akapitzlist"/>
        <w:numPr>
          <w:ilvl w:val="0"/>
          <w:numId w:val="17"/>
        </w:numPr>
        <w:spacing w:after="0" w:line="360" w:lineRule="auto"/>
        <w:ind w:left="357" w:hanging="357"/>
        <w:jc w:val="both"/>
        <w:rPr>
          <w:rFonts w:ascii="Tahoma" w:hAnsi="Tahoma" w:cs="Tahoma"/>
        </w:rPr>
      </w:pPr>
      <w:r>
        <w:rPr>
          <w:rFonts w:ascii="Tahoma" w:hAnsi="Tahoma" w:cs="Tahoma"/>
        </w:rPr>
        <w:t>0</w:t>
      </w:r>
      <w:r w:rsidR="00F85BCE">
        <w:rPr>
          <w:rFonts w:ascii="Tahoma" w:hAnsi="Tahoma" w:cs="Tahoma"/>
        </w:rPr>
        <w:t>,5</w:t>
      </w:r>
      <w:r w:rsidR="00F85BCE" w:rsidRPr="00F85BCE">
        <w:rPr>
          <w:rFonts w:ascii="Tahoma" w:hAnsi="Tahoma" w:cs="Tahoma"/>
        </w:rPr>
        <w:t xml:space="preserve">0 mln zł – </w:t>
      </w:r>
      <w:r>
        <w:rPr>
          <w:rFonts w:ascii="Tahoma" w:hAnsi="Tahoma" w:cs="Tahoma"/>
        </w:rPr>
        <w:t>na roz</w:t>
      </w:r>
      <w:r w:rsidRPr="00950717">
        <w:rPr>
          <w:rFonts w:ascii="Tahoma" w:hAnsi="Tahoma" w:cs="Tahoma"/>
        </w:rPr>
        <w:t>budowę zasilania autobusów elektrycznych</w:t>
      </w:r>
      <w:r>
        <w:rPr>
          <w:rFonts w:ascii="Tahoma" w:hAnsi="Tahoma" w:cs="Tahoma"/>
        </w:rPr>
        <w:t>, do poniesienia w 2027</w:t>
      </w:r>
      <w:r w:rsidRPr="00950717">
        <w:rPr>
          <w:rFonts w:ascii="Tahoma" w:hAnsi="Tahoma" w:cs="Tahoma"/>
        </w:rPr>
        <w:t xml:space="preserve"> r.</w:t>
      </w:r>
      <w:r w:rsidR="00F85BCE" w:rsidRPr="00F85BCE">
        <w:rPr>
          <w:rFonts w:ascii="Tahoma" w:hAnsi="Tahoma" w:cs="Tahoma"/>
        </w:rPr>
        <w:t>;</w:t>
      </w:r>
    </w:p>
    <w:p w14:paraId="6D945D4C" w14:textId="79C44B8A" w:rsidR="00FE5BE5" w:rsidRPr="00821AF6" w:rsidRDefault="00FE5BE5" w:rsidP="00A4716F">
      <w:pPr>
        <w:pStyle w:val="Akapitzlist"/>
        <w:numPr>
          <w:ilvl w:val="0"/>
          <w:numId w:val="17"/>
        </w:numPr>
        <w:spacing w:after="0" w:line="360" w:lineRule="auto"/>
        <w:ind w:left="357" w:hanging="357"/>
        <w:jc w:val="both"/>
        <w:rPr>
          <w:rFonts w:ascii="Tahoma" w:hAnsi="Tahoma" w:cs="Tahoma"/>
        </w:rPr>
      </w:pPr>
      <w:r w:rsidRPr="00821AF6">
        <w:rPr>
          <w:rFonts w:ascii="Tahoma" w:hAnsi="Tahoma" w:cs="Tahoma"/>
        </w:rPr>
        <w:t>0,</w:t>
      </w:r>
      <w:r w:rsidR="00950717">
        <w:rPr>
          <w:rFonts w:ascii="Tahoma" w:hAnsi="Tahoma" w:cs="Tahoma"/>
        </w:rPr>
        <w:t>075</w:t>
      </w:r>
      <w:r w:rsidRPr="00821AF6">
        <w:rPr>
          <w:rFonts w:ascii="Tahoma" w:hAnsi="Tahoma" w:cs="Tahoma"/>
        </w:rPr>
        <w:t xml:space="preserve"> mln zł </w:t>
      </w:r>
      <w:r w:rsidR="00145DBA">
        <w:rPr>
          <w:rFonts w:ascii="Tahoma" w:hAnsi="Tahoma" w:cs="Tahoma"/>
        </w:rPr>
        <w:t xml:space="preserve">na </w:t>
      </w:r>
      <w:r w:rsidRPr="00821AF6">
        <w:rPr>
          <w:rFonts w:ascii="Tahoma" w:hAnsi="Tahoma" w:cs="Tahoma"/>
        </w:rPr>
        <w:t>ładowarki zajezdniowe wolnego ładowania</w:t>
      </w:r>
      <w:r w:rsidR="00A92E6A">
        <w:rPr>
          <w:rFonts w:ascii="Tahoma" w:hAnsi="Tahoma" w:cs="Tahoma"/>
        </w:rPr>
        <w:t xml:space="preserve"> z zasilaniem</w:t>
      </w:r>
      <w:r w:rsidRPr="00821AF6">
        <w:rPr>
          <w:rFonts w:ascii="Tahoma" w:hAnsi="Tahoma" w:cs="Tahoma"/>
        </w:rPr>
        <w:t>, po jednej na</w:t>
      </w:r>
      <w:r w:rsidR="00145DBA">
        <w:rPr>
          <w:rFonts w:ascii="Tahoma" w:hAnsi="Tahoma" w:cs="Tahoma"/>
        </w:rPr>
        <w:t> </w:t>
      </w:r>
      <w:r w:rsidRPr="00821AF6">
        <w:rPr>
          <w:rFonts w:ascii="Tahoma" w:hAnsi="Tahoma" w:cs="Tahoma"/>
        </w:rPr>
        <w:t>każdy zakupiony auto</w:t>
      </w:r>
      <w:r w:rsidR="002952DA">
        <w:rPr>
          <w:rFonts w:ascii="Tahoma" w:hAnsi="Tahoma" w:cs="Tahoma"/>
        </w:rPr>
        <w:t>bus elektryczny</w:t>
      </w:r>
      <w:r w:rsidRPr="00821AF6">
        <w:rPr>
          <w:rFonts w:ascii="Tahoma" w:hAnsi="Tahoma" w:cs="Tahoma"/>
        </w:rPr>
        <w:t>;</w:t>
      </w:r>
    </w:p>
    <w:p w14:paraId="6FCC1582" w14:textId="105BC1EE" w:rsidR="00FE5BE5" w:rsidRDefault="00FE5BE5" w:rsidP="00A4716F">
      <w:pPr>
        <w:pStyle w:val="Akapitzlist"/>
        <w:numPr>
          <w:ilvl w:val="0"/>
          <w:numId w:val="17"/>
        </w:numPr>
        <w:spacing w:after="0" w:line="360" w:lineRule="auto"/>
        <w:ind w:left="357" w:hanging="357"/>
        <w:jc w:val="both"/>
        <w:rPr>
          <w:rFonts w:ascii="Tahoma" w:hAnsi="Tahoma" w:cs="Tahoma"/>
        </w:rPr>
      </w:pPr>
      <w:r w:rsidRPr="00821AF6">
        <w:rPr>
          <w:rFonts w:ascii="Tahoma" w:hAnsi="Tahoma" w:cs="Tahoma"/>
        </w:rPr>
        <w:t>0,</w:t>
      </w:r>
      <w:r w:rsidR="002952DA">
        <w:rPr>
          <w:rFonts w:ascii="Tahoma" w:hAnsi="Tahoma" w:cs="Tahoma"/>
        </w:rPr>
        <w:t>75</w:t>
      </w:r>
      <w:r w:rsidRPr="00821AF6">
        <w:rPr>
          <w:rFonts w:ascii="Tahoma" w:hAnsi="Tahoma" w:cs="Tahoma"/>
        </w:rPr>
        <w:t xml:space="preserve"> mln zł </w:t>
      </w:r>
      <w:r w:rsidR="00145DBA">
        <w:rPr>
          <w:rFonts w:ascii="Tahoma" w:hAnsi="Tahoma" w:cs="Tahoma"/>
        </w:rPr>
        <w:t xml:space="preserve">na </w:t>
      </w:r>
      <w:r w:rsidR="00A92E6A">
        <w:rPr>
          <w:rFonts w:ascii="Tahoma" w:hAnsi="Tahoma" w:cs="Tahoma"/>
        </w:rPr>
        <w:t>instalację szybki</w:t>
      </w:r>
      <w:r w:rsidR="00950717">
        <w:rPr>
          <w:rFonts w:ascii="Tahoma" w:hAnsi="Tahoma" w:cs="Tahoma"/>
        </w:rPr>
        <w:t>ch</w:t>
      </w:r>
      <w:r w:rsidR="00145DBA">
        <w:rPr>
          <w:rFonts w:ascii="Tahoma" w:hAnsi="Tahoma" w:cs="Tahoma"/>
        </w:rPr>
        <w:t xml:space="preserve"> ładowarek </w:t>
      </w:r>
      <w:r w:rsidRPr="00821AF6">
        <w:rPr>
          <w:rFonts w:ascii="Tahoma" w:hAnsi="Tahoma" w:cs="Tahoma"/>
        </w:rPr>
        <w:t>na pętlach</w:t>
      </w:r>
      <w:r w:rsidR="00A92E6A">
        <w:rPr>
          <w:rFonts w:ascii="Tahoma" w:hAnsi="Tahoma" w:cs="Tahoma"/>
        </w:rPr>
        <w:t xml:space="preserve"> autobusowych</w:t>
      </w:r>
      <w:r w:rsidR="00950717">
        <w:rPr>
          <w:rFonts w:ascii="Tahoma" w:hAnsi="Tahoma" w:cs="Tahoma"/>
        </w:rPr>
        <w:t xml:space="preserve"> i zajezdni, na jedn</w:t>
      </w:r>
      <w:r w:rsidR="0002652F">
        <w:rPr>
          <w:rFonts w:ascii="Tahoma" w:hAnsi="Tahoma" w:cs="Tahoma"/>
        </w:rPr>
        <w:t>o stanowisko</w:t>
      </w:r>
      <w:r w:rsidR="00950717">
        <w:rPr>
          <w:rFonts w:ascii="Tahoma" w:hAnsi="Tahoma" w:cs="Tahoma"/>
        </w:rPr>
        <w:t xml:space="preserve"> </w:t>
      </w:r>
      <w:r w:rsidR="0002652F">
        <w:rPr>
          <w:rFonts w:ascii="Tahoma" w:hAnsi="Tahoma" w:cs="Tahoma"/>
        </w:rPr>
        <w:t>do ładowania</w:t>
      </w:r>
      <w:r w:rsidRPr="00821AF6">
        <w:rPr>
          <w:rFonts w:ascii="Tahoma" w:hAnsi="Tahoma" w:cs="Tahoma"/>
        </w:rPr>
        <w:t>;</w:t>
      </w:r>
    </w:p>
    <w:p w14:paraId="03620175" w14:textId="476F62D7" w:rsidR="00FE5BE5" w:rsidRDefault="006D5672" w:rsidP="00A4716F">
      <w:pPr>
        <w:pStyle w:val="Akapitzlist"/>
        <w:numPr>
          <w:ilvl w:val="0"/>
          <w:numId w:val="17"/>
        </w:numPr>
        <w:spacing w:after="0" w:line="360" w:lineRule="auto"/>
        <w:ind w:left="357" w:hanging="357"/>
        <w:jc w:val="both"/>
        <w:rPr>
          <w:rFonts w:ascii="Tahoma" w:hAnsi="Tahoma" w:cs="Tahoma"/>
        </w:rPr>
      </w:pPr>
      <w:r>
        <w:rPr>
          <w:rFonts w:ascii="Tahoma" w:hAnsi="Tahoma" w:cs="Tahoma"/>
        </w:rPr>
        <w:lastRenderedPageBreak/>
        <w:t>0,0</w:t>
      </w:r>
      <w:r w:rsidR="00950717">
        <w:rPr>
          <w:rFonts w:ascii="Tahoma" w:hAnsi="Tahoma" w:cs="Tahoma"/>
        </w:rPr>
        <w:t>45</w:t>
      </w:r>
      <w:r w:rsidR="00FE5BE5" w:rsidRPr="00821AF6">
        <w:rPr>
          <w:rFonts w:ascii="Tahoma" w:hAnsi="Tahoma" w:cs="Tahoma"/>
        </w:rPr>
        <w:t xml:space="preserve"> mln zł </w:t>
      </w:r>
      <w:r w:rsidR="00145DBA">
        <w:rPr>
          <w:rFonts w:ascii="Tahoma" w:hAnsi="Tahoma" w:cs="Tahoma"/>
        </w:rPr>
        <w:t>–</w:t>
      </w:r>
      <w:r w:rsidR="00950717">
        <w:rPr>
          <w:rFonts w:ascii="Tahoma" w:hAnsi="Tahoma" w:cs="Tahoma"/>
        </w:rPr>
        <w:t xml:space="preserve"> </w:t>
      </w:r>
      <w:r w:rsidR="00145DBA">
        <w:rPr>
          <w:rFonts w:ascii="Tahoma" w:hAnsi="Tahoma" w:cs="Tahoma"/>
        </w:rPr>
        <w:t xml:space="preserve">na </w:t>
      </w:r>
      <w:r w:rsidR="00FE5BE5" w:rsidRPr="00821AF6">
        <w:rPr>
          <w:rFonts w:ascii="Tahoma" w:hAnsi="Tahoma" w:cs="Tahoma"/>
        </w:rPr>
        <w:t xml:space="preserve">wymianę baterii o pojemności rzędu </w:t>
      </w:r>
      <w:r w:rsidR="00950717">
        <w:rPr>
          <w:rFonts w:ascii="Tahoma" w:hAnsi="Tahoma" w:cs="Tahoma"/>
        </w:rPr>
        <w:t>9</w:t>
      </w:r>
      <w:r w:rsidR="00A92E6A">
        <w:rPr>
          <w:rFonts w:ascii="Tahoma" w:hAnsi="Tahoma" w:cs="Tahoma"/>
        </w:rPr>
        <w:t>0</w:t>
      </w:r>
      <w:r w:rsidR="00FE5BE5" w:rsidRPr="00821AF6">
        <w:rPr>
          <w:rFonts w:ascii="Tahoma" w:hAnsi="Tahoma" w:cs="Tahoma"/>
        </w:rPr>
        <w:t xml:space="preserve"> kWh po 8 latach eksploatacji bat</w:t>
      </w:r>
      <w:r>
        <w:rPr>
          <w:rFonts w:ascii="Tahoma" w:hAnsi="Tahoma" w:cs="Tahoma"/>
        </w:rPr>
        <w:t>eryjnego autobusu elektrycznego</w:t>
      </w:r>
      <w:r w:rsidR="00145DBA">
        <w:rPr>
          <w:rFonts w:ascii="Tahoma" w:hAnsi="Tahoma" w:cs="Tahoma"/>
        </w:rPr>
        <w:t>;</w:t>
      </w:r>
    </w:p>
    <w:p w14:paraId="172FAB46" w14:textId="53EA784C" w:rsidR="00950717" w:rsidRDefault="00950717" w:rsidP="00A4716F">
      <w:pPr>
        <w:pStyle w:val="Akapitzlist"/>
        <w:numPr>
          <w:ilvl w:val="0"/>
          <w:numId w:val="17"/>
        </w:numPr>
        <w:spacing w:after="0" w:line="360" w:lineRule="auto"/>
        <w:ind w:left="357" w:hanging="357"/>
        <w:jc w:val="both"/>
        <w:rPr>
          <w:rFonts w:ascii="Tahoma" w:hAnsi="Tahoma" w:cs="Tahoma"/>
        </w:rPr>
      </w:pPr>
      <w:r w:rsidRPr="00950717">
        <w:rPr>
          <w:rFonts w:ascii="Tahoma" w:hAnsi="Tahoma" w:cs="Tahoma"/>
        </w:rPr>
        <w:t>0,0</w:t>
      </w:r>
      <w:r>
        <w:rPr>
          <w:rFonts w:ascii="Tahoma" w:hAnsi="Tahoma" w:cs="Tahoma"/>
        </w:rPr>
        <w:t>80</w:t>
      </w:r>
      <w:r w:rsidRPr="00950717">
        <w:rPr>
          <w:rFonts w:ascii="Tahoma" w:hAnsi="Tahoma" w:cs="Tahoma"/>
        </w:rPr>
        <w:t xml:space="preserve"> mln zł – na wymianę baterii o pojemności rzędu </w:t>
      </w:r>
      <w:r>
        <w:rPr>
          <w:rFonts w:ascii="Tahoma" w:hAnsi="Tahoma" w:cs="Tahoma"/>
        </w:rPr>
        <w:t>16</w:t>
      </w:r>
      <w:r w:rsidRPr="00950717">
        <w:rPr>
          <w:rFonts w:ascii="Tahoma" w:hAnsi="Tahoma" w:cs="Tahoma"/>
        </w:rPr>
        <w:t>0 kWh po 8 latach eksploatacji bateryjnego autobusu elektrycznego;</w:t>
      </w:r>
    </w:p>
    <w:p w14:paraId="1C7BF3C6" w14:textId="1F6575E4" w:rsidR="006D5672" w:rsidRPr="00821AF6" w:rsidRDefault="006D5672" w:rsidP="00A4716F">
      <w:pPr>
        <w:pStyle w:val="Akapitzlist"/>
        <w:numPr>
          <w:ilvl w:val="0"/>
          <w:numId w:val="17"/>
        </w:numPr>
        <w:spacing w:after="0" w:line="360" w:lineRule="auto"/>
        <w:ind w:left="357" w:hanging="357"/>
        <w:jc w:val="both"/>
        <w:rPr>
          <w:rFonts w:ascii="Tahoma" w:hAnsi="Tahoma" w:cs="Tahoma"/>
        </w:rPr>
      </w:pPr>
      <w:r>
        <w:rPr>
          <w:rFonts w:ascii="Tahoma" w:hAnsi="Tahoma" w:cs="Tahoma"/>
        </w:rPr>
        <w:t>0,</w:t>
      </w:r>
      <w:r w:rsidR="00A92E6A">
        <w:rPr>
          <w:rFonts w:ascii="Tahoma" w:hAnsi="Tahoma" w:cs="Tahoma"/>
        </w:rPr>
        <w:t>1</w:t>
      </w:r>
      <w:r w:rsidR="00950717">
        <w:rPr>
          <w:rFonts w:ascii="Tahoma" w:hAnsi="Tahoma" w:cs="Tahoma"/>
        </w:rPr>
        <w:t>05</w:t>
      </w:r>
      <w:r>
        <w:rPr>
          <w:rFonts w:ascii="Tahoma" w:hAnsi="Tahoma" w:cs="Tahoma"/>
        </w:rPr>
        <w:t xml:space="preserve"> mln zł </w:t>
      </w:r>
      <w:r w:rsidR="00145DBA">
        <w:rPr>
          <w:rFonts w:ascii="Tahoma" w:hAnsi="Tahoma" w:cs="Tahoma"/>
        </w:rPr>
        <w:t xml:space="preserve">– </w:t>
      </w:r>
      <w:r w:rsidR="00950717" w:rsidRPr="00950717">
        <w:rPr>
          <w:rFonts w:ascii="Tahoma" w:hAnsi="Tahoma" w:cs="Tahoma"/>
        </w:rPr>
        <w:t xml:space="preserve">na wymianę baterii o pojemności rzędu </w:t>
      </w:r>
      <w:r w:rsidR="00A4716F">
        <w:rPr>
          <w:rFonts w:ascii="Tahoma" w:hAnsi="Tahoma" w:cs="Tahoma"/>
        </w:rPr>
        <w:t>21</w:t>
      </w:r>
      <w:r w:rsidR="00950717" w:rsidRPr="00950717">
        <w:rPr>
          <w:rFonts w:ascii="Tahoma" w:hAnsi="Tahoma" w:cs="Tahoma"/>
        </w:rPr>
        <w:t>0 kWh po 8 latach eksploatacji bateryjnego autobusu elektrycznego</w:t>
      </w:r>
      <w:r>
        <w:rPr>
          <w:rFonts w:ascii="Tahoma" w:hAnsi="Tahoma" w:cs="Tahoma"/>
        </w:rPr>
        <w:t>.</w:t>
      </w:r>
    </w:p>
    <w:p w14:paraId="3361D2F2" w14:textId="3EA65A4D" w:rsidR="00C71943" w:rsidRPr="00821AF6" w:rsidRDefault="00C71943" w:rsidP="00FB097A">
      <w:r w:rsidRPr="00821AF6">
        <w:t xml:space="preserve">W przypadku instalacji </w:t>
      </w:r>
      <w:r w:rsidR="00D962A2" w:rsidRPr="00821AF6">
        <w:t>ładowarki</w:t>
      </w:r>
      <w:r w:rsidRPr="00821AF6">
        <w:t xml:space="preserve"> na pętli zwykle konieczne jest także </w:t>
      </w:r>
      <w:r w:rsidR="00843E67" w:rsidRPr="00821AF6">
        <w:t xml:space="preserve">kompleksowe </w:t>
      </w:r>
      <w:r w:rsidRPr="00821AF6">
        <w:t xml:space="preserve">dostosowanie </w:t>
      </w:r>
      <w:r w:rsidR="00D962A2" w:rsidRPr="00821AF6">
        <w:t xml:space="preserve">układu </w:t>
      </w:r>
      <w:r w:rsidRPr="00821AF6">
        <w:t>dróg i placów</w:t>
      </w:r>
      <w:r w:rsidR="00EE4868" w:rsidRPr="00821AF6">
        <w:t xml:space="preserve"> </w:t>
      </w:r>
      <w:r w:rsidRPr="00821AF6">
        <w:t xml:space="preserve">– wraz z umożliwieniem omijania </w:t>
      </w:r>
      <w:r w:rsidR="00EE4868" w:rsidRPr="00821AF6">
        <w:t xml:space="preserve">pojazdów </w:t>
      </w:r>
      <w:r w:rsidR="00A33E60">
        <w:t xml:space="preserve">korzystających w danym czasie z ładowarek, </w:t>
      </w:r>
      <w:r w:rsidRPr="00821AF6">
        <w:t xml:space="preserve">co </w:t>
      </w:r>
      <w:r w:rsidR="00435F0A" w:rsidRPr="00821AF6">
        <w:t xml:space="preserve">również </w:t>
      </w:r>
      <w:r w:rsidRPr="00821AF6">
        <w:t>generuje dodatkowe koszty inwestycyjne.</w:t>
      </w:r>
      <w:r w:rsidR="00EE4868" w:rsidRPr="00821AF6">
        <w:t xml:space="preserve"> Nakładów tych nie uwzględniono, gdyż zwykle ich poniesienie jest zależne od polityki Miasta dotyczącej rozwoju infrastruktury przystankowej, ciągów pieszo-rowerowych, parkingów rowerowych, a</w:t>
      </w:r>
      <w:r w:rsidR="00A33E60">
        <w:t> </w:t>
      </w:r>
      <w:r w:rsidR="00EE4868" w:rsidRPr="00821AF6">
        <w:t>nawet układu drogowego, co nie wynika jedynie z potrzeb dla taboru elektrycznego.</w:t>
      </w:r>
    </w:p>
    <w:p w14:paraId="6C7AE434" w14:textId="2AFDB067" w:rsidR="00700A6C" w:rsidRPr="00821AF6" w:rsidRDefault="00700A6C" w:rsidP="00FB097A">
      <w:pPr>
        <w:pStyle w:val="Akapitzlist"/>
        <w:spacing w:after="0" w:line="360" w:lineRule="auto"/>
        <w:ind w:left="0" w:firstLine="567"/>
        <w:jc w:val="both"/>
        <w:rPr>
          <w:rFonts w:cs="Tahoma"/>
        </w:rPr>
        <w:sectPr w:rsidR="00700A6C" w:rsidRPr="00821AF6" w:rsidSect="00FB1668">
          <w:footerReference w:type="default" r:id="rId17"/>
          <w:pgSz w:w="11906" w:h="16838"/>
          <w:pgMar w:top="1417" w:right="1417" w:bottom="1417" w:left="1417" w:header="708" w:footer="708" w:gutter="0"/>
          <w:cols w:space="708"/>
          <w:docGrid w:linePitch="360"/>
        </w:sectPr>
      </w:pPr>
      <w:r w:rsidRPr="00821AF6">
        <w:rPr>
          <w:rFonts w:ascii="Tahoma" w:hAnsi="Tahoma" w:cs="Tahoma"/>
        </w:rPr>
        <w:t>Nakłady niezbędne do poniesienia na zakup taboru i instalacje zasilające przedstawiono w tabeli </w:t>
      </w:r>
      <w:r w:rsidR="00143304">
        <w:rPr>
          <w:rFonts w:ascii="Tahoma" w:hAnsi="Tahoma" w:cs="Tahoma"/>
        </w:rPr>
        <w:t>10</w:t>
      </w:r>
      <w:r w:rsidR="00921D7D" w:rsidRPr="00821AF6">
        <w:rPr>
          <w:rFonts w:ascii="Tahoma" w:hAnsi="Tahoma" w:cs="Tahoma"/>
        </w:rPr>
        <w:t>. Nakłady</w:t>
      </w:r>
      <w:r w:rsidRPr="00821AF6">
        <w:rPr>
          <w:rFonts w:ascii="Tahoma" w:hAnsi="Tahoma" w:cs="Tahoma"/>
        </w:rPr>
        <w:t xml:space="preserve"> </w:t>
      </w:r>
      <w:r w:rsidR="00FE2CBD" w:rsidRPr="00821AF6">
        <w:rPr>
          <w:rFonts w:ascii="Tahoma" w:hAnsi="Tahoma" w:cs="Tahoma"/>
        </w:rPr>
        <w:t xml:space="preserve">na infrastrukturę </w:t>
      </w:r>
      <w:r w:rsidRPr="00821AF6">
        <w:rPr>
          <w:rFonts w:ascii="Tahoma" w:hAnsi="Tahoma" w:cs="Tahoma"/>
        </w:rPr>
        <w:t xml:space="preserve">uwzględniają </w:t>
      </w:r>
      <w:r w:rsidR="00EE4868" w:rsidRPr="00821AF6">
        <w:rPr>
          <w:rFonts w:ascii="Tahoma" w:hAnsi="Tahoma" w:cs="Tahoma"/>
        </w:rPr>
        <w:t xml:space="preserve">także </w:t>
      </w:r>
      <w:r w:rsidRPr="00821AF6">
        <w:rPr>
          <w:rFonts w:ascii="Tahoma" w:hAnsi="Tahoma" w:cs="Tahoma"/>
        </w:rPr>
        <w:t>koniecznoś</w:t>
      </w:r>
      <w:r w:rsidR="009B7B47" w:rsidRPr="00821AF6">
        <w:rPr>
          <w:rFonts w:ascii="Tahoma" w:hAnsi="Tahoma" w:cs="Tahoma"/>
        </w:rPr>
        <w:t xml:space="preserve">ć </w:t>
      </w:r>
      <w:r w:rsidRPr="00821AF6">
        <w:rPr>
          <w:rFonts w:ascii="Tahoma" w:hAnsi="Tahoma" w:cs="Tahoma"/>
        </w:rPr>
        <w:t>wymiany baterii w pojazdach elektrycznych</w:t>
      </w:r>
      <w:r w:rsidR="00435F0A" w:rsidRPr="00821AF6">
        <w:rPr>
          <w:rFonts w:ascii="Tahoma" w:hAnsi="Tahoma" w:cs="Tahoma"/>
        </w:rPr>
        <w:t xml:space="preserve"> (</w:t>
      </w:r>
      <w:r w:rsidR="00197B78" w:rsidRPr="00821AF6">
        <w:rPr>
          <w:rFonts w:ascii="Tahoma" w:hAnsi="Tahoma" w:cs="Tahoma"/>
        </w:rPr>
        <w:t xml:space="preserve">żywotność </w:t>
      </w:r>
      <w:r w:rsidR="00435F0A" w:rsidRPr="00821AF6">
        <w:rPr>
          <w:rFonts w:ascii="Tahoma" w:hAnsi="Tahoma" w:cs="Tahoma"/>
        </w:rPr>
        <w:t xml:space="preserve">tych baterii </w:t>
      </w:r>
      <w:r w:rsidRPr="00821AF6">
        <w:rPr>
          <w:rFonts w:ascii="Tahoma" w:hAnsi="Tahoma" w:cs="Tahoma"/>
        </w:rPr>
        <w:t xml:space="preserve">przewidziano </w:t>
      </w:r>
      <w:r w:rsidR="00197B78" w:rsidRPr="00821AF6">
        <w:rPr>
          <w:rFonts w:ascii="Tahoma" w:hAnsi="Tahoma" w:cs="Tahoma"/>
        </w:rPr>
        <w:t>na</w:t>
      </w:r>
      <w:r w:rsidRPr="00821AF6">
        <w:rPr>
          <w:rFonts w:ascii="Tahoma" w:hAnsi="Tahoma" w:cs="Tahoma"/>
        </w:rPr>
        <w:t xml:space="preserve"> 8 lat</w:t>
      </w:r>
      <w:r w:rsidR="00435F0A" w:rsidRPr="00821AF6">
        <w:rPr>
          <w:rFonts w:ascii="Tahoma" w:hAnsi="Tahoma" w:cs="Tahoma"/>
        </w:rPr>
        <w:t>).</w:t>
      </w:r>
      <w:r w:rsidRPr="00821AF6">
        <w:rPr>
          <w:rFonts w:cs="Tahoma"/>
        </w:rPr>
        <w:t xml:space="preserve"> </w:t>
      </w:r>
    </w:p>
    <w:p w14:paraId="41919654" w14:textId="5BFBB08C" w:rsidR="00700A6C" w:rsidRPr="00821AF6" w:rsidRDefault="00700A6C" w:rsidP="007F019A">
      <w:pPr>
        <w:pStyle w:val="Legenda"/>
        <w:spacing w:before="240" w:after="0"/>
        <w:ind w:firstLine="0"/>
        <w:jc w:val="left"/>
        <w:rPr>
          <w:color w:val="000000"/>
          <w:sz w:val="22"/>
          <w:szCs w:val="22"/>
        </w:rPr>
      </w:pPr>
      <w:r w:rsidRPr="00821AF6">
        <w:rPr>
          <w:color w:val="000000"/>
          <w:sz w:val="22"/>
          <w:szCs w:val="22"/>
        </w:rPr>
        <w:lastRenderedPageBreak/>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10</w:t>
      </w:r>
      <w:r w:rsidR="00B60ABE" w:rsidRPr="00821AF6">
        <w:rPr>
          <w:color w:val="000000"/>
          <w:sz w:val="22"/>
          <w:szCs w:val="22"/>
        </w:rPr>
        <w:fldChar w:fldCharType="end"/>
      </w:r>
      <w:r w:rsidRPr="00821AF6">
        <w:rPr>
          <w:color w:val="000000"/>
          <w:sz w:val="22"/>
          <w:szCs w:val="22"/>
        </w:rPr>
        <w:t xml:space="preserve">. Planowane nakłady inwestycyjne dla poszczególnych wariantów </w:t>
      </w:r>
      <w:r w:rsidR="00CB6059" w:rsidRPr="00821AF6">
        <w:rPr>
          <w:color w:val="000000"/>
          <w:sz w:val="22"/>
          <w:szCs w:val="22"/>
        </w:rPr>
        <w:t xml:space="preserve">inwestycji taborowych </w:t>
      </w:r>
      <w:r w:rsidR="00024C4B" w:rsidRPr="00821AF6">
        <w:rPr>
          <w:color w:val="000000"/>
          <w:sz w:val="22"/>
          <w:szCs w:val="22"/>
        </w:rPr>
        <w:t>w latach 2021-2036</w:t>
      </w:r>
      <w:r w:rsidR="00767431" w:rsidRPr="00821AF6">
        <w:rPr>
          <w:color w:val="000000"/>
          <w:sz w:val="22"/>
          <w:szCs w:val="22"/>
        </w:rPr>
        <w:t xml:space="preserve"> </w:t>
      </w:r>
      <w:r w:rsidRPr="00821AF6">
        <w:rPr>
          <w:color w:val="000000"/>
          <w:sz w:val="22"/>
          <w:szCs w:val="22"/>
        </w:rPr>
        <w:t>[mln zł]</w:t>
      </w:r>
    </w:p>
    <w:tbl>
      <w:tblPr>
        <w:tblW w:w="140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59"/>
        <w:gridCol w:w="2127"/>
        <w:gridCol w:w="708"/>
        <w:gridCol w:w="709"/>
        <w:gridCol w:w="709"/>
        <w:gridCol w:w="709"/>
        <w:gridCol w:w="708"/>
        <w:gridCol w:w="709"/>
        <w:gridCol w:w="709"/>
        <w:gridCol w:w="709"/>
        <w:gridCol w:w="708"/>
        <w:gridCol w:w="709"/>
        <w:gridCol w:w="709"/>
        <w:gridCol w:w="709"/>
        <w:gridCol w:w="708"/>
        <w:gridCol w:w="709"/>
        <w:gridCol w:w="698"/>
        <w:gridCol w:w="699"/>
      </w:tblGrid>
      <w:tr w:rsidR="00700A6C" w:rsidRPr="00821AF6" w14:paraId="6D500B86" w14:textId="77777777" w:rsidTr="00024C4B">
        <w:trPr>
          <w:cantSplit/>
          <w:tblHeader/>
          <w:jc w:val="center"/>
        </w:trPr>
        <w:tc>
          <w:tcPr>
            <w:tcW w:w="559" w:type="dxa"/>
            <w:vMerge w:val="restart"/>
            <w:shd w:val="clear" w:color="auto" w:fill="FFFF99"/>
            <w:vAlign w:val="center"/>
          </w:tcPr>
          <w:p w14:paraId="0940DCAD" w14:textId="77777777" w:rsidR="00700A6C" w:rsidRPr="00821AF6" w:rsidRDefault="00700A6C" w:rsidP="00FB097A">
            <w:pPr>
              <w:spacing w:before="60" w:after="40" w:line="288" w:lineRule="auto"/>
              <w:ind w:firstLine="0"/>
              <w:jc w:val="center"/>
              <w:rPr>
                <w:rFonts w:cs="Tahoma"/>
                <w:b/>
                <w:sz w:val="18"/>
                <w:szCs w:val="18"/>
              </w:rPr>
            </w:pPr>
            <w:r w:rsidRPr="00821AF6">
              <w:rPr>
                <w:rFonts w:cs="Tahoma"/>
                <w:b/>
                <w:sz w:val="18"/>
                <w:szCs w:val="18"/>
              </w:rPr>
              <w:t>Lp.</w:t>
            </w:r>
          </w:p>
        </w:tc>
        <w:tc>
          <w:tcPr>
            <w:tcW w:w="2127" w:type="dxa"/>
            <w:vMerge w:val="restart"/>
            <w:shd w:val="clear" w:color="auto" w:fill="FFFF99"/>
            <w:vAlign w:val="center"/>
          </w:tcPr>
          <w:p w14:paraId="185E8941" w14:textId="22FA6E2B" w:rsidR="00700A6C" w:rsidRPr="00821AF6" w:rsidRDefault="00143304" w:rsidP="00FB097A">
            <w:pPr>
              <w:spacing w:before="60" w:after="40" w:line="288" w:lineRule="auto"/>
              <w:ind w:firstLine="0"/>
              <w:jc w:val="center"/>
              <w:rPr>
                <w:rFonts w:cs="Tahoma"/>
                <w:b/>
                <w:sz w:val="18"/>
                <w:szCs w:val="18"/>
              </w:rPr>
            </w:pPr>
            <w:r>
              <w:rPr>
                <w:rFonts w:cs="Tahoma"/>
                <w:b/>
                <w:sz w:val="18"/>
                <w:szCs w:val="18"/>
              </w:rPr>
              <w:t>Wyszczególnienie</w:t>
            </w:r>
          </w:p>
        </w:tc>
        <w:tc>
          <w:tcPr>
            <w:tcW w:w="11319" w:type="dxa"/>
            <w:gridSpan w:val="16"/>
            <w:shd w:val="clear" w:color="auto" w:fill="FFFF99"/>
            <w:vAlign w:val="center"/>
          </w:tcPr>
          <w:p w14:paraId="7DC44320" w14:textId="77777777" w:rsidR="00700A6C" w:rsidRPr="00821AF6" w:rsidRDefault="00700A6C" w:rsidP="00FB097A">
            <w:pPr>
              <w:spacing w:before="60" w:after="40" w:line="288" w:lineRule="auto"/>
              <w:ind w:firstLine="0"/>
              <w:jc w:val="center"/>
              <w:rPr>
                <w:rFonts w:cs="Tahoma"/>
                <w:b/>
                <w:sz w:val="18"/>
                <w:szCs w:val="18"/>
              </w:rPr>
            </w:pPr>
            <w:r w:rsidRPr="00821AF6">
              <w:rPr>
                <w:rFonts w:cs="Tahoma"/>
                <w:b/>
                <w:sz w:val="18"/>
                <w:szCs w:val="18"/>
              </w:rPr>
              <w:t>Rozpatrywany rok</w:t>
            </w:r>
          </w:p>
        </w:tc>
      </w:tr>
      <w:tr w:rsidR="00AA2CBF" w:rsidRPr="00821AF6" w14:paraId="5AD1C179" w14:textId="77777777" w:rsidTr="002E37D2">
        <w:trPr>
          <w:cantSplit/>
          <w:tblHeader/>
          <w:jc w:val="center"/>
        </w:trPr>
        <w:tc>
          <w:tcPr>
            <w:tcW w:w="559" w:type="dxa"/>
            <w:vMerge/>
            <w:shd w:val="clear" w:color="auto" w:fill="FFFF99"/>
            <w:vAlign w:val="center"/>
          </w:tcPr>
          <w:p w14:paraId="32D6F8E9" w14:textId="77777777" w:rsidR="00AA2CBF" w:rsidRPr="00821AF6" w:rsidRDefault="00AA2CBF" w:rsidP="00FB097A">
            <w:pPr>
              <w:spacing w:before="60" w:after="40" w:line="288" w:lineRule="auto"/>
              <w:ind w:firstLine="0"/>
              <w:jc w:val="center"/>
              <w:rPr>
                <w:rFonts w:cs="Tahoma"/>
                <w:b/>
                <w:sz w:val="18"/>
                <w:szCs w:val="18"/>
              </w:rPr>
            </w:pPr>
          </w:p>
        </w:tc>
        <w:tc>
          <w:tcPr>
            <w:tcW w:w="2127" w:type="dxa"/>
            <w:vMerge/>
            <w:shd w:val="clear" w:color="auto" w:fill="FFFF99"/>
            <w:vAlign w:val="center"/>
          </w:tcPr>
          <w:p w14:paraId="7C17C567" w14:textId="77777777" w:rsidR="00AA2CBF" w:rsidRPr="00821AF6" w:rsidRDefault="00AA2CBF" w:rsidP="00FB097A">
            <w:pPr>
              <w:spacing w:before="60" w:after="40" w:line="288" w:lineRule="auto"/>
              <w:ind w:firstLine="0"/>
              <w:jc w:val="center"/>
              <w:rPr>
                <w:rFonts w:cs="Tahoma"/>
                <w:b/>
                <w:sz w:val="18"/>
                <w:szCs w:val="18"/>
              </w:rPr>
            </w:pPr>
          </w:p>
        </w:tc>
        <w:tc>
          <w:tcPr>
            <w:tcW w:w="708" w:type="dxa"/>
            <w:shd w:val="clear" w:color="auto" w:fill="FFFF99"/>
            <w:vAlign w:val="center"/>
          </w:tcPr>
          <w:p w14:paraId="36FCFA8D" w14:textId="009E58B1"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2021</w:t>
            </w:r>
          </w:p>
        </w:tc>
        <w:tc>
          <w:tcPr>
            <w:tcW w:w="709" w:type="dxa"/>
            <w:shd w:val="clear" w:color="auto" w:fill="FFFF99"/>
            <w:vAlign w:val="center"/>
          </w:tcPr>
          <w:p w14:paraId="2224D010" w14:textId="36ECD9AB"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2022</w:t>
            </w:r>
          </w:p>
        </w:tc>
        <w:tc>
          <w:tcPr>
            <w:tcW w:w="709" w:type="dxa"/>
            <w:shd w:val="clear" w:color="auto" w:fill="FFFF99"/>
            <w:vAlign w:val="center"/>
          </w:tcPr>
          <w:p w14:paraId="794EAB4F" w14:textId="0D2B34A2"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2023</w:t>
            </w:r>
          </w:p>
        </w:tc>
        <w:tc>
          <w:tcPr>
            <w:tcW w:w="709" w:type="dxa"/>
            <w:shd w:val="clear" w:color="auto" w:fill="FFFF99"/>
            <w:vAlign w:val="center"/>
          </w:tcPr>
          <w:p w14:paraId="5A0EEA10" w14:textId="7FF0ABC9"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2024</w:t>
            </w:r>
          </w:p>
        </w:tc>
        <w:tc>
          <w:tcPr>
            <w:tcW w:w="708" w:type="dxa"/>
            <w:shd w:val="clear" w:color="auto" w:fill="FFFF99"/>
            <w:vAlign w:val="center"/>
          </w:tcPr>
          <w:p w14:paraId="0936451A" w14:textId="14308941"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2025</w:t>
            </w:r>
          </w:p>
        </w:tc>
        <w:tc>
          <w:tcPr>
            <w:tcW w:w="709" w:type="dxa"/>
            <w:shd w:val="clear" w:color="auto" w:fill="FFFF99"/>
            <w:vAlign w:val="center"/>
          </w:tcPr>
          <w:p w14:paraId="0205AF65" w14:textId="2F8567C7"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2026</w:t>
            </w:r>
          </w:p>
        </w:tc>
        <w:tc>
          <w:tcPr>
            <w:tcW w:w="709" w:type="dxa"/>
            <w:shd w:val="clear" w:color="auto" w:fill="FFFF99"/>
            <w:vAlign w:val="center"/>
          </w:tcPr>
          <w:p w14:paraId="2F266AF7" w14:textId="702EDB35"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2027</w:t>
            </w:r>
          </w:p>
        </w:tc>
        <w:tc>
          <w:tcPr>
            <w:tcW w:w="709" w:type="dxa"/>
            <w:shd w:val="clear" w:color="auto" w:fill="FFFF99"/>
            <w:vAlign w:val="center"/>
          </w:tcPr>
          <w:p w14:paraId="6FE26530" w14:textId="1EF5FA75"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2028</w:t>
            </w:r>
          </w:p>
        </w:tc>
        <w:tc>
          <w:tcPr>
            <w:tcW w:w="708" w:type="dxa"/>
            <w:shd w:val="clear" w:color="auto" w:fill="FFFF99"/>
            <w:vAlign w:val="center"/>
          </w:tcPr>
          <w:p w14:paraId="5B50E303" w14:textId="6346A976"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2029</w:t>
            </w:r>
          </w:p>
        </w:tc>
        <w:tc>
          <w:tcPr>
            <w:tcW w:w="709" w:type="dxa"/>
            <w:shd w:val="clear" w:color="auto" w:fill="FFFF99"/>
            <w:vAlign w:val="center"/>
          </w:tcPr>
          <w:p w14:paraId="4921DE9A" w14:textId="35F63927"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2030</w:t>
            </w:r>
          </w:p>
        </w:tc>
        <w:tc>
          <w:tcPr>
            <w:tcW w:w="709" w:type="dxa"/>
            <w:shd w:val="clear" w:color="auto" w:fill="FFFF99"/>
            <w:vAlign w:val="center"/>
          </w:tcPr>
          <w:p w14:paraId="3365A518" w14:textId="6504A563"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2031</w:t>
            </w:r>
          </w:p>
        </w:tc>
        <w:tc>
          <w:tcPr>
            <w:tcW w:w="709" w:type="dxa"/>
            <w:shd w:val="clear" w:color="auto" w:fill="FFFF99"/>
            <w:vAlign w:val="center"/>
          </w:tcPr>
          <w:p w14:paraId="5D7B59D1" w14:textId="6D7384EC"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2032</w:t>
            </w:r>
          </w:p>
        </w:tc>
        <w:tc>
          <w:tcPr>
            <w:tcW w:w="708" w:type="dxa"/>
            <w:shd w:val="clear" w:color="auto" w:fill="FFFF99"/>
            <w:vAlign w:val="center"/>
          </w:tcPr>
          <w:p w14:paraId="6031876F" w14:textId="5C80C3E6"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2033</w:t>
            </w:r>
          </w:p>
        </w:tc>
        <w:tc>
          <w:tcPr>
            <w:tcW w:w="709" w:type="dxa"/>
            <w:shd w:val="clear" w:color="auto" w:fill="FFFF99"/>
            <w:vAlign w:val="center"/>
          </w:tcPr>
          <w:p w14:paraId="6725855D" w14:textId="33D1E948" w:rsidR="00AA2CBF" w:rsidRPr="00821AF6" w:rsidRDefault="00AA2CBF" w:rsidP="00FB097A">
            <w:pPr>
              <w:spacing w:before="60" w:after="40" w:line="288" w:lineRule="auto"/>
              <w:ind w:firstLine="0"/>
              <w:jc w:val="center"/>
              <w:rPr>
                <w:rFonts w:cs="Tahoma"/>
                <w:b/>
                <w:sz w:val="18"/>
                <w:szCs w:val="18"/>
              </w:rPr>
            </w:pPr>
            <w:r w:rsidRPr="00821AF6">
              <w:rPr>
                <w:rFonts w:cs="Tahoma"/>
                <w:b/>
                <w:sz w:val="18"/>
                <w:szCs w:val="18"/>
              </w:rPr>
              <w:t>2034</w:t>
            </w:r>
          </w:p>
        </w:tc>
        <w:tc>
          <w:tcPr>
            <w:tcW w:w="698" w:type="dxa"/>
            <w:shd w:val="clear" w:color="auto" w:fill="FFFF99"/>
            <w:vAlign w:val="center"/>
          </w:tcPr>
          <w:p w14:paraId="0C33EA0D" w14:textId="77777777" w:rsidR="00AA2CBF" w:rsidRPr="00821AF6" w:rsidRDefault="00AA2CBF" w:rsidP="00FB097A">
            <w:pPr>
              <w:spacing w:before="60" w:after="40" w:line="288" w:lineRule="auto"/>
              <w:ind w:firstLine="0"/>
              <w:jc w:val="center"/>
              <w:rPr>
                <w:rFonts w:cs="Tahoma"/>
                <w:b/>
                <w:sz w:val="18"/>
                <w:szCs w:val="18"/>
              </w:rPr>
            </w:pPr>
            <w:r>
              <w:rPr>
                <w:rFonts w:cs="Tahoma"/>
                <w:b/>
                <w:sz w:val="18"/>
                <w:szCs w:val="18"/>
              </w:rPr>
              <w:t>2035</w:t>
            </w:r>
          </w:p>
        </w:tc>
        <w:tc>
          <w:tcPr>
            <w:tcW w:w="699" w:type="dxa"/>
            <w:shd w:val="clear" w:color="auto" w:fill="FFFF99"/>
            <w:vAlign w:val="center"/>
          </w:tcPr>
          <w:p w14:paraId="257A2B09" w14:textId="0ACDF3F6" w:rsidR="00AA2CBF" w:rsidRPr="00821AF6" w:rsidRDefault="00AA2CBF" w:rsidP="00FB097A">
            <w:pPr>
              <w:spacing w:before="60" w:after="40" w:line="288" w:lineRule="auto"/>
              <w:ind w:firstLine="0"/>
              <w:jc w:val="center"/>
              <w:rPr>
                <w:rFonts w:cs="Tahoma"/>
                <w:b/>
                <w:sz w:val="18"/>
                <w:szCs w:val="18"/>
              </w:rPr>
            </w:pPr>
            <w:r>
              <w:rPr>
                <w:rFonts w:cs="Tahoma"/>
                <w:b/>
                <w:sz w:val="18"/>
                <w:szCs w:val="18"/>
              </w:rPr>
              <w:t>2036</w:t>
            </w:r>
          </w:p>
        </w:tc>
      </w:tr>
      <w:tr w:rsidR="00700A6C" w:rsidRPr="00821AF6" w14:paraId="2952A922" w14:textId="77777777" w:rsidTr="00826809">
        <w:trPr>
          <w:cantSplit/>
          <w:jc w:val="center"/>
        </w:trPr>
        <w:tc>
          <w:tcPr>
            <w:tcW w:w="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F82A8E" w14:textId="77777777" w:rsidR="00700A6C" w:rsidRPr="00821AF6" w:rsidRDefault="00700A6C" w:rsidP="00FB097A">
            <w:pPr>
              <w:spacing w:before="60" w:after="40" w:line="288" w:lineRule="auto"/>
              <w:ind w:firstLine="0"/>
              <w:jc w:val="center"/>
              <w:rPr>
                <w:rFonts w:cs="Tahoma"/>
                <w:b/>
                <w:sz w:val="18"/>
                <w:szCs w:val="18"/>
              </w:rPr>
            </w:pPr>
            <w:r w:rsidRPr="00821AF6">
              <w:rPr>
                <w:rFonts w:cs="Tahoma"/>
                <w:b/>
                <w:sz w:val="18"/>
                <w:szCs w:val="18"/>
              </w:rPr>
              <w:t>1</w:t>
            </w:r>
          </w:p>
        </w:tc>
        <w:tc>
          <w:tcPr>
            <w:tcW w:w="13446"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855D22" w14:textId="31962AE0" w:rsidR="00700A6C" w:rsidRPr="00821AF6" w:rsidRDefault="00AA2CBF" w:rsidP="00FB097A">
            <w:pPr>
              <w:spacing w:before="60" w:after="40" w:line="288" w:lineRule="auto"/>
              <w:ind w:firstLine="0"/>
              <w:jc w:val="left"/>
              <w:rPr>
                <w:rFonts w:cs="Tahoma"/>
                <w:b/>
                <w:sz w:val="18"/>
                <w:szCs w:val="18"/>
              </w:rPr>
            </w:pPr>
            <w:r>
              <w:rPr>
                <w:rFonts w:cs="Tahoma"/>
                <w:b/>
                <w:sz w:val="18"/>
                <w:szCs w:val="18"/>
              </w:rPr>
              <w:t xml:space="preserve">Wariant </w:t>
            </w:r>
            <w:r w:rsidR="00700A6C" w:rsidRPr="00821AF6">
              <w:rPr>
                <w:rFonts w:cs="Tahoma"/>
                <w:b/>
                <w:sz w:val="18"/>
                <w:szCs w:val="18"/>
              </w:rPr>
              <w:t>konwencjonalny</w:t>
            </w:r>
          </w:p>
        </w:tc>
      </w:tr>
      <w:tr w:rsidR="00295527" w:rsidRPr="00821AF6" w14:paraId="626DC291"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32F57A3" w14:textId="77777777" w:rsidR="00295527" w:rsidRPr="00821AF6" w:rsidRDefault="00295527" w:rsidP="00295527">
            <w:pPr>
              <w:spacing w:before="60" w:after="40" w:line="288" w:lineRule="auto"/>
              <w:ind w:firstLine="0"/>
              <w:jc w:val="center"/>
              <w:rPr>
                <w:rFonts w:cs="Tahoma"/>
                <w:sz w:val="18"/>
                <w:szCs w:val="18"/>
              </w:rPr>
            </w:pPr>
            <w:r w:rsidRPr="00821AF6">
              <w:rPr>
                <w:rFonts w:cs="Tahoma"/>
                <w:sz w:val="18"/>
                <w:szCs w:val="18"/>
              </w:rPr>
              <w:t>1.1</w:t>
            </w:r>
          </w:p>
        </w:tc>
        <w:tc>
          <w:tcPr>
            <w:tcW w:w="2127" w:type="dxa"/>
            <w:tcBorders>
              <w:top w:val="single" w:sz="4" w:space="0" w:color="auto"/>
              <w:left w:val="single" w:sz="4" w:space="0" w:color="auto"/>
              <w:bottom w:val="single" w:sz="4" w:space="0" w:color="auto"/>
              <w:right w:val="single" w:sz="4" w:space="0" w:color="auto"/>
            </w:tcBorders>
            <w:vAlign w:val="center"/>
          </w:tcPr>
          <w:p w14:paraId="2A4203B3" w14:textId="363BCF33" w:rsidR="00295527" w:rsidRPr="00821AF6" w:rsidRDefault="00295527" w:rsidP="00295527">
            <w:pPr>
              <w:spacing w:before="60" w:after="40" w:line="288" w:lineRule="auto"/>
              <w:ind w:firstLine="0"/>
              <w:jc w:val="left"/>
              <w:rPr>
                <w:rFonts w:cs="Tahoma"/>
                <w:sz w:val="18"/>
                <w:szCs w:val="18"/>
              </w:rPr>
            </w:pPr>
            <w:r w:rsidRPr="00821AF6">
              <w:rPr>
                <w:rFonts w:cs="Tahoma"/>
                <w:sz w:val="18"/>
                <w:szCs w:val="18"/>
              </w:rPr>
              <w:t>Autobusy</w:t>
            </w:r>
            <w:r>
              <w:rPr>
                <w:rFonts w:cs="Tahoma"/>
                <w:sz w:val="18"/>
                <w:szCs w:val="18"/>
              </w:rPr>
              <w:t xml:space="preserve"> ON</w:t>
            </w:r>
          </w:p>
        </w:tc>
        <w:tc>
          <w:tcPr>
            <w:tcW w:w="708" w:type="dxa"/>
            <w:tcBorders>
              <w:top w:val="single" w:sz="4" w:space="0" w:color="auto"/>
              <w:left w:val="single" w:sz="4" w:space="0" w:color="auto"/>
              <w:bottom w:val="single" w:sz="4" w:space="0" w:color="auto"/>
              <w:right w:val="single" w:sz="4" w:space="0" w:color="auto"/>
            </w:tcBorders>
            <w:vAlign w:val="center"/>
          </w:tcPr>
          <w:p w14:paraId="4194AAB1" w14:textId="142A3D5C"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F6518C5" w14:textId="4D3357AA"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47440EA" w14:textId="71DB4F40"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AEB3AE1" w14:textId="1397A328" w:rsidR="00295527" w:rsidRPr="00821AF6" w:rsidRDefault="00295527" w:rsidP="00295527">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0D3EBCD5" w14:textId="228AA433" w:rsidR="00295527" w:rsidRPr="00145DBA" w:rsidRDefault="00295527" w:rsidP="00295527">
            <w:pPr>
              <w:spacing w:before="60" w:after="40" w:line="288" w:lineRule="auto"/>
              <w:ind w:firstLine="0"/>
              <w:jc w:val="right"/>
              <w:rPr>
                <w:rFonts w:cs="Tahoma"/>
                <w:sz w:val="18"/>
                <w:szCs w:val="18"/>
              </w:rPr>
            </w:pPr>
            <w:r>
              <w:rPr>
                <w:rFonts w:cs="Tahoma"/>
                <w:sz w:val="18"/>
                <w:szCs w:val="18"/>
              </w:rPr>
              <w:t>1,18</w:t>
            </w:r>
          </w:p>
        </w:tc>
        <w:tc>
          <w:tcPr>
            <w:tcW w:w="709" w:type="dxa"/>
            <w:tcBorders>
              <w:top w:val="single" w:sz="4" w:space="0" w:color="auto"/>
              <w:left w:val="single" w:sz="4" w:space="0" w:color="auto"/>
              <w:bottom w:val="single" w:sz="4" w:space="0" w:color="auto"/>
              <w:right w:val="single" w:sz="4" w:space="0" w:color="auto"/>
            </w:tcBorders>
            <w:vAlign w:val="center"/>
          </w:tcPr>
          <w:p w14:paraId="3ADEEADB" w14:textId="72E60EF3" w:rsidR="00295527" w:rsidRPr="00145DBA" w:rsidRDefault="00295527" w:rsidP="00295527">
            <w:pPr>
              <w:spacing w:before="60" w:after="40" w:line="288" w:lineRule="auto"/>
              <w:ind w:firstLine="0"/>
              <w:jc w:val="right"/>
              <w:rPr>
                <w:rFonts w:cs="Tahoma"/>
                <w:sz w:val="18"/>
                <w:szCs w:val="18"/>
              </w:rPr>
            </w:pPr>
            <w:r>
              <w:rPr>
                <w:rFonts w:cs="Tahoma"/>
                <w:sz w:val="18"/>
                <w:szCs w:val="18"/>
              </w:rPr>
              <w:t>9,80</w:t>
            </w:r>
          </w:p>
        </w:tc>
        <w:tc>
          <w:tcPr>
            <w:tcW w:w="709" w:type="dxa"/>
            <w:tcBorders>
              <w:top w:val="single" w:sz="4" w:space="0" w:color="auto"/>
              <w:left w:val="single" w:sz="4" w:space="0" w:color="auto"/>
              <w:bottom w:val="single" w:sz="4" w:space="0" w:color="auto"/>
              <w:right w:val="single" w:sz="4" w:space="0" w:color="auto"/>
            </w:tcBorders>
            <w:vAlign w:val="center"/>
          </w:tcPr>
          <w:p w14:paraId="14E4A53C" w14:textId="29FE7412" w:rsidR="00295527" w:rsidRPr="00145DBA" w:rsidRDefault="00295527" w:rsidP="00295527">
            <w:pPr>
              <w:spacing w:before="60" w:after="40" w:line="288" w:lineRule="auto"/>
              <w:ind w:firstLine="0"/>
              <w:jc w:val="right"/>
              <w:rPr>
                <w:rFonts w:cs="Tahoma"/>
                <w:sz w:val="18"/>
                <w:szCs w:val="18"/>
              </w:rPr>
            </w:pPr>
            <w:r>
              <w:rPr>
                <w:rFonts w:cs="Tahoma"/>
                <w:sz w:val="18"/>
                <w:szCs w:val="18"/>
              </w:rPr>
              <w:t>9,80</w:t>
            </w:r>
          </w:p>
        </w:tc>
        <w:tc>
          <w:tcPr>
            <w:tcW w:w="709" w:type="dxa"/>
            <w:tcBorders>
              <w:top w:val="single" w:sz="4" w:space="0" w:color="auto"/>
              <w:left w:val="single" w:sz="4" w:space="0" w:color="auto"/>
              <w:bottom w:val="single" w:sz="4" w:space="0" w:color="auto"/>
              <w:right w:val="single" w:sz="4" w:space="0" w:color="auto"/>
            </w:tcBorders>
            <w:vAlign w:val="center"/>
          </w:tcPr>
          <w:p w14:paraId="22A3A1D3" w14:textId="4DC39822" w:rsidR="00295527" w:rsidRPr="00145DBA" w:rsidRDefault="00295527" w:rsidP="00295527">
            <w:pPr>
              <w:spacing w:before="60" w:after="40" w:line="288" w:lineRule="auto"/>
              <w:ind w:firstLine="0"/>
              <w:jc w:val="right"/>
              <w:rPr>
                <w:rFonts w:cs="Tahoma"/>
                <w:sz w:val="18"/>
                <w:szCs w:val="18"/>
              </w:rPr>
            </w:pPr>
            <w:r>
              <w:rPr>
                <w:rFonts w:cs="Tahoma"/>
                <w:sz w:val="18"/>
                <w:szCs w:val="18"/>
              </w:rPr>
              <w:t>23,30</w:t>
            </w:r>
          </w:p>
        </w:tc>
        <w:tc>
          <w:tcPr>
            <w:tcW w:w="708" w:type="dxa"/>
            <w:tcBorders>
              <w:top w:val="single" w:sz="4" w:space="0" w:color="auto"/>
              <w:left w:val="single" w:sz="4" w:space="0" w:color="auto"/>
              <w:bottom w:val="single" w:sz="4" w:space="0" w:color="auto"/>
              <w:right w:val="single" w:sz="4" w:space="0" w:color="auto"/>
            </w:tcBorders>
            <w:vAlign w:val="center"/>
          </w:tcPr>
          <w:p w14:paraId="7A83E9E0" w14:textId="02521E98"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1B0287E" w14:textId="786922DC" w:rsidR="00295527" w:rsidRPr="00145DBA" w:rsidRDefault="00295527" w:rsidP="00295527">
            <w:pPr>
              <w:spacing w:before="60" w:after="40" w:line="288" w:lineRule="auto"/>
              <w:ind w:firstLine="0"/>
              <w:jc w:val="right"/>
              <w:rPr>
                <w:rFonts w:cs="Tahoma"/>
                <w:sz w:val="18"/>
                <w:szCs w:val="18"/>
              </w:rPr>
            </w:pPr>
            <w:r>
              <w:rPr>
                <w:rFonts w:cs="Tahoma"/>
                <w:sz w:val="18"/>
                <w:szCs w:val="18"/>
              </w:rPr>
              <w:t>4,50</w:t>
            </w:r>
          </w:p>
        </w:tc>
        <w:tc>
          <w:tcPr>
            <w:tcW w:w="709" w:type="dxa"/>
            <w:tcBorders>
              <w:top w:val="single" w:sz="4" w:space="0" w:color="auto"/>
              <w:left w:val="single" w:sz="4" w:space="0" w:color="auto"/>
              <w:bottom w:val="single" w:sz="4" w:space="0" w:color="auto"/>
              <w:right w:val="single" w:sz="4" w:space="0" w:color="auto"/>
            </w:tcBorders>
            <w:vAlign w:val="center"/>
          </w:tcPr>
          <w:p w14:paraId="4E0E35D3" w14:textId="69AFE8B2" w:rsidR="00295527" w:rsidRPr="00145DBA" w:rsidRDefault="00295527" w:rsidP="00295527">
            <w:pPr>
              <w:spacing w:before="60" w:after="40" w:line="288" w:lineRule="auto"/>
              <w:ind w:firstLine="0"/>
              <w:jc w:val="right"/>
              <w:rPr>
                <w:rFonts w:cs="Tahoma"/>
                <w:sz w:val="18"/>
                <w:szCs w:val="18"/>
              </w:rPr>
            </w:pPr>
            <w:r>
              <w:rPr>
                <w:rFonts w:cs="Tahoma"/>
                <w:sz w:val="18"/>
                <w:szCs w:val="18"/>
              </w:rPr>
              <w:t>1,96</w:t>
            </w:r>
          </w:p>
        </w:tc>
        <w:tc>
          <w:tcPr>
            <w:tcW w:w="709" w:type="dxa"/>
            <w:tcBorders>
              <w:top w:val="single" w:sz="4" w:space="0" w:color="auto"/>
              <w:left w:val="single" w:sz="4" w:space="0" w:color="auto"/>
              <w:bottom w:val="single" w:sz="4" w:space="0" w:color="auto"/>
              <w:right w:val="single" w:sz="4" w:space="0" w:color="auto"/>
            </w:tcBorders>
            <w:vAlign w:val="center"/>
          </w:tcPr>
          <w:p w14:paraId="1233C782" w14:textId="5C123459" w:rsidR="00295527" w:rsidRPr="00145DBA" w:rsidRDefault="00295527" w:rsidP="00295527">
            <w:pPr>
              <w:spacing w:before="60" w:after="40" w:line="288" w:lineRule="auto"/>
              <w:ind w:firstLine="0"/>
              <w:jc w:val="right"/>
              <w:rPr>
                <w:rFonts w:cs="Tahoma"/>
                <w:sz w:val="18"/>
                <w:szCs w:val="18"/>
              </w:rPr>
            </w:pPr>
            <w:r>
              <w:rPr>
                <w:rFonts w:cs="Tahoma"/>
                <w:sz w:val="18"/>
                <w:szCs w:val="18"/>
              </w:rPr>
              <w:t>4,90</w:t>
            </w:r>
          </w:p>
        </w:tc>
        <w:tc>
          <w:tcPr>
            <w:tcW w:w="708" w:type="dxa"/>
            <w:tcBorders>
              <w:top w:val="single" w:sz="4" w:space="0" w:color="auto"/>
              <w:left w:val="single" w:sz="4" w:space="0" w:color="auto"/>
              <w:bottom w:val="single" w:sz="4" w:space="0" w:color="auto"/>
              <w:right w:val="single" w:sz="4" w:space="0" w:color="auto"/>
            </w:tcBorders>
            <w:vAlign w:val="center"/>
          </w:tcPr>
          <w:p w14:paraId="67797042" w14:textId="7ECC0ACE" w:rsidR="00295527" w:rsidRPr="00145DBA" w:rsidRDefault="00295527" w:rsidP="00295527">
            <w:pPr>
              <w:spacing w:before="60" w:after="40" w:line="288" w:lineRule="auto"/>
              <w:ind w:firstLine="0"/>
              <w:jc w:val="right"/>
              <w:rPr>
                <w:rFonts w:cs="Tahoma"/>
                <w:sz w:val="18"/>
                <w:szCs w:val="18"/>
              </w:rPr>
            </w:pPr>
            <w:r>
              <w:rPr>
                <w:rFonts w:cs="Tahoma"/>
                <w:sz w:val="18"/>
                <w:szCs w:val="18"/>
              </w:rPr>
              <w:t>21,30</w:t>
            </w:r>
          </w:p>
        </w:tc>
        <w:tc>
          <w:tcPr>
            <w:tcW w:w="709" w:type="dxa"/>
            <w:tcBorders>
              <w:top w:val="single" w:sz="4" w:space="0" w:color="auto"/>
              <w:left w:val="single" w:sz="4" w:space="0" w:color="auto"/>
              <w:bottom w:val="single" w:sz="4" w:space="0" w:color="auto"/>
              <w:right w:val="single" w:sz="4" w:space="0" w:color="auto"/>
            </w:tcBorders>
            <w:vAlign w:val="center"/>
          </w:tcPr>
          <w:p w14:paraId="38D4905C" w14:textId="3320C982" w:rsidR="00295527" w:rsidRPr="00145DBA" w:rsidRDefault="00295527" w:rsidP="00295527">
            <w:pPr>
              <w:spacing w:before="60" w:after="40" w:line="288" w:lineRule="auto"/>
              <w:ind w:firstLine="0"/>
              <w:jc w:val="right"/>
              <w:rPr>
                <w:rFonts w:cs="Tahoma"/>
                <w:sz w:val="18"/>
                <w:szCs w:val="18"/>
              </w:rPr>
            </w:pPr>
            <w:r>
              <w:rPr>
                <w:rFonts w:cs="Tahoma"/>
                <w:sz w:val="18"/>
                <w:szCs w:val="18"/>
              </w:rPr>
              <w:t>21,30</w:t>
            </w:r>
          </w:p>
        </w:tc>
        <w:tc>
          <w:tcPr>
            <w:tcW w:w="698" w:type="dxa"/>
            <w:tcBorders>
              <w:top w:val="single" w:sz="4" w:space="0" w:color="auto"/>
              <w:left w:val="single" w:sz="4" w:space="0" w:color="auto"/>
              <w:bottom w:val="single" w:sz="4" w:space="0" w:color="auto"/>
              <w:right w:val="single" w:sz="4" w:space="0" w:color="auto"/>
            </w:tcBorders>
            <w:vAlign w:val="center"/>
          </w:tcPr>
          <w:p w14:paraId="28E24C1C" w14:textId="1C4A8CED"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699" w:type="dxa"/>
            <w:tcBorders>
              <w:top w:val="single" w:sz="4" w:space="0" w:color="auto"/>
              <w:left w:val="single" w:sz="4" w:space="0" w:color="auto"/>
              <w:bottom w:val="single" w:sz="4" w:space="0" w:color="auto"/>
              <w:right w:val="single" w:sz="4" w:space="0" w:color="auto"/>
            </w:tcBorders>
            <w:vAlign w:val="center"/>
          </w:tcPr>
          <w:p w14:paraId="4DB2E0FA" w14:textId="1D5DD964"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r>
      <w:tr w:rsidR="00295527" w:rsidRPr="00821AF6" w14:paraId="36E6D808"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43AEDAF3" w14:textId="50FA6A12" w:rsidR="00295527" w:rsidRPr="00821AF6" w:rsidRDefault="00295527" w:rsidP="00295527">
            <w:pPr>
              <w:spacing w:before="60" w:after="40" w:line="288" w:lineRule="auto"/>
              <w:ind w:firstLine="0"/>
              <w:jc w:val="center"/>
              <w:rPr>
                <w:rFonts w:cs="Tahoma"/>
                <w:sz w:val="18"/>
                <w:szCs w:val="18"/>
              </w:rPr>
            </w:pPr>
            <w:r w:rsidRPr="00821AF6">
              <w:rPr>
                <w:rFonts w:cs="Tahoma"/>
                <w:sz w:val="18"/>
                <w:szCs w:val="18"/>
              </w:rPr>
              <w:t>1.2</w:t>
            </w:r>
          </w:p>
        </w:tc>
        <w:tc>
          <w:tcPr>
            <w:tcW w:w="2127" w:type="dxa"/>
            <w:tcBorders>
              <w:top w:val="single" w:sz="4" w:space="0" w:color="auto"/>
              <w:left w:val="single" w:sz="4" w:space="0" w:color="auto"/>
              <w:bottom w:val="single" w:sz="4" w:space="0" w:color="auto"/>
              <w:right w:val="single" w:sz="4" w:space="0" w:color="auto"/>
            </w:tcBorders>
            <w:vAlign w:val="center"/>
          </w:tcPr>
          <w:p w14:paraId="2612639C" w14:textId="16497DE1" w:rsidR="00295527" w:rsidRPr="00821AF6" w:rsidRDefault="00295527" w:rsidP="00295527">
            <w:pPr>
              <w:spacing w:before="60" w:after="40" w:line="288" w:lineRule="auto"/>
              <w:ind w:firstLine="0"/>
              <w:jc w:val="left"/>
              <w:rPr>
                <w:rFonts w:cs="Tahoma"/>
                <w:sz w:val="18"/>
                <w:szCs w:val="18"/>
              </w:rPr>
            </w:pPr>
            <w:r w:rsidRPr="00821AF6">
              <w:rPr>
                <w:rFonts w:cs="Tahoma"/>
                <w:sz w:val="18"/>
                <w:szCs w:val="18"/>
              </w:rPr>
              <w:t>Autobusy</w:t>
            </w:r>
            <w:r>
              <w:rPr>
                <w:rFonts w:cs="Tahoma"/>
                <w:sz w:val="18"/>
                <w:szCs w:val="18"/>
              </w:rPr>
              <w:t xml:space="preserve"> CNG</w:t>
            </w:r>
          </w:p>
        </w:tc>
        <w:tc>
          <w:tcPr>
            <w:tcW w:w="708" w:type="dxa"/>
            <w:tcBorders>
              <w:top w:val="single" w:sz="4" w:space="0" w:color="auto"/>
              <w:left w:val="single" w:sz="4" w:space="0" w:color="auto"/>
              <w:bottom w:val="single" w:sz="4" w:space="0" w:color="auto"/>
              <w:right w:val="single" w:sz="4" w:space="0" w:color="auto"/>
            </w:tcBorders>
            <w:vAlign w:val="center"/>
          </w:tcPr>
          <w:p w14:paraId="2A842E84" w14:textId="6BA5407D"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BF94570" w14:textId="45B6F617"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4E9981B" w14:textId="057C36FA" w:rsidR="00295527" w:rsidRPr="00145DBA" w:rsidRDefault="00295527" w:rsidP="00295527">
            <w:pPr>
              <w:spacing w:before="60" w:after="40" w:line="288" w:lineRule="auto"/>
              <w:ind w:firstLine="0"/>
              <w:jc w:val="right"/>
              <w:rPr>
                <w:rFonts w:cs="Tahoma"/>
                <w:sz w:val="18"/>
                <w:szCs w:val="18"/>
              </w:rPr>
            </w:pPr>
            <w:r>
              <w:rPr>
                <w:rFonts w:cs="Tahoma"/>
                <w:sz w:val="18"/>
                <w:szCs w:val="18"/>
              </w:rPr>
              <w:t>21,16</w:t>
            </w:r>
          </w:p>
        </w:tc>
        <w:tc>
          <w:tcPr>
            <w:tcW w:w="709" w:type="dxa"/>
            <w:tcBorders>
              <w:top w:val="single" w:sz="4" w:space="0" w:color="auto"/>
              <w:left w:val="single" w:sz="4" w:space="0" w:color="auto"/>
              <w:bottom w:val="single" w:sz="4" w:space="0" w:color="auto"/>
              <w:right w:val="single" w:sz="4" w:space="0" w:color="auto"/>
            </w:tcBorders>
            <w:vAlign w:val="center"/>
          </w:tcPr>
          <w:p w14:paraId="607D030C" w14:textId="3B5AE483" w:rsidR="00295527" w:rsidRPr="00821AF6" w:rsidRDefault="00295527" w:rsidP="00295527">
            <w:pPr>
              <w:spacing w:before="60" w:after="40" w:line="288" w:lineRule="auto"/>
              <w:ind w:firstLine="0"/>
              <w:jc w:val="right"/>
              <w:rPr>
                <w:rFonts w:cs="Tahoma"/>
                <w:sz w:val="18"/>
                <w:szCs w:val="18"/>
              </w:rPr>
            </w:pPr>
            <w:r>
              <w:rPr>
                <w:rFonts w:cs="Tahoma"/>
                <w:sz w:val="18"/>
                <w:szCs w:val="18"/>
              </w:rPr>
              <w:t>6,72</w:t>
            </w:r>
          </w:p>
        </w:tc>
        <w:tc>
          <w:tcPr>
            <w:tcW w:w="708" w:type="dxa"/>
            <w:tcBorders>
              <w:top w:val="single" w:sz="4" w:space="0" w:color="auto"/>
              <w:left w:val="single" w:sz="4" w:space="0" w:color="auto"/>
              <w:bottom w:val="single" w:sz="4" w:space="0" w:color="auto"/>
              <w:right w:val="single" w:sz="4" w:space="0" w:color="auto"/>
            </w:tcBorders>
            <w:vAlign w:val="center"/>
          </w:tcPr>
          <w:p w14:paraId="36EAC8E3" w14:textId="3BC9FC30"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8298B06" w14:textId="7ED862F4"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CC747DD" w14:textId="21B796AE" w:rsidR="00295527" w:rsidRPr="00145DBA" w:rsidRDefault="00295527" w:rsidP="00295527">
            <w:pPr>
              <w:spacing w:before="60" w:after="40" w:line="288" w:lineRule="auto"/>
              <w:ind w:firstLine="0"/>
              <w:jc w:val="right"/>
              <w:rPr>
                <w:rFonts w:cs="Tahoma"/>
                <w:sz w:val="18"/>
                <w:szCs w:val="18"/>
              </w:rPr>
            </w:pPr>
            <w:r>
              <w:rPr>
                <w:rFonts w:cs="Tahoma"/>
                <w:sz w:val="18"/>
                <w:szCs w:val="18"/>
              </w:rPr>
              <w:t>22,40</w:t>
            </w:r>
          </w:p>
        </w:tc>
        <w:tc>
          <w:tcPr>
            <w:tcW w:w="709" w:type="dxa"/>
            <w:tcBorders>
              <w:top w:val="single" w:sz="4" w:space="0" w:color="auto"/>
              <w:left w:val="single" w:sz="4" w:space="0" w:color="auto"/>
              <w:bottom w:val="single" w:sz="4" w:space="0" w:color="auto"/>
              <w:right w:val="single" w:sz="4" w:space="0" w:color="auto"/>
            </w:tcBorders>
            <w:vAlign w:val="center"/>
          </w:tcPr>
          <w:p w14:paraId="241CA53B" w14:textId="63B031FB" w:rsidR="00295527" w:rsidRPr="00145DBA" w:rsidRDefault="00295527" w:rsidP="00295527">
            <w:pPr>
              <w:spacing w:before="60" w:after="40" w:line="288" w:lineRule="auto"/>
              <w:ind w:firstLine="0"/>
              <w:jc w:val="right"/>
              <w:rPr>
                <w:rFonts w:cs="Tahoma"/>
                <w:sz w:val="18"/>
                <w:szCs w:val="18"/>
              </w:rPr>
            </w:pPr>
            <w:r>
              <w:rPr>
                <w:rFonts w:cs="Tahoma"/>
                <w:sz w:val="18"/>
                <w:szCs w:val="18"/>
              </w:rPr>
              <w:t>6,72</w:t>
            </w:r>
          </w:p>
        </w:tc>
        <w:tc>
          <w:tcPr>
            <w:tcW w:w="708" w:type="dxa"/>
            <w:tcBorders>
              <w:top w:val="single" w:sz="4" w:space="0" w:color="auto"/>
              <w:left w:val="single" w:sz="4" w:space="0" w:color="auto"/>
              <w:bottom w:val="single" w:sz="4" w:space="0" w:color="auto"/>
              <w:right w:val="single" w:sz="4" w:space="0" w:color="auto"/>
            </w:tcBorders>
            <w:vAlign w:val="center"/>
          </w:tcPr>
          <w:p w14:paraId="79FB87E5" w14:textId="236C5A67"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19956A0" w14:textId="746B538C"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29D0A79" w14:textId="1C7EF4DE"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DA78F56" w14:textId="416F167E"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3032A5BE" w14:textId="74C77DD0"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20D3926" w14:textId="0BDF574C"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698" w:type="dxa"/>
            <w:tcBorders>
              <w:top w:val="single" w:sz="4" w:space="0" w:color="auto"/>
              <w:left w:val="single" w:sz="4" w:space="0" w:color="auto"/>
              <w:bottom w:val="single" w:sz="4" w:space="0" w:color="auto"/>
              <w:right w:val="single" w:sz="4" w:space="0" w:color="auto"/>
            </w:tcBorders>
            <w:vAlign w:val="center"/>
          </w:tcPr>
          <w:p w14:paraId="50C6CE95" w14:textId="730D2734" w:rsidR="00295527" w:rsidRPr="00145DBA" w:rsidRDefault="00295527" w:rsidP="00295527">
            <w:pPr>
              <w:spacing w:before="60" w:after="40" w:line="288" w:lineRule="auto"/>
              <w:ind w:firstLine="0"/>
              <w:jc w:val="right"/>
              <w:rPr>
                <w:rFonts w:cs="Tahoma"/>
                <w:sz w:val="18"/>
                <w:szCs w:val="18"/>
              </w:rPr>
            </w:pPr>
            <w:r>
              <w:rPr>
                <w:rFonts w:cs="Tahoma"/>
                <w:sz w:val="18"/>
                <w:szCs w:val="18"/>
              </w:rPr>
              <w:t>22,40</w:t>
            </w:r>
          </w:p>
        </w:tc>
        <w:tc>
          <w:tcPr>
            <w:tcW w:w="699" w:type="dxa"/>
            <w:tcBorders>
              <w:top w:val="single" w:sz="4" w:space="0" w:color="auto"/>
              <w:left w:val="single" w:sz="4" w:space="0" w:color="auto"/>
              <w:bottom w:val="single" w:sz="4" w:space="0" w:color="auto"/>
              <w:right w:val="single" w:sz="4" w:space="0" w:color="auto"/>
            </w:tcBorders>
            <w:vAlign w:val="center"/>
          </w:tcPr>
          <w:p w14:paraId="70563973" w14:textId="34698195" w:rsidR="00295527" w:rsidRPr="00145DBA" w:rsidRDefault="00295527" w:rsidP="00295527">
            <w:pPr>
              <w:spacing w:before="60" w:after="40" w:line="288" w:lineRule="auto"/>
              <w:ind w:firstLine="0"/>
              <w:jc w:val="right"/>
              <w:rPr>
                <w:rFonts w:cs="Tahoma"/>
                <w:sz w:val="18"/>
                <w:szCs w:val="18"/>
              </w:rPr>
            </w:pPr>
            <w:r>
              <w:rPr>
                <w:rFonts w:cs="Tahoma"/>
                <w:sz w:val="18"/>
                <w:szCs w:val="18"/>
              </w:rPr>
              <w:t>22,40</w:t>
            </w:r>
          </w:p>
        </w:tc>
      </w:tr>
      <w:tr w:rsidR="00295527" w:rsidRPr="00821AF6" w14:paraId="339FBCFC"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2596A4BD" w14:textId="1221EEEF" w:rsidR="00295527" w:rsidRPr="00821AF6" w:rsidRDefault="00295527" w:rsidP="00295527">
            <w:pPr>
              <w:spacing w:before="60" w:after="40" w:line="288" w:lineRule="auto"/>
              <w:ind w:firstLine="0"/>
              <w:jc w:val="center"/>
              <w:rPr>
                <w:rFonts w:cs="Tahoma"/>
                <w:sz w:val="18"/>
                <w:szCs w:val="18"/>
              </w:rPr>
            </w:pPr>
            <w:r>
              <w:rPr>
                <w:rFonts w:cs="Tahoma"/>
                <w:sz w:val="18"/>
                <w:szCs w:val="18"/>
              </w:rPr>
              <w:t>1.3</w:t>
            </w:r>
          </w:p>
        </w:tc>
        <w:tc>
          <w:tcPr>
            <w:tcW w:w="2127" w:type="dxa"/>
            <w:tcBorders>
              <w:top w:val="single" w:sz="4" w:space="0" w:color="auto"/>
              <w:left w:val="single" w:sz="4" w:space="0" w:color="auto"/>
              <w:bottom w:val="single" w:sz="4" w:space="0" w:color="auto"/>
              <w:right w:val="single" w:sz="4" w:space="0" w:color="auto"/>
            </w:tcBorders>
            <w:vAlign w:val="center"/>
          </w:tcPr>
          <w:p w14:paraId="1F3A9E1C" w14:textId="2348EED4" w:rsidR="00295527" w:rsidRPr="00821AF6" w:rsidRDefault="00295527" w:rsidP="00295527">
            <w:pPr>
              <w:spacing w:before="60" w:after="40" w:line="288" w:lineRule="auto"/>
              <w:ind w:firstLine="0"/>
              <w:jc w:val="left"/>
              <w:rPr>
                <w:rFonts w:cs="Tahoma"/>
                <w:sz w:val="18"/>
                <w:szCs w:val="18"/>
              </w:rPr>
            </w:pPr>
            <w:r>
              <w:rPr>
                <w:rFonts w:cs="Tahoma"/>
                <w:sz w:val="18"/>
                <w:szCs w:val="18"/>
              </w:rPr>
              <w:t>Autobusy elektryczne</w:t>
            </w:r>
          </w:p>
        </w:tc>
        <w:tc>
          <w:tcPr>
            <w:tcW w:w="708" w:type="dxa"/>
            <w:tcBorders>
              <w:top w:val="single" w:sz="4" w:space="0" w:color="auto"/>
              <w:left w:val="single" w:sz="4" w:space="0" w:color="auto"/>
              <w:bottom w:val="single" w:sz="4" w:space="0" w:color="auto"/>
              <w:right w:val="single" w:sz="4" w:space="0" w:color="auto"/>
            </w:tcBorders>
            <w:vAlign w:val="center"/>
          </w:tcPr>
          <w:p w14:paraId="26D05B89" w14:textId="3DA7ECB4"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2545590" w14:textId="170BA853"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8633108" w14:textId="562A9C9A" w:rsidR="00295527" w:rsidRPr="00145DBA" w:rsidRDefault="00295527" w:rsidP="00295527">
            <w:pPr>
              <w:spacing w:before="60" w:after="40" w:line="288" w:lineRule="auto"/>
              <w:ind w:firstLine="0"/>
              <w:jc w:val="right"/>
              <w:rPr>
                <w:rFonts w:cs="Tahoma"/>
                <w:sz w:val="18"/>
                <w:szCs w:val="18"/>
              </w:rPr>
            </w:pPr>
            <w:r>
              <w:rPr>
                <w:rFonts w:cs="Tahoma"/>
                <w:sz w:val="18"/>
                <w:szCs w:val="18"/>
              </w:rPr>
              <w:t>6,8</w:t>
            </w:r>
            <w:r w:rsidR="006D2BD2">
              <w:rPr>
                <w:rFonts w:cs="Tahoma"/>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305CD0D5" w14:textId="28FD4B29" w:rsidR="00295527" w:rsidRPr="00821AF6" w:rsidRDefault="00295527" w:rsidP="00295527">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73C43572" w14:textId="4EDC981A"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9434DD9" w14:textId="4E593362"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60E6C5A" w14:textId="1B1C5745"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25F8F76" w14:textId="797A5E05" w:rsidR="00295527" w:rsidRPr="00145DBA" w:rsidRDefault="00295527" w:rsidP="00295527">
            <w:pPr>
              <w:spacing w:before="60" w:after="40" w:line="288" w:lineRule="auto"/>
              <w:ind w:firstLine="0"/>
              <w:jc w:val="right"/>
              <w:rPr>
                <w:rFonts w:cs="Tahoma"/>
                <w:sz w:val="18"/>
                <w:szCs w:val="18"/>
              </w:rPr>
            </w:pPr>
            <w:r>
              <w:rPr>
                <w:rFonts w:cs="Tahoma"/>
                <w:sz w:val="18"/>
                <w:szCs w:val="18"/>
              </w:rPr>
              <w:t>9,48</w:t>
            </w:r>
          </w:p>
        </w:tc>
        <w:tc>
          <w:tcPr>
            <w:tcW w:w="708" w:type="dxa"/>
            <w:tcBorders>
              <w:top w:val="single" w:sz="4" w:space="0" w:color="auto"/>
              <w:left w:val="single" w:sz="4" w:space="0" w:color="auto"/>
              <w:bottom w:val="single" w:sz="4" w:space="0" w:color="auto"/>
              <w:right w:val="single" w:sz="4" w:space="0" w:color="auto"/>
            </w:tcBorders>
            <w:vAlign w:val="center"/>
          </w:tcPr>
          <w:p w14:paraId="070F88BF" w14:textId="0ED4E934"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9FDC9EB" w14:textId="547104FD"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83847F7" w14:textId="4D84BA52"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22D917E" w14:textId="5DBEC9A5" w:rsidR="00295527" w:rsidRPr="00145DBA" w:rsidRDefault="00295527" w:rsidP="00295527">
            <w:pPr>
              <w:spacing w:before="60" w:after="40" w:line="288" w:lineRule="auto"/>
              <w:ind w:firstLine="0"/>
              <w:jc w:val="right"/>
              <w:rPr>
                <w:rFonts w:cs="Tahoma"/>
                <w:sz w:val="18"/>
                <w:szCs w:val="18"/>
              </w:rPr>
            </w:pPr>
            <w:r>
              <w:rPr>
                <w:rFonts w:cs="Tahoma"/>
                <w:sz w:val="18"/>
                <w:szCs w:val="18"/>
              </w:rPr>
              <w:t>14,22</w:t>
            </w:r>
          </w:p>
        </w:tc>
        <w:tc>
          <w:tcPr>
            <w:tcW w:w="708" w:type="dxa"/>
            <w:tcBorders>
              <w:top w:val="single" w:sz="4" w:space="0" w:color="auto"/>
              <w:left w:val="single" w:sz="4" w:space="0" w:color="auto"/>
              <w:bottom w:val="single" w:sz="4" w:space="0" w:color="auto"/>
              <w:right w:val="single" w:sz="4" w:space="0" w:color="auto"/>
            </w:tcBorders>
            <w:vAlign w:val="center"/>
          </w:tcPr>
          <w:p w14:paraId="6933628B" w14:textId="243293DE"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3584B2E" w14:textId="1224B4A3"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698" w:type="dxa"/>
            <w:tcBorders>
              <w:top w:val="single" w:sz="4" w:space="0" w:color="auto"/>
              <w:left w:val="single" w:sz="4" w:space="0" w:color="auto"/>
              <w:bottom w:val="single" w:sz="4" w:space="0" w:color="auto"/>
              <w:right w:val="single" w:sz="4" w:space="0" w:color="auto"/>
            </w:tcBorders>
            <w:vAlign w:val="center"/>
          </w:tcPr>
          <w:p w14:paraId="1D491801" w14:textId="5AA5DE31"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699" w:type="dxa"/>
            <w:tcBorders>
              <w:top w:val="single" w:sz="4" w:space="0" w:color="auto"/>
              <w:left w:val="single" w:sz="4" w:space="0" w:color="auto"/>
              <w:bottom w:val="single" w:sz="4" w:space="0" w:color="auto"/>
              <w:right w:val="single" w:sz="4" w:space="0" w:color="auto"/>
            </w:tcBorders>
            <w:vAlign w:val="center"/>
          </w:tcPr>
          <w:p w14:paraId="182A8E3F" w14:textId="4E9D0A11"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r>
      <w:tr w:rsidR="00295527" w:rsidRPr="00821AF6" w14:paraId="365DFDCE"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A39ECBA" w14:textId="4EDEA858" w:rsidR="00295527" w:rsidRDefault="00295527" w:rsidP="00295527">
            <w:pPr>
              <w:spacing w:before="60" w:after="40" w:line="288" w:lineRule="auto"/>
              <w:ind w:firstLine="0"/>
              <w:jc w:val="center"/>
              <w:rPr>
                <w:rFonts w:cs="Tahoma"/>
                <w:sz w:val="18"/>
                <w:szCs w:val="18"/>
              </w:rPr>
            </w:pPr>
            <w:r>
              <w:rPr>
                <w:rFonts w:cs="Tahoma"/>
                <w:sz w:val="18"/>
                <w:szCs w:val="18"/>
              </w:rPr>
              <w:t>1.4</w:t>
            </w:r>
          </w:p>
        </w:tc>
        <w:tc>
          <w:tcPr>
            <w:tcW w:w="2127" w:type="dxa"/>
            <w:tcBorders>
              <w:top w:val="single" w:sz="4" w:space="0" w:color="auto"/>
              <w:left w:val="single" w:sz="4" w:space="0" w:color="auto"/>
              <w:bottom w:val="single" w:sz="4" w:space="0" w:color="auto"/>
              <w:right w:val="single" w:sz="4" w:space="0" w:color="auto"/>
            </w:tcBorders>
            <w:vAlign w:val="center"/>
          </w:tcPr>
          <w:p w14:paraId="4B3B7F00" w14:textId="2D5741F5" w:rsidR="00295527" w:rsidRDefault="00295527" w:rsidP="00295527">
            <w:pPr>
              <w:spacing w:before="60" w:after="40" w:line="288" w:lineRule="auto"/>
              <w:ind w:firstLine="0"/>
              <w:jc w:val="left"/>
              <w:rPr>
                <w:rFonts w:cs="Tahoma"/>
                <w:sz w:val="18"/>
                <w:szCs w:val="18"/>
              </w:rPr>
            </w:pPr>
            <w:r w:rsidRPr="00821AF6">
              <w:rPr>
                <w:rFonts w:cs="Tahoma"/>
                <w:sz w:val="18"/>
                <w:szCs w:val="18"/>
              </w:rPr>
              <w:t>Infrastruktura</w:t>
            </w:r>
            <w:r>
              <w:rPr>
                <w:rFonts w:cs="Tahoma"/>
                <w:sz w:val="18"/>
                <w:szCs w:val="18"/>
              </w:rPr>
              <w:t xml:space="preserve"> zasilania,</w:t>
            </w:r>
            <w:r w:rsidRPr="00821AF6">
              <w:rPr>
                <w:rFonts w:cs="Tahoma"/>
                <w:sz w:val="18"/>
                <w:szCs w:val="18"/>
              </w:rPr>
              <w:br/>
              <w:t>wymiana baterii</w:t>
            </w:r>
          </w:p>
        </w:tc>
        <w:tc>
          <w:tcPr>
            <w:tcW w:w="708" w:type="dxa"/>
            <w:tcBorders>
              <w:top w:val="single" w:sz="4" w:space="0" w:color="auto"/>
              <w:left w:val="single" w:sz="4" w:space="0" w:color="auto"/>
              <w:bottom w:val="single" w:sz="4" w:space="0" w:color="auto"/>
              <w:right w:val="single" w:sz="4" w:space="0" w:color="auto"/>
            </w:tcBorders>
            <w:vAlign w:val="center"/>
          </w:tcPr>
          <w:p w14:paraId="4483FE43" w14:textId="6E308171"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6BE3353" w14:textId="35453512"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9C3A89C" w14:textId="386DFA40" w:rsidR="00295527" w:rsidRPr="00145DBA" w:rsidRDefault="00295527" w:rsidP="00295527">
            <w:pPr>
              <w:spacing w:before="60" w:after="40" w:line="288" w:lineRule="auto"/>
              <w:ind w:firstLine="0"/>
              <w:jc w:val="right"/>
              <w:rPr>
                <w:rFonts w:cs="Tahoma"/>
                <w:sz w:val="18"/>
                <w:szCs w:val="18"/>
              </w:rPr>
            </w:pPr>
            <w:r>
              <w:rPr>
                <w:rFonts w:cs="Tahoma"/>
                <w:sz w:val="18"/>
                <w:szCs w:val="18"/>
              </w:rPr>
              <w:t>0,15</w:t>
            </w:r>
          </w:p>
        </w:tc>
        <w:tc>
          <w:tcPr>
            <w:tcW w:w="709" w:type="dxa"/>
            <w:tcBorders>
              <w:top w:val="single" w:sz="4" w:space="0" w:color="auto"/>
              <w:left w:val="single" w:sz="4" w:space="0" w:color="auto"/>
              <w:bottom w:val="single" w:sz="4" w:space="0" w:color="auto"/>
              <w:right w:val="single" w:sz="4" w:space="0" w:color="auto"/>
            </w:tcBorders>
            <w:vAlign w:val="center"/>
          </w:tcPr>
          <w:p w14:paraId="022817A8" w14:textId="18392802" w:rsidR="00295527" w:rsidRPr="00821AF6" w:rsidRDefault="00295527" w:rsidP="00295527">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5720373C" w14:textId="7FC3EF0A"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9F3E347" w14:textId="4F152379" w:rsidR="00295527" w:rsidRPr="00145DBA" w:rsidRDefault="00295527" w:rsidP="00295527">
            <w:pPr>
              <w:spacing w:before="60" w:after="40" w:line="288" w:lineRule="auto"/>
              <w:ind w:firstLine="0"/>
              <w:jc w:val="right"/>
              <w:rPr>
                <w:rFonts w:cs="Tahoma"/>
                <w:sz w:val="18"/>
                <w:szCs w:val="18"/>
              </w:rPr>
            </w:pPr>
            <w:r>
              <w:rPr>
                <w:rFonts w:cs="Tahoma"/>
                <w:sz w:val="18"/>
                <w:szCs w:val="18"/>
              </w:rPr>
              <w:t>0,45</w:t>
            </w:r>
          </w:p>
        </w:tc>
        <w:tc>
          <w:tcPr>
            <w:tcW w:w="709" w:type="dxa"/>
            <w:tcBorders>
              <w:top w:val="single" w:sz="4" w:space="0" w:color="auto"/>
              <w:left w:val="single" w:sz="4" w:space="0" w:color="auto"/>
              <w:bottom w:val="single" w:sz="4" w:space="0" w:color="auto"/>
              <w:right w:val="single" w:sz="4" w:space="0" w:color="auto"/>
            </w:tcBorders>
            <w:vAlign w:val="center"/>
          </w:tcPr>
          <w:p w14:paraId="6C62C32D" w14:textId="294CC58A"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3E691E1" w14:textId="6675DEF9" w:rsidR="00295527" w:rsidRPr="00145DBA" w:rsidRDefault="00295527" w:rsidP="00295527">
            <w:pPr>
              <w:spacing w:before="60" w:after="40" w:line="288" w:lineRule="auto"/>
              <w:ind w:firstLine="0"/>
              <w:jc w:val="right"/>
              <w:rPr>
                <w:rFonts w:cs="Tahoma"/>
                <w:sz w:val="18"/>
                <w:szCs w:val="18"/>
              </w:rPr>
            </w:pPr>
            <w:r>
              <w:rPr>
                <w:rFonts w:cs="Tahoma"/>
                <w:sz w:val="18"/>
                <w:szCs w:val="18"/>
              </w:rPr>
              <w:t>1,05</w:t>
            </w:r>
          </w:p>
        </w:tc>
        <w:tc>
          <w:tcPr>
            <w:tcW w:w="708" w:type="dxa"/>
            <w:tcBorders>
              <w:top w:val="single" w:sz="4" w:space="0" w:color="auto"/>
              <w:left w:val="single" w:sz="4" w:space="0" w:color="auto"/>
              <w:bottom w:val="single" w:sz="4" w:space="0" w:color="auto"/>
              <w:right w:val="single" w:sz="4" w:space="0" w:color="auto"/>
            </w:tcBorders>
            <w:vAlign w:val="center"/>
          </w:tcPr>
          <w:p w14:paraId="5F773A61" w14:textId="19033AD2"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C078CAD" w14:textId="0ED943BE"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8ACC933" w14:textId="77ECB52D" w:rsidR="00295527" w:rsidRPr="00145DBA" w:rsidRDefault="00295527" w:rsidP="00295527">
            <w:pPr>
              <w:spacing w:before="60" w:after="40" w:line="288" w:lineRule="auto"/>
              <w:ind w:firstLine="0"/>
              <w:jc w:val="right"/>
              <w:rPr>
                <w:rFonts w:cs="Tahoma"/>
                <w:sz w:val="18"/>
                <w:szCs w:val="18"/>
              </w:rPr>
            </w:pPr>
            <w:r>
              <w:rPr>
                <w:rFonts w:cs="Tahoma"/>
                <w:sz w:val="18"/>
                <w:szCs w:val="18"/>
              </w:rPr>
              <w:t>0,21</w:t>
            </w:r>
          </w:p>
        </w:tc>
        <w:tc>
          <w:tcPr>
            <w:tcW w:w="709" w:type="dxa"/>
            <w:tcBorders>
              <w:top w:val="single" w:sz="4" w:space="0" w:color="auto"/>
              <w:left w:val="single" w:sz="4" w:space="0" w:color="auto"/>
              <w:bottom w:val="single" w:sz="4" w:space="0" w:color="auto"/>
              <w:right w:val="single" w:sz="4" w:space="0" w:color="auto"/>
            </w:tcBorders>
            <w:vAlign w:val="center"/>
          </w:tcPr>
          <w:p w14:paraId="27AF8936" w14:textId="7B4AB207" w:rsidR="00295527" w:rsidRPr="00145DBA" w:rsidRDefault="00295527" w:rsidP="00295527">
            <w:pPr>
              <w:spacing w:before="60" w:after="40" w:line="288" w:lineRule="auto"/>
              <w:ind w:firstLine="0"/>
              <w:jc w:val="right"/>
              <w:rPr>
                <w:rFonts w:cs="Tahoma"/>
                <w:sz w:val="18"/>
                <w:szCs w:val="18"/>
              </w:rPr>
            </w:pPr>
            <w:r>
              <w:rPr>
                <w:rFonts w:cs="Tahoma"/>
                <w:sz w:val="18"/>
                <w:szCs w:val="18"/>
              </w:rPr>
              <w:t>1,20</w:t>
            </w:r>
          </w:p>
        </w:tc>
        <w:tc>
          <w:tcPr>
            <w:tcW w:w="708" w:type="dxa"/>
            <w:tcBorders>
              <w:top w:val="single" w:sz="4" w:space="0" w:color="auto"/>
              <w:left w:val="single" w:sz="4" w:space="0" w:color="auto"/>
              <w:bottom w:val="single" w:sz="4" w:space="0" w:color="auto"/>
              <w:right w:val="single" w:sz="4" w:space="0" w:color="auto"/>
            </w:tcBorders>
            <w:vAlign w:val="center"/>
          </w:tcPr>
          <w:p w14:paraId="142FB4BC" w14:textId="435F7680"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5355B27" w14:textId="25328345" w:rsidR="00295527" w:rsidRPr="00145DBA" w:rsidRDefault="00295527" w:rsidP="00295527">
            <w:pPr>
              <w:spacing w:before="60" w:after="40" w:line="288" w:lineRule="auto"/>
              <w:ind w:firstLine="0"/>
              <w:jc w:val="right"/>
              <w:rPr>
                <w:rFonts w:cs="Tahoma"/>
                <w:sz w:val="18"/>
                <w:szCs w:val="18"/>
              </w:rPr>
            </w:pPr>
            <w:r>
              <w:rPr>
                <w:rFonts w:cs="Tahoma"/>
                <w:sz w:val="18"/>
                <w:szCs w:val="18"/>
              </w:rPr>
              <w:t>0,45</w:t>
            </w:r>
          </w:p>
        </w:tc>
        <w:tc>
          <w:tcPr>
            <w:tcW w:w="698" w:type="dxa"/>
            <w:tcBorders>
              <w:top w:val="single" w:sz="4" w:space="0" w:color="auto"/>
              <w:left w:val="single" w:sz="4" w:space="0" w:color="auto"/>
              <w:bottom w:val="single" w:sz="4" w:space="0" w:color="auto"/>
              <w:right w:val="single" w:sz="4" w:space="0" w:color="auto"/>
            </w:tcBorders>
            <w:vAlign w:val="center"/>
          </w:tcPr>
          <w:p w14:paraId="6AF6AC40" w14:textId="2849D1A6"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699" w:type="dxa"/>
            <w:tcBorders>
              <w:top w:val="single" w:sz="4" w:space="0" w:color="auto"/>
              <w:left w:val="single" w:sz="4" w:space="0" w:color="auto"/>
              <w:bottom w:val="single" w:sz="4" w:space="0" w:color="auto"/>
              <w:right w:val="single" w:sz="4" w:space="0" w:color="auto"/>
            </w:tcBorders>
            <w:vAlign w:val="center"/>
          </w:tcPr>
          <w:p w14:paraId="143AFF3A" w14:textId="79981F50"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r>
      <w:tr w:rsidR="00295527" w:rsidRPr="00821AF6" w14:paraId="2A57E1A6"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4742324" w14:textId="778C06F9" w:rsidR="00295527" w:rsidRPr="00821AF6" w:rsidRDefault="00295527" w:rsidP="00295527">
            <w:pPr>
              <w:spacing w:before="60" w:after="40" w:line="288" w:lineRule="auto"/>
              <w:ind w:firstLine="0"/>
              <w:jc w:val="center"/>
              <w:rPr>
                <w:rFonts w:cs="Tahoma"/>
                <w:sz w:val="18"/>
                <w:szCs w:val="18"/>
              </w:rPr>
            </w:pPr>
            <w:r w:rsidRPr="00821AF6">
              <w:rPr>
                <w:rFonts w:cs="Tahoma"/>
                <w:b/>
                <w:sz w:val="18"/>
                <w:szCs w:val="18"/>
              </w:rPr>
              <w:t>1.</w:t>
            </w:r>
            <w:r>
              <w:rPr>
                <w:rFonts w:cs="Tahoma"/>
                <w:b/>
                <w:sz w:val="18"/>
                <w:szCs w:val="18"/>
              </w:rPr>
              <w:t>5</w:t>
            </w:r>
          </w:p>
        </w:tc>
        <w:tc>
          <w:tcPr>
            <w:tcW w:w="2127" w:type="dxa"/>
            <w:tcBorders>
              <w:top w:val="single" w:sz="4" w:space="0" w:color="auto"/>
              <w:left w:val="single" w:sz="4" w:space="0" w:color="auto"/>
              <w:bottom w:val="single" w:sz="4" w:space="0" w:color="auto"/>
              <w:right w:val="single" w:sz="4" w:space="0" w:color="auto"/>
            </w:tcBorders>
            <w:vAlign w:val="center"/>
          </w:tcPr>
          <w:p w14:paraId="6674E308" w14:textId="2ACA7AE0" w:rsidR="00295527" w:rsidRPr="00821AF6" w:rsidRDefault="00295527" w:rsidP="00295527">
            <w:pPr>
              <w:spacing w:before="60" w:after="40" w:line="288" w:lineRule="auto"/>
              <w:ind w:firstLine="0"/>
              <w:jc w:val="left"/>
              <w:rPr>
                <w:rFonts w:cs="Tahoma"/>
                <w:sz w:val="18"/>
                <w:szCs w:val="18"/>
              </w:rPr>
            </w:pPr>
            <w:r w:rsidRPr="00821AF6">
              <w:rPr>
                <w:rFonts w:cs="Tahoma"/>
                <w:b/>
                <w:sz w:val="18"/>
                <w:szCs w:val="18"/>
              </w:rPr>
              <w:t>Ogółem</w:t>
            </w:r>
          </w:p>
        </w:tc>
        <w:tc>
          <w:tcPr>
            <w:tcW w:w="708" w:type="dxa"/>
            <w:tcBorders>
              <w:top w:val="single" w:sz="4" w:space="0" w:color="auto"/>
              <w:left w:val="single" w:sz="4" w:space="0" w:color="auto"/>
              <w:bottom w:val="single" w:sz="4" w:space="0" w:color="auto"/>
              <w:right w:val="single" w:sz="4" w:space="0" w:color="auto"/>
            </w:tcBorders>
            <w:vAlign w:val="center"/>
          </w:tcPr>
          <w:p w14:paraId="2D36AAA2" w14:textId="55E2B3E7" w:rsidR="00295527" w:rsidRPr="00295527" w:rsidRDefault="00295527" w:rsidP="00295527">
            <w:pPr>
              <w:spacing w:before="60" w:after="40" w:line="288" w:lineRule="auto"/>
              <w:ind w:firstLine="0"/>
              <w:jc w:val="right"/>
              <w:rPr>
                <w:rFonts w:cs="Tahoma"/>
                <w:b/>
                <w:sz w:val="17"/>
                <w:szCs w:val="17"/>
              </w:rPr>
            </w:pPr>
            <w:r w:rsidRPr="00295527">
              <w:rPr>
                <w:rFonts w:cs="Tahoma"/>
                <w:b/>
                <w:sz w:val="17"/>
                <w:szCs w:val="17"/>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53CE4F1" w14:textId="3B11C0DE" w:rsidR="00295527" w:rsidRPr="00295527" w:rsidRDefault="00295527" w:rsidP="00295527">
            <w:pPr>
              <w:spacing w:before="60" w:after="40" w:line="288" w:lineRule="auto"/>
              <w:ind w:firstLine="0"/>
              <w:jc w:val="right"/>
              <w:rPr>
                <w:rFonts w:cs="Tahoma"/>
                <w:b/>
                <w:sz w:val="17"/>
                <w:szCs w:val="17"/>
              </w:rPr>
            </w:pPr>
            <w:r>
              <w:rPr>
                <w:rFonts w:cs="Tahoma"/>
                <w:b/>
                <w:sz w:val="17"/>
                <w:szCs w:val="17"/>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C27AE18" w14:textId="6E264509" w:rsidR="00295527" w:rsidRPr="00295527" w:rsidRDefault="00295527" w:rsidP="00295527">
            <w:pPr>
              <w:spacing w:before="60" w:after="40" w:line="288" w:lineRule="auto"/>
              <w:ind w:firstLine="0"/>
              <w:jc w:val="right"/>
              <w:rPr>
                <w:rFonts w:cs="Tahoma"/>
                <w:b/>
                <w:sz w:val="17"/>
                <w:szCs w:val="17"/>
              </w:rPr>
            </w:pPr>
            <w:r w:rsidRPr="00295527">
              <w:rPr>
                <w:rFonts w:cs="Tahoma"/>
                <w:b/>
                <w:sz w:val="17"/>
                <w:szCs w:val="17"/>
              </w:rPr>
              <w:t>28,18</w:t>
            </w:r>
          </w:p>
        </w:tc>
        <w:tc>
          <w:tcPr>
            <w:tcW w:w="709" w:type="dxa"/>
            <w:tcBorders>
              <w:top w:val="single" w:sz="4" w:space="0" w:color="auto"/>
              <w:left w:val="single" w:sz="4" w:space="0" w:color="auto"/>
              <w:bottom w:val="single" w:sz="4" w:space="0" w:color="auto"/>
              <w:right w:val="single" w:sz="4" w:space="0" w:color="auto"/>
            </w:tcBorders>
            <w:vAlign w:val="center"/>
          </w:tcPr>
          <w:p w14:paraId="094E9F92" w14:textId="63C08C79" w:rsidR="00295527" w:rsidRPr="00295527" w:rsidRDefault="00295527" w:rsidP="00295527">
            <w:pPr>
              <w:spacing w:before="60" w:after="40" w:line="288" w:lineRule="auto"/>
              <w:ind w:firstLine="0"/>
              <w:jc w:val="right"/>
              <w:rPr>
                <w:rFonts w:cs="Tahoma"/>
                <w:b/>
                <w:sz w:val="17"/>
                <w:szCs w:val="17"/>
              </w:rPr>
            </w:pPr>
            <w:r>
              <w:rPr>
                <w:rFonts w:cs="Tahoma"/>
                <w:b/>
                <w:sz w:val="17"/>
                <w:szCs w:val="17"/>
              </w:rPr>
              <w:t>6,72</w:t>
            </w:r>
          </w:p>
        </w:tc>
        <w:tc>
          <w:tcPr>
            <w:tcW w:w="708" w:type="dxa"/>
            <w:tcBorders>
              <w:top w:val="single" w:sz="4" w:space="0" w:color="auto"/>
              <w:left w:val="single" w:sz="4" w:space="0" w:color="auto"/>
              <w:bottom w:val="single" w:sz="4" w:space="0" w:color="auto"/>
              <w:right w:val="single" w:sz="4" w:space="0" w:color="auto"/>
            </w:tcBorders>
            <w:vAlign w:val="center"/>
          </w:tcPr>
          <w:p w14:paraId="284C5724" w14:textId="1AB64B6B" w:rsidR="00295527" w:rsidRPr="00295527" w:rsidRDefault="00295527" w:rsidP="00295527">
            <w:pPr>
              <w:spacing w:before="60" w:after="40" w:line="288" w:lineRule="auto"/>
              <w:ind w:firstLine="0"/>
              <w:jc w:val="right"/>
              <w:rPr>
                <w:rFonts w:cs="Tahoma"/>
                <w:b/>
                <w:sz w:val="17"/>
                <w:szCs w:val="17"/>
              </w:rPr>
            </w:pPr>
            <w:r>
              <w:rPr>
                <w:rFonts w:cs="Tahoma"/>
                <w:b/>
                <w:sz w:val="17"/>
                <w:szCs w:val="17"/>
              </w:rPr>
              <w:t>1,18</w:t>
            </w:r>
          </w:p>
        </w:tc>
        <w:tc>
          <w:tcPr>
            <w:tcW w:w="709" w:type="dxa"/>
            <w:tcBorders>
              <w:top w:val="single" w:sz="4" w:space="0" w:color="auto"/>
              <w:left w:val="single" w:sz="4" w:space="0" w:color="auto"/>
              <w:bottom w:val="single" w:sz="4" w:space="0" w:color="auto"/>
              <w:right w:val="single" w:sz="4" w:space="0" w:color="auto"/>
            </w:tcBorders>
            <w:vAlign w:val="center"/>
          </w:tcPr>
          <w:p w14:paraId="13B7D546" w14:textId="78FEAFDF" w:rsidR="00295527" w:rsidRPr="00295527" w:rsidRDefault="00295527" w:rsidP="00295527">
            <w:pPr>
              <w:spacing w:before="60" w:after="40" w:line="288" w:lineRule="auto"/>
              <w:ind w:firstLine="0"/>
              <w:jc w:val="right"/>
              <w:rPr>
                <w:rFonts w:cs="Tahoma"/>
                <w:b/>
                <w:sz w:val="17"/>
                <w:szCs w:val="17"/>
              </w:rPr>
            </w:pPr>
            <w:r>
              <w:rPr>
                <w:rFonts w:cs="Tahoma"/>
                <w:b/>
                <w:sz w:val="17"/>
                <w:szCs w:val="17"/>
              </w:rPr>
              <w:t>10,25</w:t>
            </w:r>
          </w:p>
        </w:tc>
        <w:tc>
          <w:tcPr>
            <w:tcW w:w="709" w:type="dxa"/>
            <w:tcBorders>
              <w:top w:val="single" w:sz="4" w:space="0" w:color="auto"/>
              <w:left w:val="single" w:sz="4" w:space="0" w:color="auto"/>
              <w:bottom w:val="single" w:sz="4" w:space="0" w:color="auto"/>
              <w:right w:val="single" w:sz="4" w:space="0" w:color="auto"/>
            </w:tcBorders>
            <w:vAlign w:val="center"/>
          </w:tcPr>
          <w:p w14:paraId="0E7DA611" w14:textId="0142FFF3" w:rsidR="00295527" w:rsidRPr="00295527" w:rsidRDefault="00295527" w:rsidP="00295527">
            <w:pPr>
              <w:spacing w:before="60" w:after="40" w:line="288" w:lineRule="auto"/>
              <w:ind w:firstLine="0"/>
              <w:jc w:val="right"/>
              <w:rPr>
                <w:rFonts w:cs="Tahoma"/>
                <w:b/>
                <w:sz w:val="17"/>
                <w:szCs w:val="17"/>
              </w:rPr>
            </w:pPr>
            <w:r>
              <w:rPr>
                <w:rFonts w:cs="Tahoma"/>
                <w:b/>
                <w:sz w:val="17"/>
                <w:szCs w:val="17"/>
              </w:rPr>
              <w:t>32,20</w:t>
            </w:r>
          </w:p>
        </w:tc>
        <w:tc>
          <w:tcPr>
            <w:tcW w:w="709" w:type="dxa"/>
            <w:tcBorders>
              <w:top w:val="single" w:sz="4" w:space="0" w:color="auto"/>
              <w:left w:val="single" w:sz="4" w:space="0" w:color="auto"/>
              <w:bottom w:val="single" w:sz="4" w:space="0" w:color="auto"/>
              <w:right w:val="single" w:sz="4" w:space="0" w:color="auto"/>
            </w:tcBorders>
            <w:vAlign w:val="center"/>
          </w:tcPr>
          <w:p w14:paraId="0558802B" w14:textId="52F7EBB8" w:rsidR="00295527" w:rsidRPr="00295527" w:rsidRDefault="00295527" w:rsidP="00295527">
            <w:pPr>
              <w:spacing w:before="60" w:after="40" w:line="288" w:lineRule="auto"/>
              <w:ind w:firstLine="0"/>
              <w:jc w:val="right"/>
              <w:rPr>
                <w:rFonts w:cs="Tahoma"/>
                <w:b/>
                <w:sz w:val="17"/>
                <w:szCs w:val="17"/>
              </w:rPr>
            </w:pPr>
            <w:r>
              <w:rPr>
                <w:rFonts w:cs="Tahoma"/>
                <w:b/>
                <w:sz w:val="17"/>
                <w:szCs w:val="17"/>
              </w:rPr>
              <w:t>40,55</w:t>
            </w:r>
          </w:p>
        </w:tc>
        <w:tc>
          <w:tcPr>
            <w:tcW w:w="708" w:type="dxa"/>
            <w:tcBorders>
              <w:top w:val="single" w:sz="4" w:space="0" w:color="auto"/>
              <w:left w:val="single" w:sz="4" w:space="0" w:color="auto"/>
              <w:bottom w:val="single" w:sz="4" w:space="0" w:color="auto"/>
              <w:right w:val="single" w:sz="4" w:space="0" w:color="auto"/>
            </w:tcBorders>
            <w:vAlign w:val="center"/>
          </w:tcPr>
          <w:p w14:paraId="2F39A89F" w14:textId="2BF45658" w:rsidR="00295527" w:rsidRPr="00295527" w:rsidRDefault="00295527" w:rsidP="00295527">
            <w:pPr>
              <w:spacing w:before="60" w:after="40" w:line="288" w:lineRule="auto"/>
              <w:ind w:firstLine="0"/>
              <w:jc w:val="right"/>
              <w:rPr>
                <w:rFonts w:cs="Tahoma"/>
                <w:b/>
                <w:sz w:val="17"/>
                <w:szCs w:val="17"/>
              </w:rPr>
            </w:pPr>
            <w:r>
              <w:rPr>
                <w:rFonts w:cs="Tahoma"/>
                <w:b/>
                <w:sz w:val="17"/>
                <w:szCs w:val="17"/>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2069BAD" w14:textId="40087DBB" w:rsidR="00295527" w:rsidRPr="00295527" w:rsidRDefault="00295527" w:rsidP="00295527">
            <w:pPr>
              <w:spacing w:before="60" w:after="40" w:line="288" w:lineRule="auto"/>
              <w:ind w:firstLine="0"/>
              <w:jc w:val="right"/>
              <w:rPr>
                <w:rFonts w:cs="Tahoma"/>
                <w:b/>
                <w:sz w:val="17"/>
                <w:szCs w:val="17"/>
              </w:rPr>
            </w:pPr>
            <w:r>
              <w:rPr>
                <w:rFonts w:cs="Tahoma"/>
                <w:b/>
                <w:sz w:val="17"/>
                <w:szCs w:val="17"/>
              </w:rPr>
              <w:t>4,50</w:t>
            </w:r>
          </w:p>
        </w:tc>
        <w:tc>
          <w:tcPr>
            <w:tcW w:w="709" w:type="dxa"/>
            <w:tcBorders>
              <w:top w:val="single" w:sz="4" w:space="0" w:color="auto"/>
              <w:left w:val="single" w:sz="4" w:space="0" w:color="auto"/>
              <w:bottom w:val="single" w:sz="4" w:space="0" w:color="auto"/>
              <w:right w:val="single" w:sz="4" w:space="0" w:color="auto"/>
            </w:tcBorders>
            <w:vAlign w:val="center"/>
          </w:tcPr>
          <w:p w14:paraId="628F135D" w14:textId="4EEF73EF" w:rsidR="00295527" w:rsidRPr="00295527" w:rsidRDefault="00295527" w:rsidP="00295527">
            <w:pPr>
              <w:spacing w:before="60" w:after="40" w:line="288" w:lineRule="auto"/>
              <w:ind w:firstLine="0"/>
              <w:jc w:val="right"/>
              <w:rPr>
                <w:rFonts w:cs="Tahoma"/>
                <w:b/>
                <w:sz w:val="17"/>
                <w:szCs w:val="17"/>
              </w:rPr>
            </w:pPr>
            <w:r>
              <w:rPr>
                <w:rFonts w:cs="Tahoma"/>
                <w:b/>
                <w:sz w:val="17"/>
                <w:szCs w:val="17"/>
              </w:rPr>
              <w:t>2,17</w:t>
            </w:r>
          </w:p>
        </w:tc>
        <w:tc>
          <w:tcPr>
            <w:tcW w:w="709" w:type="dxa"/>
            <w:tcBorders>
              <w:top w:val="single" w:sz="4" w:space="0" w:color="auto"/>
              <w:left w:val="single" w:sz="4" w:space="0" w:color="auto"/>
              <w:bottom w:val="single" w:sz="4" w:space="0" w:color="auto"/>
              <w:right w:val="single" w:sz="4" w:space="0" w:color="auto"/>
            </w:tcBorders>
            <w:vAlign w:val="center"/>
          </w:tcPr>
          <w:p w14:paraId="25E6B69F" w14:textId="7B9CB6BE" w:rsidR="00295527" w:rsidRPr="00295527" w:rsidRDefault="00295527" w:rsidP="00295527">
            <w:pPr>
              <w:spacing w:before="60" w:after="40" w:line="288" w:lineRule="auto"/>
              <w:ind w:firstLine="0"/>
              <w:jc w:val="right"/>
              <w:rPr>
                <w:rFonts w:cs="Tahoma"/>
                <w:b/>
                <w:sz w:val="17"/>
                <w:szCs w:val="17"/>
              </w:rPr>
            </w:pPr>
            <w:r>
              <w:rPr>
                <w:rFonts w:cs="Tahoma"/>
                <w:b/>
                <w:sz w:val="17"/>
                <w:szCs w:val="17"/>
              </w:rPr>
              <w:t>20,32</w:t>
            </w:r>
          </w:p>
        </w:tc>
        <w:tc>
          <w:tcPr>
            <w:tcW w:w="708" w:type="dxa"/>
            <w:tcBorders>
              <w:top w:val="single" w:sz="4" w:space="0" w:color="auto"/>
              <w:left w:val="single" w:sz="4" w:space="0" w:color="auto"/>
              <w:bottom w:val="single" w:sz="4" w:space="0" w:color="auto"/>
              <w:right w:val="single" w:sz="4" w:space="0" w:color="auto"/>
            </w:tcBorders>
            <w:vAlign w:val="center"/>
          </w:tcPr>
          <w:p w14:paraId="1EF8B174" w14:textId="4051F7F3" w:rsidR="00295527" w:rsidRPr="00295527" w:rsidRDefault="00295527" w:rsidP="00295527">
            <w:pPr>
              <w:spacing w:before="60" w:after="40" w:line="288" w:lineRule="auto"/>
              <w:ind w:firstLine="0"/>
              <w:jc w:val="right"/>
              <w:rPr>
                <w:rFonts w:cs="Tahoma"/>
                <w:b/>
                <w:sz w:val="17"/>
                <w:szCs w:val="17"/>
              </w:rPr>
            </w:pPr>
            <w:r>
              <w:rPr>
                <w:rFonts w:cs="Tahoma"/>
                <w:b/>
                <w:sz w:val="17"/>
                <w:szCs w:val="17"/>
              </w:rPr>
              <w:t>21,30</w:t>
            </w:r>
          </w:p>
        </w:tc>
        <w:tc>
          <w:tcPr>
            <w:tcW w:w="709" w:type="dxa"/>
            <w:tcBorders>
              <w:top w:val="single" w:sz="4" w:space="0" w:color="auto"/>
              <w:left w:val="single" w:sz="4" w:space="0" w:color="auto"/>
              <w:bottom w:val="single" w:sz="4" w:space="0" w:color="auto"/>
              <w:right w:val="single" w:sz="4" w:space="0" w:color="auto"/>
            </w:tcBorders>
            <w:vAlign w:val="center"/>
          </w:tcPr>
          <w:p w14:paraId="45BC71C0" w14:textId="1DE2AE6F" w:rsidR="00295527" w:rsidRPr="00295527" w:rsidRDefault="00295527" w:rsidP="00295527">
            <w:pPr>
              <w:spacing w:before="60" w:after="40" w:line="288" w:lineRule="auto"/>
              <w:ind w:firstLine="0"/>
              <w:jc w:val="right"/>
              <w:rPr>
                <w:rFonts w:cs="Tahoma"/>
                <w:b/>
                <w:sz w:val="17"/>
                <w:szCs w:val="17"/>
              </w:rPr>
            </w:pPr>
            <w:r>
              <w:rPr>
                <w:rFonts w:cs="Tahoma"/>
                <w:b/>
                <w:sz w:val="17"/>
                <w:szCs w:val="17"/>
              </w:rPr>
              <w:t>21,75</w:t>
            </w:r>
          </w:p>
        </w:tc>
        <w:tc>
          <w:tcPr>
            <w:tcW w:w="698" w:type="dxa"/>
            <w:tcBorders>
              <w:top w:val="single" w:sz="4" w:space="0" w:color="auto"/>
              <w:left w:val="single" w:sz="4" w:space="0" w:color="auto"/>
              <w:bottom w:val="single" w:sz="4" w:space="0" w:color="auto"/>
              <w:right w:val="single" w:sz="4" w:space="0" w:color="auto"/>
            </w:tcBorders>
            <w:vAlign w:val="center"/>
          </w:tcPr>
          <w:p w14:paraId="7DCA320F" w14:textId="32FC8A99" w:rsidR="00295527" w:rsidRPr="00295527" w:rsidRDefault="00295527" w:rsidP="00295527">
            <w:pPr>
              <w:spacing w:before="60" w:after="40" w:line="288" w:lineRule="auto"/>
              <w:ind w:left="-108" w:firstLine="0"/>
              <w:jc w:val="right"/>
              <w:rPr>
                <w:rFonts w:cs="Tahoma"/>
                <w:b/>
                <w:sz w:val="17"/>
                <w:szCs w:val="17"/>
              </w:rPr>
            </w:pPr>
            <w:r>
              <w:rPr>
                <w:rFonts w:cs="Tahoma"/>
                <w:b/>
                <w:sz w:val="17"/>
                <w:szCs w:val="17"/>
              </w:rPr>
              <w:t>22,40</w:t>
            </w:r>
          </w:p>
        </w:tc>
        <w:tc>
          <w:tcPr>
            <w:tcW w:w="699" w:type="dxa"/>
            <w:tcBorders>
              <w:top w:val="single" w:sz="4" w:space="0" w:color="auto"/>
              <w:left w:val="single" w:sz="4" w:space="0" w:color="auto"/>
              <w:bottom w:val="single" w:sz="4" w:space="0" w:color="auto"/>
              <w:right w:val="single" w:sz="4" w:space="0" w:color="auto"/>
            </w:tcBorders>
            <w:vAlign w:val="center"/>
          </w:tcPr>
          <w:p w14:paraId="58FE2ED7" w14:textId="5BF64AE7" w:rsidR="00295527" w:rsidRPr="00295527" w:rsidRDefault="00295527" w:rsidP="00295527">
            <w:pPr>
              <w:spacing w:before="60" w:after="40" w:line="288" w:lineRule="auto"/>
              <w:ind w:left="-97" w:firstLine="0"/>
              <w:jc w:val="right"/>
              <w:rPr>
                <w:rFonts w:cs="Tahoma"/>
                <w:b/>
                <w:sz w:val="17"/>
                <w:szCs w:val="17"/>
              </w:rPr>
            </w:pPr>
            <w:r>
              <w:rPr>
                <w:rFonts w:cs="Tahoma"/>
                <w:b/>
                <w:sz w:val="17"/>
                <w:szCs w:val="17"/>
              </w:rPr>
              <w:t>22,40</w:t>
            </w:r>
          </w:p>
        </w:tc>
      </w:tr>
      <w:tr w:rsidR="00295527" w:rsidRPr="00821AF6" w14:paraId="29AF3F7C" w14:textId="77777777" w:rsidTr="00826809">
        <w:trPr>
          <w:cantSplit/>
          <w:jc w:val="center"/>
        </w:trPr>
        <w:tc>
          <w:tcPr>
            <w:tcW w:w="559" w:type="dxa"/>
            <w:tcBorders>
              <w:top w:val="double" w:sz="4" w:space="0" w:color="auto"/>
              <w:left w:val="single" w:sz="4" w:space="0" w:color="auto"/>
              <w:bottom w:val="single" w:sz="4" w:space="0" w:color="auto"/>
              <w:right w:val="single" w:sz="4" w:space="0" w:color="auto"/>
            </w:tcBorders>
            <w:shd w:val="clear" w:color="auto" w:fill="FFF2CC" w:themeFill="accent4" w:themeFillTint="33"/>
            <w:vAlign w:val="center"/>
          </w:tcPr>
          <w:p w14:paraId="4425CAFE" w14:textId="77777777" w:rsidR="00295527" w:rsidRPr="00821AF6" w:rsidRDefault="00295527" w:rsidP="00295527">
            <w:pPr>
              <w:spacing w:before="60" w:after="40" w:line="288" w:lineRule="auto"/>
              <w:ind w:firstLine="0"/>
              <w:jc w:val="center"/>
              <w:rPr>
                <w:rFonts w:cs="Tahoma"/>
                <w:b/>
                <w:sz w:val="18"/>
                <w:szCs w:val="18"/>
              </w:rPr>
            </w:pPr>
            <w:r w:rsidRPr="00821AF6">
              <w:rPr>
                <w:rFonts w:cs="Tahoma"/>
                <w:b/>
                <w:sz w:val="18"/>
                <w:szCs w:val="18"/>
              </w:rPr>
              <w:t>2</w:t>
            </w:r>
          </w:p>
        </w:tc>
        <w:tc>
          <w:tcPr>
            <w:tcW w:w="13446" w:type="dxa"/>
            <w:gridSpan w:val="17"/>
            <w:tcBorders>
              <w:top w:val="double" w:sz="4" w:space="0" w:color="auto"/>
              <w:left w:val="single" w:sz="4" w:space="0" w:color="auto"/>
              <w:bottom w:val="single" w:sz="4" w:space="0" w:color="auto"/>
              <w:right w:val="single" w:sz="4" w:space="0" w:color="auto"/>
            </w:tcBorders>
            <w:shd w:val="clear" w:color="auto" w:fill="FFF2CC" w:themeFill="accent4" w:themeFillTint="33"/>
            <w:vAlign w:val="center"/>
          </w:tcPr>
          <w:p w14:paraId="78E95001" w14:textId="0DE45B12" w:rsidR="00295527" w:rsidRPr="00145DBA" w:rsidRDefault="00295527" w:rsidP="00295527">
            <w:pPr>
              <w:spacing w:before="60" w:after="40" w:line="288" w:lineRule="auto"/>
              <w:ind w:firstLine="0"/>
              <w:jc w:val="left"/>
              <w:rPr>
                <w:rFonts w:cs="Tahoma"/>
                <w:b/>
                <w:sz w:val="18"/>
                <w:szCs w:val="18"/>
              </w:rPr>
            </w:pPr>
            <w:r>
              <w:rPr>
                <w:rFonts w:cs="Tahoma"/>
                <w:b/>
                <w:sz w:val="18"/>
                <w:szCs w:val="18"/>
              </w:rPr>
              <w:t>Wariant elektryczny</w:t>
            </w:r>
          </w:p>
        </w:tc>
      </w:tr>
      <w:tr w:rsidR="00295527" w:rsidRPr="00821AF6" w14:paraId="7EE962DE"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43233B1C" w14:textId="77777777" w:rsidR="00295527" w:rsidRPr="00821AF6" w:rsidRDefault="00295527" w:rsidP="00295527">
            <w:pPr>
              <w:spacing w:before="60" w:after="40" w:line="288" w:lineRule="auto"/>
              <w:ind w:firstLine="0"/>
              <w:jc w:val="center"/>
              <w:rPr>
                <w:rFonts w:cs="Tahoma"/>
                <w:sz w:val="18"/>
                <w:szCs w:val="18"/>
              </w:rPr>
            </w:pPr>
            <w:r w:rsidRPr="00821AF6">
              <w:rPr>
                <w:rFonts w:cs="Tahoma"/>
                <w:sz w:val="18"/>
                <w:szCs w:val="18"/>
              </w:rPr>
              <w:t>2.1</w:t>
            </w:r>
          </w:p>
        </w:tc>
        <w:tc>
          <w:tcPr>
            <w:tcW w:w="2127" w:type="dxa"/>
            <w:tcBorders>
              <w:top w:val="single" w:sz="4" w:space="0" w:color="auto"/>
              <w:left w:val="single" w:sz="4" w:space="0" w:color="auto"/>
              <w:bottom w:val="single" w:sz="4" w:space="0" w:color="auto"/>
              <w:right w:val="single" w:sz="4" w:space="0" w:color="auto"/>
            </w:tcBorders>
            <w:vAlign w:val="center"/>
          </w:tcPr>
          <w:p w14:paraId="399F6A74" w14:textId="293FFDE0" w:rsidR="00295527" w:rsidRPr="00821AF6" w:rsidRDefault="00295527" w:rsidP="00295527">
            <w:pPr>
              <w:spacing w:before="60" w:after="40" w:line="288" w:lineRule="auto"/>
              <w:ind w:firstLine="0"/>
              <w:jc w:val="left"/>
              <w:rPr>
                <w:rFonts w:cs="Tahoma"/>
                <w:sz w:val="18"/>
                <w:szCs w:val="18"/>
              </w:rPr>
            </w:pPr>
            <w:r w:rsidRPr="00821AF6">
              <w:rPr>
                <w:rFonts w:cs="Tahoma"/>
                <w:sz w:val="18"/>
                <w:szCs w:val="18"/>
              </w:rPr>
              <w:t xml:space="preserve">Autobusy </w:t>
            </w:r>
            <w:r>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vAlign w:val="center"/>
          </w:tcPr>
          <w:p w14:paraId="33C3B058" w14:textId="517C79EB"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550EF64" w14:textId="2F5DFAE6"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CFCBDD9" w14:textId="436F0AD1"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70C04AC" w14:textId="15FED5C9" w:rsidR="00295527" w:rsidRPr="00821AF6" w:rsidRDefault="00295527" w:rsidP="00295527">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331C2855" w14:textId="6F92B935"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A44034B" w14:textId="67801F0C"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E3F39D8" w14:textId="4F633445"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A9B1F5C" w14:textId="6D4EAA69"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0C0EEB0F" w14:textId="3B525A99"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35C61BC" w14:textId="5DFA233A" w:rsidR="00295527" w:rsidRPr="00145DBA" w:rsidRDefault="00E246FF" w:rsidP="00295527">
            <w:pPr>
              <w:spacing w:before="60" w:after="40" w:line="288" w:lineRule="auto"/>
              <w:ind w:firstLine="0"/>
              <w:jc w:val="right"/>
              <w:rPr>
                <w:rFonts w:cs="Tahoma"/>
                <w:sz w:val="18"/>
                <w:szCs w:val="18"/>
              </w:rPr>
            </w:pPr>
            <w:r>
              <w:rPr>
                <w:rFonts w:cs="Tahoma"/>
                <w:sz w:val="18"/>
                <w:szCs w:val="18"/>
              </w:rPr>
              <w:t>2,95</w:t>
            </w:r>
          </w:p>
        </w:tc>
        <w:tc>
          <w:tcPr>
            <w:tcW w:w="709" w:type="dxa"/>
            <w:tcBorders>
              <w:top w:val="single" w:sz="4" w:space="0" w:color="auto"/>
              <w:left w:val="single" w:sz="4" w:space="0" w:color="auto"/>
              <w:bottom w:val="single" w:sz="4" w:space="0" w:color="auto"/>
              <w:right w:val="single" w:sz="4" w:space="0" w:color="auto"/>
            </w:tcBorders>
            <w:vAlign w:val="center"/>
          </w:tcPr>
          <w:p w14:paraId="7A1E477B" w14:textId="4B70A509" w:rsidR="00295527" w:rsidRPr="00145DBA" w:rsidRDefault="00295527" w:rsidP="00295527">
            <w:pPr>
              <w:spacing w:before="60" w:after="40" w:line="288" w:lineRule="auto"/>
              <w:ind w:firstLine="0"/>
              <w:jc w:val="right"/>
              <w:rPr>
                <w:rFonts w:cs="Tahoma"/>
                <w:sz w:val="18"/>
                <w:szCs w:val="18"/>
              </w:rPr>
            </w:pPr>
            <w:r>
              <w:rPr>
                <w:rFonts w:cs="Tahoma"/>
                <w:sz w:val="18"/>
                <w:szCs w:val="18"/>
              </w:rPr>
              <w:t>1,96</w:t>
            </w:r>
          </w:p>
        </w:tc>
        <w:tc>
          <w:tcPr>
            <w:tcW w:w="709" w:type="dxa"/>
            <w:tcBorders>
              <w:top w:val="single" w:sz="4" w:space="0" w:color="auto"/>
              <w:left w:val="single" w:sz="4" w:space="0" w:color="auto"/>
              <w:bottom w:val="single" w:sz="4" w:space="0" w:color="auto"/>
              <w:right w:val="single" w:sz="4" w:space="0" w:color="auto"/>
            </w:tcBorders>
            <w:vAlign w:val="center"/>
          </w:tcPr>
          <w:p w14:paraId="76A91FE2" w14:textId="3B783977" w:rsidR="00295527" w:rsidRPr="00145DBA" w:rsidRDefault="00295527" w:rsidP="00295527">
            <w:pPr>
              <w:spacing w:before="60" w:after="40" w:line="288" w:lineRule="auto"/>
              <w:ind w:firstLine="0"/>
              <w:jc w:val="right"/>
              <w:rPr>
                <w:rFonts w:cs="Tahoma"/>
                <w:sz w:val="18"/>
                <w:szCs w:val="18"/>
              </w:rPr>
            </w:pPr>
            <w:r>
              <w:rPr>
                <w:rFonts w:cs="Tahoma"/>
                <w:sz w:val="18"/>
                <w:szCs w:val="18"/>
              </w:rPr>
              <w:t>4,90</w:t>
            </w:r>
          </w:p>
        </w:tc>
        <w:tc>
          <w:tcPr>
            <w:tcW w:w="708" w:type="dxa"/>
            <w:tcBorders>
              <w:top w:val="single" w:sz="4" w:space="0" w:color="auto"/>
              <w:left w:val="single" w:sz="4" w:space="0" w:color="auto"/>
              <w:bottom w:val="single" w:sz="4" w:space="0" w:color="auto"/>
              <w:right w:val="single" w:sz="4" w:space="0" w:color="auto"/>
            </w:tcBorders>
            <w:vAlign w:val="center"/>
          </w:tcPr>
          <w:p w14:paraId="51391803" w14:textId="0E4152FD" w:rsidR="00295527" w:rsidRPr="00145DBA" w:rsidRDefault="00295527" w:rsidP="00295527">
            <w:pPr>
              <w:spacing w:before="60" w:after="40" w:line="288" w:lineRule="auto"/>
              <w:ind w:firstLine="0"/>
              <w:jc w:val="right"/>
              <w:rPr>
                <w:rFonts w:cs="Tahoma"/>
                <w:sz w:val="18"/>
                <w:szCs w:val="18"/>
              </w:rPr>
            </w:pPr>
            <w:r>
              <w:rPr>
                <w:rFonts w:cs="Tahoma"/>
                <w:sz w:val="18"/>
                <w:szCs w:val="18"/>
              </w:rPr>
              <w:t>21,30</w:t>
            </w:r>
          </w:p>
        </w:tc>
        <w:tc>
          <w:tcPr>
            <w:tcW w:w="709" w:type="dxa"/>
            <w:tcBorders>
              <w:top w:val="single" w:sz="4" w:space="0" w:color="auto"/>
              <w:left w:val="single" w:sz="4" w:space="0" w:color="auto"/>
              <w:bottom w:val="single" w:sz="4" w:space="0" w:color="auto"/>
              <w:right w:val="single" w:sz="4" w:space="0" w:color="auto"/>
            </w:tcBorders>
            <w:vAlign w:val="center"/>
          </w:tcPr>
          <w:p w14:paraId="165B0F1F" w14:textId="7B1975B2" w:rsidR="00295527" w:rsidRPr="00145DBA" w:rsidRDefault="00295527" w:rsidP="00295527">
            <w:pPr>
              <w:spacing w:before="60" w:after="40" w:line="288" w:lineRule="auto"/>
              <w:ind w:firstLine="0"/>
              <w:jc w:val="right"/>
              <w:rPr>
                <w:rFonts w:cs="Tahoma"/>
                <w:sz w:val="18"/>
                <w:szCs w:val="18"/>
              </w:rPr>
            </w:pPr>
            <w:r>
              <w:rPr>
                <w:rFonts w:cs="Tahoma"/>
                <w:sz w:val="18"/>
                <w:szCs w:val="18"/>
              </w:rPr>
              <w:t>21,30</w:t>
            </w:r>
          </w:p>
        </w:tc>
        <w:tc>
          <w:tcPr>
            <w:tcW w:w="698" w:type="dxa"/>
            <w:tcBorders>
              <w:top w:val="single" w:sz="4" w:space="0" w:color="auto"/>
              <w:left w:val="single" w:sz="4" w:space="0" w:color="auto"/>
              <w:bottom w:val="single" w:sz="4" w:space="0" w:color="auto"/>
              <w:right w:val="single" w:sz="4" w:space="0" w:color="auto"/>
            </w:tcBorders>
            <w:vAlign w:val="center"/>
          </w:tcPr>
          <w:p w14:paraId="2E74BFA1" w14:textId="1AC519F0"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699" w:type="dxa"/>
            <w:tcBorders>
              <w:top w:val="single" w:sz="4" w:space="0" w:color="auto"/>
              <w:left w:val="single" w:sz="4" w:space="0" w:color="auto"/>
              <w:bottom w:val="single" w:sz="4" w:space="0" w:color="auto"/>
              <w:right w:val="single" w:sz="4" w:space="0" w:color="auto"/>
            </w:tcBorders>
            <w:vAlign w:val="center"/>
          </w:tcPr>
          <w:p w14:paraId="3E5FDE8B" w14:textId="1680D1CC"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r>
      <w:tr w:rsidR="00295527" w:rsidRPr="00821AF6" w14:paraId="6170024B"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DAC4EE8" w14:textId="23931FED" w:rsidR="00295527" w:rsidRPr="00821AF6" w:rsidRDefault="00295527" w:rsidP="00295527">
            <w:pPr>
              <w:spacing w:before="60" w:after="40" w:line="288" w:lineRule="auto"/>
              <w:ind w:firstLine="0"/>
              <w:jc w:val="center"/>
              <w:rPr>
                <w:rFonts w:cs="Tahoma"/>
                <w:sz w:val="18"/>
                <w:szCs w:val="18"/>
              </w:rPr>
            </w:pPr>
            <w:r w:rsidRPr="00821AF6">
              <w:rPr>
                <w:rFonts w:cs="Tahoma"/>
                <w:sz w:val="18"/>
                <w:szCs w:val="18"/>
              </w:rPr>
              <w:t>2.2</w:t>
            </w:r>
          </w:p>
        </w:tc>
        <w:tc>
          <w:tcPr>
            <w:tcW w:w="2127" w:type="dxa"/>
            <w:tcBorders>
              <w:top w:val="single" w:sz="4" w:space="0" w:color="auto"/>
              <w:left w:val="single" w:sz="4" w:space="0" w:color="auto"/>
              <w:bottom w:val="single" w:sz="4" w:space="0" w:color="auto"/>
              <w:right w:val="single" w:sz="4" w:space="0" w:color="auto"/>
            </w:tcBorders>
            <w:vAlign w:val="center"/>
          </w:tcPr>
          <w:p w14:paraId="165BFFE3" w14:textId="4006343E" w:rsidR="00295527" w:rsidRPr="00821AF6" w:rsidRDefault="00295527" w:rsidP="00295527">
            <w:pPr>
              <w:spacing w:before="60" w:after="40" w:line="288" w:lineRule="auto"/>
              <w:ind w:firstLine="0"/>
              <w:jc w:val="left"/>
              <w:rPr>
                <w:rFonts w:cs="Tahoma"/>
                <w:sz w:val="18"/>
                <w:szCs w:val="18"/>
              </w:rPr>
            </w:pPr>
            <w:r w:rsidRPr="00821AF6">
              <w:rPr>
                <w:rFonts w:cs="Tahoma"/>
                <w:sz w:val="18"/>
                <w:szCs w:val="18"/>
              </w:rPr>
              <w:t>Autobusy</w:t>
            </w:r>
            <w:r>
              <w:rPr>
                <w:rFonts w:cs="Tahoma"/>
                <w:sz w:val="18"/>
                <w:szCs w:val="18"/>
              </w:rPr>
              <w:t xml:space="preserve"> CNG</w:t>
            </w:r>
          </w:p>
        </w:tc>
        <w:tc>
          <w:tcPr>
            <w:tcW w:w="708" w:type="dxa"/>
            <w:tcBorders>
              <w:top w:val="single" w:sz="4" w:space="0" w:color="auto"/>
              <w:left w:val="single" w:sz="4" w:space="0" w:color="auto"/>
              <w:bottom w:val="single" w:sz="4" w:space="0" w:color="auto"/>
              <w:right w:val="single" w:sz="4" w:space="0" w:color="auto"/>
            </w:tcBorders>
            <w:vAlign w:val="center"/>
          </w:tcPr>
          <w:p w14:paraId="627466A1" w14:textId="66FD4F21"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6920D0D" w14:textId="1ED1A4E5"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C0B680A" w14:textId="6BAF9AFD" w:rsidR="00295527" w:rsidRPr="00145DBA" w:rsidRDefault="00295527" w:rsidP="00295527">
            <w:pPr>
              <w:spacing w:before="60" w:after="40" w:line="288" w:lineRule="auto"/>
              <w:ind w:firstLine="0"/>
              <w:jc w:val="right"/>
              <w:rPr>
                <w:rFonts w:cs="Tahoma"/>
                <w:sz w:val="18"/>
                <w:szCs w:val="18"/>
              </w:rPr>
            </w:pPr>
            <w:r>
              <w:rPr>
                <w:rFonts w:cs="Tahoma"/>
                <w:sz w:val="18"/>
                <w:szCs w:val="18"/>
              </w:rPr>
              <w:t>21,16</w:t>
            </w:r>
          </w:p>
        </w:tc>
        <w:tc>
          <w:tcPr>
            <w:tcW w:w="709" w:type="dxa"/>
            <w:tcBorders>
              <w:top w:val="single" w:sz="4" w:space="0" w:color="auto"/>
              <w:left w:val="single" w:sz="4" w:space="0" w:color="auto"/>
              <w:bottom w:val="single" w:sz="4" w:space="0" w:color="auto"/>
              <w:right w:val="single" w:sz="4" w:space="0" w:color="auto"/>
            </w:tcBorders>
            <w:vAlign w:val="center"/>
          </w:tcPr>
          <w:p w14:paraId="6CA329F0" w14:textId="5349DFA4" w:rsidR="00295527" w:rsidRPr="00821AF6" w:rsidRDefault="00295527" w:rsidP="00295527">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4A8CC204" w14:textId="1F857CD3"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4FBE79A" w14:textId="5F126518"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EF0B1C0" w14:textId="41A4FE39" w:rsidR="00295527" w:rsidRPr="00145DBA" w:rsidRDefault="00295527" w:rsidP="00295527">
            <w:pPr>
              <w:spacing w:before="60" w:after="40" w:line="288" w:lineRule="auto"/>
              <w:ind w:firstLine="0"/>
              <w:jc w:val="right"/>
              <w:rPr>
                <w:rFonts w:cs="Tahoma"/>
                <w:sz w:val="18"/>
                <w:szCs w:val="18"/>
              </w:rPr>
            </w:pPr>
            <w:r>
              <w:rPr>
                <w:rFonts w:cs="Tahoma"/>
                <w:sz w:val="18"/>
                <w:szCs w:val="18"/>
              </w:rPr>
              <w:t>8,96</w:t>
            </w:r>
          </w:p>
        </w:tc>
        <w:tc>
          <w:tcPr>
            <w:tcW w:w="709" w:type="dxa"/>
            <w:tcBorders>
              <w:top w:val="single" w:sz="4" w:space="0" w:color="auto"/>
              <w:left w:val="single" w:sz="4" w:space="0" w:color="auto"/>
              <w:bottom w:val="single" w:sz="4" w:space="0" w:color="auto"/>
              <w:right w:val="single" w:sz="4" w:space="0" w:color="auto"/>
            </w:tcBorders>
            <w:vAlign w:val="center"/>
          </w:tcPr>
          <w:p w14:paraId="12DFCC13" w14:textId="755BC6A1" w:rsidR="00295527" w:rsidRPr="00145DBA" w:rsidRDefault="00295527" w:rsidP="00295527">
            <w:pPr>
              <w:spacing w:before="60" w:after="40" w:line="288" w:lineRule="auto"/>
              <w:ind w:firstLine="0"/>
              <w:jc w:val="right"/>
              <w:rPr>
                <w:rFonts w:cs="Tahoma"/>
                <w:sz w:val="18"/>
                <w:szCs w:val="18"/>
              </w:rPr>
            </w:pPr>
            <w:r>
              <w:rPr>
                <w:rFonts w:cs="Tahoma"/>
                <w:sz w:val="18"/>
                <w:szCs w:val="18"/>
              </w:rPr>
              <w:t>22,17</w:t>
            </w:r>
          </w:p>
        </w:tc>
        <w:tc>
          <w:tcPr>
            <w:tcW w:w="708" w:type="dxa"/>
            <w:tcBorders>
              <w:top w:val="single" w:sz="4" w:space="0" w:color="auto"/>
              <w:left w:val="single" w:sz="4" w:space="0" w:color="auto"/>
              <w:bottom w:val="single" w:sz="4" w:space="0" w:color="auto"/>
              <w:right w:val="single" w:sz="4" w:space="0" w:color="auto"/>
            </w:tcBorders>
            <w:vAlign w:val="center"/>
          </w:tcPr>
          <w:p w14:paraId="2EA4A6A8" w14:textId="5EFEFD1A"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D9A45E2" w14:textId="7740AC07"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277DA8D" w14:textId="071483BB"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B0818FB" w14:textId="390E41B9"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30B33325" w14:textId="72FC3729"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5BDE3E3" w14:textId="50DD21BF"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698" w:type="dxa"/>
            <w:tcBorders>
              <w:top w:val="single" w:sz="4" w:space="0" w:color="auto"/>
              <w:left w:val="single" w:sz="4" w:space="0" w:color="auto"/>
              <w:bottom w:val="single" w:sz="4" w:space="0" w:color="auto"/>
              <w:right w:val="single" w:sz="4" w:space="0" w:color="auto"/>
            </w:tcBorders>
            <w:vAlign w:val="center"/>
          </w:tcPr>
          <w:p w14:paraId="09E25460" w14:textId="4E646DFC" w:rsidR="00295527" w:rsidRPr="00145DBA" w:rsidRDefault="00295527" w:rsidP="00295527">
            <w:pPr>
              <w:spacing w:before="60" w:after="40" w:line="288" w:lineRule="auto"/>
              <w:ind w:firstLine="0"/>
              <w:jc w:val="right"/>
              <w:rPr>
                <w:rFonts w:cs="Tahoma"/>
                <w:sz w:val="18"/>
                <w:szCs w:val="18"/>
              </w:rPr>
            </w:pPr>
            <w:r>
              <w:rPr>
                <w:rFonts w:cs="Tahoma"/>
                <w:sz w:val="18"/>
                <w:szCs w:val="18"/>
              </w:rPr>
              <w:t>22,40</w:t>
            </w:r>
          </w:p>
        </w:tc>
        <w:tc>
          <w:tcPr>
            <w:tcW w:w="699" w:type="dxa"/>
            <w:tcBorders>
              <w:top w:val="single" w:sz="4" w:space="0" w:color="auto"/>
              <w:left w:val="single" w:sz="4" w:space="0" w:color="auto"/>
              <w:bottom w:val="single" w:sz="4" w:space="0" w:color="auto"/>
              <w:right w:val="single" w:sz="4" w:space="0" w:color="auto"/>
            </w:tcBorders>
            <w:vAlign w:val="center"/>
          </w:tcPr>
          <w:p w14:paraId="624DE5A6" w14:textId="7DDC2EF7" w:rsidR="00295527" w:rsidRPr="00145DBA" w:rsidRDefault="00295527" w:rsidP="00295527">
            <w:pPr>
              <w:spacing w:before="60" w:after="40" w:line="288" w:lineRule="auto"/>
              <w:ind w:firstLine="0"/>
              <w:jc w:val="right"/>
              <w:rPr>
                <w:rFonts w:cs="Tahoma"/>
                <w:sz w:val="18"/>
                <w:szCs w:val="18"/>
              </w:rPr>
            </w:pPr>
            <w:r>
              <w:rPr>
                <w:rFonts w:cs="Tahoma"/>
                <w:sz w:val="18"/>
                <w:szCs w:val="18"/>
              </w:rPr>
              <w:t>22,40</w:t>
            </w:r>
          </w:p>
        </w:tc>
      </w:tr>
      <w:tr w:rsidR="00295527" w:rsidRPr="00821AF6" w14:paraId="3D91A8C7"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A82DFD3" w14:textId="5A599C36" w:rsidR="00295527" w:rsidRPr="00821AF6" w:rsidRDefault="00295527" w:rsidP="00295527">
            <w:pPr>
              <w:spacing w:before="60" w:after="40" w:line="288" w:lineRule="auto"/>
              <w:ind w:firstLine="0"/>
              <w:jc w:val="center"/>
              <w:rPr>
                <w:rFonts w:cs="Tahoma"/>
                <w:sz w:val="18"/>
                <w:szCs w:val="18"/>
              </w:rPr>
            </w:pPr>
            <w:r w:rsidRPr="00821AF6">
              <w:rPr>
                <w:rFonts w:cs="Tahoma"/>
                <w:sz w:val="18"/>
                <w:szCs w:val="18"/>
              </w:rPr>
              <w:t>2.3</w:t>
            </w:r>
          </w:p>
        </w:tc>
        <w:tc>
          <w:tcPr>
            <w:tcW w:w="2127" w:type="dxa"/>
            <w:tcBorders>
              <w:top w:val="single" w:sz="4" w:space="0" w:color="auto"/>
              <w:left w:val="single" w:sz="4" w:space="0" w:color="auto"/>
              <w:bottom w:val="single" w:sz="4" w:space="0" w:color="auto"/>
              <w:right w:val="single" w:sz="4" w:space="0" w:color="auto"/>
            </w:tcBorders>
            <w:vAlign w:val="center"/>
          </w:tcPr>
          <w:p w14:paraId="69D1812F" w14:textId="7C47F2A5" w:rsidR="00295527" w:rsidRPr="00821AF6" w:rsidRDefault="00295527" w:rsidP="00295527">
            <w:pPr>
              <w:spacing w:before="60" w:after="40" w:line="288" w:lineRule="auto"/>
              <w:ind w:firstLine="0"/>
              <w:jc w:val="left"/>
              <w:rPr>
                <w:rFonts w:cs="Tahoma"/>
                <w:sz w:val="18"/>
                <w:szCs w:val="18"/>
              </w:rPr>
            </w:pPr>
            <w:r w:rsidRPr="00821AF6">
              <w:rPr>
                <w:rFonts w:cs="Tahoma"/>
                <w:sz w:val="18"/>
                <w:szCs w:val="18"/>
              </w:rPr>
              <w:t>Autobusy</w:t>
            </w:r>
            <w:r>
              <w:rPr>
                <w:rFonts w:cs="Tahoma"/>
                <w:sz w:val="18"/>
                <w:szCs w:val="18"/>
              </w:rPr>
              <w:t xml:space="preserve"> </w:t>
            </w:r>
            <w:r w:rsidRPr="00821AF6">
              <w:rPr>
                <w:rFonts w:cs="Tahoma"/>
                <w:sz w:val="18"/>
                <w:szCs w:val="18"/>
              </w:rPr>
              <w:t>elektryczne</w:t>
            </w:r>
          </w:p>
        </w:tc>
        <w:tc>
          <w:tcPr>
            <w:tcW w:w="708" w:type="dxa"/>
            <w:tcBorders>
              <w:top w:val="single" w:sz="4" w:space="0" w:color="auto"/>
              <w:left w:val="single" w:sz="4" w:space="0" w:color="auto"/>
              <w:bottom w:val="single" w:sz="4" w:space="0" w:color="auto"/>
              <w:right w:val="single" w:sz="4" w:space="0" w:color="auto"/>
            </w:tcBorders>
            <w:vAlign w:val="center"/>
          </w:tcPr>
          <w:p w14:paraId="2555D89E" w14:textId="0302B272"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963F87E" w14:textId="19846482"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B40E479" w14:textId="688F89E8" w:rsidR="00295527" w:rsidRPr="00145DBA" w:rsidRDefault="00295527" w:rsidP="00295527">
            <w:pPr>
              <w:spacing w:before="60" w:after="40" w:line="288" w:lineRule="auto"/>
              <w:ind w:firstLine="0"/>
              <w:jc w:val="right"/>
              <w:rPr>
                <w:rFonts w:cs="Tahoma"/>
                <w:sz w:val="18"/>
                <w:szCs w:val="18"/>
              </w:rPr>
            </w:pPr>
            <w:r>
              <w:rPr>
                <w:rFonts w:cs="Tahoma"/>
                <w:sz w:val="18"/>
                <w:szCs w:val="18"/>
              </w:rPr>
              <w:t>6,8</w:t>
            </w:r>
            <w:r w:rsidR="006D2BD2">
              <w:rPr>
                <w:rFonts w:cs="Tahoma"/>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4389C29C" w14:textId="55A6291F" w:rsidR="00295527" w:rsidRPr="00821AF6" w:rsidRDefault="00295527" w:rsidP="00295527">
            <w:pPr>
              <w:spacing w:before="60" w:after="40" w:line="288" w:lineRule="auto"/>
              <w:ind w:firstLine="0"/>
              <w:jc w:val="right"/>
              <w:rPr>
                <w:rFonts w:cs="Tahoma"/>
                <w:sz w:val="18"/>
                <w:szCs w:val="18"/>
              </w:rPr>
            </w:pPr>
            <w:r>
              <w:rPr>
                <w:rFonts w:cs="Tahoma"/>
                <w:sz w:val="18"/>
                <w:szCs w:val="18"/>
              </w:rPr>
              <w:t>76,31</w:t>
            </w:r>
          </w:p>
        </w:tc>
        <w:tc>
          <w:tcPr>
            <w:tcW w:w="708" w:type="dxa"/>
            <w:tcBorders>
              <w:top w:val="single" w:sz="4" w:space="0" w:color="auto"/>
              <w:left w:val="single" w:sz="4" w:space="0" w:color="auto"/>
              <w:bottom w:val="single" w:sz="4" w:space="0" w:color="auto"/>
              <w:right w:val="single" w:sz="4" w:space="0" w:color="auto"/>
            </w:tcBorders>
            <w:vAlign w:val="center"/>
          </w:tcPr>
          <w:p w14:paraId="16FBAD8C" w14:textId="3BA7EB6B"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03D834A" w14:textId="33FF4C6D"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2E286E5" w14:textId="78218D70" w:rsidR="00295527" w:rsidRPr="00145DBA" w:rsidRDefault="00295527" w:rsidP="00295527">
            <w:pPr>
              <w:spacing w:before="60" w:after="40" w:line="288" w:lineRule="auto"/>
              <w:ind w:firstLine="0"/>
              <w:jc w:val="right"/>
              <w:rPr>
                <w:rFonts w:cs="Tahoma"/>
                <w:sz w:val="18"/>
                <w:szCs w:val="18"/>
              </w:rPr>
            </w:pPr>
            <w:r>
              <w:rPr>
                <w:rFonts w:cs="Tahoma"/>
                <w:sz w:val="18"/>
                <w:szCs w:val="18"/>
              </w:rPr>
              <w:t>56,88</w:t>
            </w:r>
          </w:p>
        </w:tc>
        <w:tc>
          <w:tcPr>
            <w:tcW w:w="709" w:type="dxa"/>
            <w:tcBorders>
              <w:top w:val="single" w:sz="4" w:space="0" w:color="auto"/>
              <w:left w:val="single" w:sz="4" w:space="0" w:color="auto"/>
              <w:bottom w:val="single" w:sz="4" w:space="0" w:color="auto"/>
              <w:right w:val="single" w:sz="4" w:space="0" w:color="auto"/>
            </w:tcBorders>
            <w:vAlign w:val="center"/>
          </w:tcPr>
          <w:p w14:paraId="275DF74E" w14:textId="4AE1A923" w:rsidR="00295527" w:rsidRPr="00145DBA" w:rsidRDefault="00295527" w:rsidP="00295527">
            <w:pPr>
              <w:spacing w:before="60" w:after="40" w:line="288" w:lineRule="auto"/>
              <w:ind w:firstLine="0"/>
              <w:jc w:val="right"/>
              <w:rPr>
                <w:rFonts w:cs="Tahoma"/>
                <w:sz w:val="18"/>
                <w:szCs w:val="18"/>
              </w:rPr>
            </w:pPr>
            <w:r>
              <w:rPr>
                <w:rFonts w:cs="Tahoma"/>
                <w:sz w:val="18"/>
                <w:szCs w:val="18"/>
              </w:rPr>
              <w:t>9,48</w:t>
            </w:r>
          </w:p>
        </w:tc>
        <w:tc>
          <w:tcPr>
            <w:tcW w:w="708" w:type="dxa"/>
            <w:tcBorders>
              <w:top w:val="single" w:sz="4" w:space="0" w:color="auto"/>
              <w:left w:val="single" w:sz="4" w:space="0" w:color="auto"/>
              <w:bottom w:val="single" w:sz="4" w:space="0" w:color="auto"/>
              <w:right w:val="single" w:sz="4" w:space="0" w:color="auto"/>
            </w:tcBorders>
            <w:vAlign w:val="center"/>
          </w:tcPr>
          <w:p w14:paraId="5AE52554" w14:textId="4E228126"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3D5F7FC" w14:textId="1CC17C0D"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2974AAC" w14:textId="45C0D21E"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118974D" w14:textId="1149A91C" w:rsidR="00295527" w:rsidRPr="00145DBA" w:rsidRDefault="00295527" w:rsidP="00295527">
            <w:pPr>
              <w:spacing w:before="60" w:after="40" w:line="288" w:lineRule="auto"/>
              <w:ind w:firstLine="0"/>
              <w:jc w:val="right"/>
              <w:rPr>
                <w:rFonts w:cs="Tahoma"/>
                <w:sz w:val="18"/>
                <w:szCs w:val="18"/>
              </w:rPr>
            </w:pPr>
            <w:r>
              <w:rPr>
                <w:rFonts w:cs="Tahoma"/>
                <w:sz w:val="18"/>
                <w:szCs w:val="18"/>
              </w:rPr>
              <w:t>14,22</w:t>
            </w:r>
          </w:p>
        </w:tc>
        <w:tc>
          <w:tcPr>
            <w:tcW w:w="708" w:type="dxa"/>
            <w:tcBorders>
              <w:top w:val="single" w:sz="4" w:space="0" w:color="auto"/>
              <w:left w:val="single" w:sz="4" w:space="0" w:color="auto"/>
              <w:bottom w:val="single" w:sz="4" w:space="0" w:color="auto"/>
              <w:right w:val="single" w:sz="4" w:space="0" w:color="auto"/>
            </w:tcBorders>
            <w:vAlign w:val="center"/>
          </w:tcPr>
          <w:p w14:paraId="0771579E" w14:textId="51E95357"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23AF86E" w14:textId="7F2F04F9"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698" w:type="dxa"/>
            <w:tcBorders>
              <w:top w:val="single" w:sz="4" w:space="0" w:color="auto"/>
              <w:left w:val="single" w:sz="4" w:space="0" w:color="auto"/>
              <w:bottom w:val="single" w:sz="4" w:space="0" w:color="auto"/>
              <w:right w:val="single" w:sz="4" w:space="0" w:color="auto"/>
            </w:tcBorders>
            <w:vAlign w:val="center"/>
          </w:tcPr>
          <w:p w14:paraId="31B072C7" w14:textId="49DEB287"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699" w:type="dxa"/>
            <w:tcBorders>
              <w:top w:val="single" w:sz="4" w:space="0" w:color="auto"/>
              <w:left w:val="single" w:sz="4" w:space="0" w:color="auto"/>
              <w:bottom w:val="single" w:sz="4" w:space="0" w:color="auto"/>
              <w:right w:val="single" w:sz="4" w:space="0" w:color="auto"/>
            </w:tcBorders>
            <w:vAlign w:val="center"/>
          </w:tcPr>
          <w:p w14:paraId="4B5957FF" w14:textId="7F73B86F"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r>
      <w:tr w:rsidR="00295527" w:rsidRPr="00821AF6" w14:paraId="3FF6C4AE"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17404302" w14:textId="0DD01799" w:rsidR="00295527" w:rsidRPr="00821AF6" w:rsidRDefault="00295527" w:rsidP="00295527">
            <w:pPr>
              <w:spacing w:before="60" w:after="40" w:line="288" w:lineRule="auto"/>
              <w:ind w:firstLine="0"/>
              <w:jc w:val="center"/>
              <w:rPr>
                <w:rFonts w:cs="Tahoma"/>
                <w:sz w:val="18"/>
                <w:szCs w:val="18"/>
              </w:rPr>
            </w:pPr>
            <w:r w:rsidRPr="00821AF6">
              <w:rPr>
                <w:rFonts w:cs="Tahoma"/>
                <w:sz w:val="18"/>
                <w:szCs w:val="18"/>
              </w:rPr>
              <w:t>2.4</w:t>
            </w:r>
          </w:p>
        </w:tc>
        <w:tc>
          <w:tcPr>
            <w:tcW w:w="2127" w:type="dxa"/>
            <w:tcBorders>
              <w:top w:val="single" w:sz="4" w:space="0" w:color="auto"/>
              <w:left w:val="single" w:sz="4" w:space="0" w:color="auto"/>
              <w:bottom w:val="single" w:sz="4" w:space="0" w:color="auto"/>
              <w:right w:val="single" w:sz="4" w:space="0" w:color="auto"/>
            </w:tcBorders>
            <w:vAlign w:val="center"/>
          </w:tcPr>
          <w:p w14:paraId="17575DF3" w14:textId="292DC7DA" w:rsidR="00295527" w:rsidRPr="00821AF6" w:rsidRDefault="00295527" w:rsidP="00295527">
            <w:pPr>
              <w:spacing w:before="60" w:after="40" w:line="288" w:lineRule="auto"/>
              <w:ind w:firstLine="0"/>
              <w:jc w:val="left"/>
              <w:rPr>
                <w:rFonts w:cs="Tahoma"/>
                <w:sz w:val="18"/>
                <w:szCs w:val="18"/>
              </w:rPr>
            </w:pPr>
            <w:r w:rsidRPr="00821AF6">
              <w:rPr>
                <w:rFonts w:cs="Tahoma"/>
                <w:sz w:val="18"/>
                <w:szCs w:val="18"/>
              </w:rPr>
              <w:t>Infrastruktura</w:t>
            </w:r>
            <w:r>
              <w:rPr>
                <w:rFonts w:cs="Tahoma"/>
                <w:sz w:val="18"/>
                <w:szCs w:val="18"/>
              </w:rPr>
              <w:t xml:space="preserve"> zasilania,</w:t>
            </w:r>
            <w:r w:rsidRPr="00821AF6">
              <w:rPr>
                <w:rFonts w:cs="Tahoma"/>
                <w:sz w:val="18"/>
                <w:szCs w:val="18"/>
              </w:rPr>
              <w:br/>
              <w:t>wymiana baterii</w:t>
            </w:r>
          </w:p>
        </w:tc>
        <w:tc>
          <w:tcPr>
            <w:tcW w:w="708" w:type="dxa"/>
            <w:tcBorders>
              <w:top w:val="single" w:sz="4" w:space="0" w:color="auto"/>
              <w:left w:val="single" w:sz="4" w:space="0" w:color="auto"/>
              <w:bottom w:val="single" w:sz="4" w:space="0" w:color="auto"/>
              <w:right w:val="single" w:sz="4" w:space="0" w:color="auto"/>
            </w:tcBorders>
            <w:vAlign w:val="center"/>
          </w:tcPr>
          <w:p w14:paraId="0DBBEBED" w14:textId="157780E6"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D56A2DC" w14:textId="2498B3B9"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FB2C1DC" w14:textId="11339494" w:rsidR="00295527" w:rsidRPr="00145DBA" w:rsidRDefault="00295527" w:rsidP="00295527">
            <w:pPr>
              <w:spacing w:before="60" w:after="40" w:line="288" w:lineRule="auto"/>
              <w:ind w:firstLine="0"/>
              <w:jc w:val="right"/>
              <w:rPr>
                <w:rFonts w:cs="Tahoma"/>
                <w:sz w:val="18"/>
                <w:szCs w:val="18"/>
              </w:rPr>
            </w:pPr>
            <w:r>
              <w:rPr>
                <w:rFonts w:cs="Tahoma"/>
                <w:sz w:val="18"/>
                <w:szCs w:val="18"/>
              </w:rPr>
              <w:t>0,15</w:t>
            </w:r>
          </w:p>
        </w:tc>
        <w:tc>
          <w:tcPr>
            <w:tcW w:w="709" w:type="dxa"/>
            <w:tcBorders>
              <w:top w:val="single" w:sz="4" w:space="0" w:color="auto"/>
              <w:left w:val="single" w:sz="4" w:space="0" w:color="auto"/>
              <w:bottom w:val="single" w:sz="4" w:space="0" w:color="auto"/>
              <w:right w:val="single" w:sz="4" w:space="0" w:color="auto"/>
            </w:tcBorders>
            <w:vAlign w:val="center"/>
          </w:tcPr>
          <w:p w14:paraId="07C42384" w14:textId="0AE477ED" w:rsidR="00295527" w:rsidRPr="00821AF6" w:rsidRDefault="00295527" w:rsidP="00295527">
            <w:pPr>
              <w:spacing w:before="60" w:after="40" w:line="288" w:lineRule="auto"/>
              <w:ind w:firstLine="0"/>
              <w:jc w:val="right"/>
              <w:rPr>
                <w:rFonts w:cs="Tahoma"/>
                <w:sz w:val="18"/>
                <w:szCs w:val="18"/>
              </w:rPr>
            </w:pPr>
            <w:r>
              <w:rPr>
                <w:rFonts w:cs="Tahoma"/>
                <w:sz w:val="18"/>
                <w:szCs w:val="18"/>
              </w:rPr>
              <w:t>8,73</w:t>
            </w:r>
          </w:p>
        </w:tc>
        <w:tc>
          <w:tcPr>
            <w:tcW w:w="708" w:type="dxa"/>
            <w:tcBorders>
              <w:top w:val="single" w:sz="4" w:space="0" w:color="auto"/>
              <w:left w:val="single" w:sz="4" w:space="0" w:color="auto"/>
              <w:bottom w:val="single" w:sz="4" w:space="0" w:color="auto"/>
              <w:right w:val="single" w:sz="4" w:space="0" w:color="auto"/>
            </w:tcBorders>
            <w:vAlign w:val="center"/>
          </w:tcPr>
          <w:p w14:paraId="0A93258B" w14:textId="28F32A47"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A140DE0" w14:textId="13A9BF0A" w:rsidR="00295527" w:rsidRPr="00145DBA" w:rsidRDefault="00295527" w:rsidP="00295527">
            <w:pPr>
              <w:spacing w:before="60" w:after="40" w:line="288" w:lineRule="auto"/>
              <w:ind w:firstLine="0"/>
              <w:jc w:val="right"/>
              <w:rPr>
                <w:rFonts w:cs="Tahoma"/>
                <w:sz w:val="18"/>
                <w:szCs w:val="18"/>
              </w:rPr>
            </w:pPr>
            <w:r>
              <w:rPr>
                <w:rFonts w:cs="Tahoma"/>
                <w:sz w:val="18"/>
                <w:szCs w:val="18"/>
              </w:rPr>
              <w:t>0,45</w:t>
            </w:r>
          </w:p>
        </w:tc>
        <w:tc>
          <w:tcPr>
            <w:tcW w:w="709" w:type="dxa"/>
            <w:tcBorders>
              <w:top w:val="single" w:sz="4" w:space="0" w:color="auto"/>
              <w:left w:val="single" w:sz="4" w:space="0" w:color="auto"/>
              <w:bottom w:val="single" w:sz="4" w:space="0" w:color="auto"/>
              <w:right w:val="single" w:sz="4" w:space="0" w:color="auto"/>
            </w:tcBorders>
            <w:vAlign w:val="center"/>
          </w:tcPr>
          <w:p w14:paraId="7E65360B" w14:textId="2932EFD2" w:rsidR="00295527" w:rsidRPr="00145DBA" w:rsidRDefault="00295527" w:rsidP="00295527">
            <w:pPr>
              <w:spacing w:before="60" w:after="40" w:line="288" w:lineRule="auto"/>
              <w:ind w:firstLine="0"/>
              <w:jc w:val="right"/>
              <w:rPr>
                <w:rFonts w:cs="Tahoma"/>
                <w:sz w:val="18"/>
                <w:szCs w:val="18"/>
              </w:rPr>
            </w:pPr>
            <w:r>
              <w:rPr>
                <w:rFonts w:cs="Tahoma"/>
                <w:sz w:val="18"/>
                <w:szCs w:val="18"/>
              </w:rPr>
              <w:t>5,30</w:t>
            </w:r>
          </w:p>
        </w:tc>
        <w:tc>
          <w:tcPr>
            <w:tcW w:w="709" w:type="dxa"/>
            <w:tcBorders>
              <w:top w:val="single" w:sz="4" w:space="0" w:color="auto"/>
              <w:left w:val="single" w:sz="4" w:space="0" w:color="auto"/>
              <w:bottom w:val="single" w:sz="4" w:space="0" w:color="auto"/>
              <w:right w:val="single" w:sz="4" w:space="0" w:color="auto"/>
            </w:tcBorders>
            <w:vAlign w:val="center"/>
          </w:tcPr>
          <w:p w14:paraId="0BD744E0" w14:textId="19DCF6D8" w:rsidR="00295527" w:rsidRPr="00145DBA" w:rsidRDefault="00295527" w:rsidP="00295527">
            <w:pPr>
              <w:spacing w:before="60" w:after="40" w:line="288" w:lineRule="auto"/>
              <w:ind w:firstLine="0"/>
              <w:jc w:val="right"/>
              <w:rPr>
                <w:rFonts w:cs="Tahoma"/>
                <w:sz w:val="18"/>
                <w:szCs w:val="18"/>
              </w:rPr>
            </w:pPr>
            <w:r>
              <w:rPr>
                <w:rFonts w:cs="Tahoma"/>
                <w:sz w:val="18"/>
                <w:szCs w:val="18"/>
              </w:rPr>
              <w:t>0,30</w:t>
            </w:r>
          </w:p>
        </w:tc>
        <w:tc>
          <w:tcPr>
            <w:tcW w:w="708" w:type="dxa"/>
            <w:tcBorders>
              <w:top w:val="single" w:sz="4" w:space="0" w:color="auto"/>
              <w:left w:val="single" w:sz="4" w:space="0" w:color="auto"/>
              <w:bottom w:val="single" w:sz="4" w:space="0" w:color="auto"/>
              <w:right w:val="single" w:sz="4" w:space="0" w:color="auto"/>
            </w:tcBorders>
            <w:vAlign w:val="center"/>
          </w:tcPr>
          <w:p w14:paraId="5C7A0909" w14:textId="04C90494"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0B978EF" w14:textId="2EC16341"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6613A6B" w14:textId="4C098503" w:rsidR="00295527" w:rsidRPr="00145DBA" w:rsidRDefault="00295527" w:rsidP="00295527">
            <w:pPr>
              <w:spacing w:before="60" w:after="40" w:line="288" w:lineRule="auto"/>
              <w:ind w:firstLine="0"/>
              <w:jc w:val="right"/>
              <w:rPr>
                <w:rFonts w:cs="Tahoma"/>
                <w:sz w:val="18"/>
                <w:szCs w:val="18"/>
              </w:rPr>
            </w:pPr>
            <w:r>
              <w:rPr>
                <w:rFonts w:cs="Tahoma"/>
                <w:sz w:val="18"/>
                <w:szCs w:val="18"/>
              </w:rPr>
              <w:t>0,21</w:t>
            </w:r>
          </w:p>
        </w:tc>
        <w:tc>
          <w:tcPr>
            <w:tcW w:w="709" w:type="dxa"/>
            <w:tcBorders>
              <w:top w:val="single" w:sz="4" w:space="0" w:color="auto"/>
              <w:left w:val="single" w:sz="4" w:space="0" w:color="auto"/>
              <w:bottom w:val="single" w:sz="4" w:space="0" w:color="auto"/>
              <w:right w:val="single" w:sz="4" w:space="0" w:color="auto"/>
            </w:tcBorders>
            <w:vAlign w:val="center"/>
          </w:tcPr>
          <w:p w14:paraId="0B0B13A9" w14:textId="177F4919" w:rsidR="00295527" w:rsidRPr="00145DBA" w:rsidRDefault="00E246FF" w:rsidP="00295527">
            <w:pPr>
              <w:spacing w:before="60" w:after="40" w:line="288" w:lineRule="auto"/>
              <w:ind w:firstLine="0"/>
              <w:jc w:val="right"/>
              <w:rPr>
                <w:rFonts w:cs="Tahoma"/>
                <w:sz w:val="18"/>
                <w:szCs w:val="18"/>
              </w:rPr>
            </w:pPr>
            <w:r>
              <w:rPr>
                <w:rFonts w:cs="Tahoma"/>
                <w:sz w:val="18"/>
                <w:szCs w:val="18"/>
              </w:rPr>
              <w:t>3,77</w:t>
            </w:r>
          </w:p>
        </w:tc>
        <w:tc>
          <w:tcPr>
            <w:tcW w:w="708" w:type="dxa"/>
            <w:tcBorders>
              <w:top w:val="single" w:sz="4" w:space="0" w:color="auto"/>
              <w:left w:val="single" w:sz="4" w:space="0" w:color="auto"/>
              <w:bottom w:val="single" w:sz="4" w:space="0" w:color="auto"/>
              <w:right w:val="single" w:sz="4" w:space="0" w:color="auto"/>
            </w:tcBorders>
            <w:vAlign w:val="center"/>
          </w:tcPr>
          <w:p w14:paraId="42FDE661" w14:textId="5D64EBBA" w:rsidR="00295527" w:rsidRPr="00145DBA" w:rsidRDefault="00295527"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17BE29E" w14:textId="03B42A52" w:rsidR="00295527" w:rsidRPr="00145DBA" w:rsidRDefault="00295527" w:rsidP="00295527">
            <w:pPr>
              <w:spacing w:before="60" w:after="40" w:line="288" w:lineRule="auto"/>
              <w:ind w:firstLine="0"/>
              <w:jc w:val="right"/>
              <w:rPr>
                <w:rFonts w:cs="Tahoma"/>
                <w:sz w:val="18"/>
                <w:szCs w:val="18"/>
              </w:rPr>
            </w:pPr>
            <w:r>
              <w:rPr>
                <w:rFonts w:cs="Tahoma"/>
                <w:sz w:val="18"/>
                <w:szCs w:val="18"/>
              </w:rPr>
              <w:t>0,45</w:t>
            </w:r>
          </w:p>
        </w:tc>
        <w:tc>
          <w:tcPr>
            <w:tcW w:w="698" w:type="dxa"/>
            <w:tcBorders>
              <w:top w:val="single" w:sz="4" w:space="0" w:color="auto"/>
              <w:left w:val="single" w:sz="4" w:space="0" w:color="auto"/>
              <w:bottom w:val="single" w:sz="4" w:space="0" w:color="auto"/>
              <w:right w:val="single" w:sz="4" w:space="0" w:color="auto"/>
            </w:tcBorders>
            <w:vAlign w:val="center"/>
          </w:tcPr>
          <w:p w14:paraId="3F3862A3" w14:textId="73B0FA0E" w:rsidR="00295527" w:rsidRPr="00145DBA" w:rsidRDefault="00E246FF" w:rsidP="00295527">
            <w:pPr>
              <w:spacing w:before="60" w:after="40" w:line="288" w:lineRule="auto"/>
              <w:ind w:firstLine="0"/>
              <w:jc w:val="right"/>
              <w:rPr>
                <w:rFonts w:cs="Tahoma"/>
                <w:sz w:val="18"/>
                <w:szCs w:val="18"/>
              </w:rPr>
            </w:pPr>
            <w:r>
              <w:rPr>
                <w:rFonts w:cs="Tahoma"/>
                <w:sz w:val="18"/>
                <w:szCs w:val="18"/>
              </w:rPr>
              <w:t>1,92</w:t>
            </w:r>
          </w:p>
        </w:tc>
        <w:tc>
          <w:tcPr>
            <w:tcW w:w="699" w:type="dxa"/>
            <w:tcBorders>
              <w:top w:val="single" w:sz="4" w:space="0" w:color="auto"/>
              <w:left w:val="single" w:sz="4" w:space="0" w:color="auto"/>
              <w:bottom w:val="single" w:sz="4" w:space="0" w:color="auto"/>
              <w:right w:val="single" w:sz="4" w:space="0" w:color="auto"/>
            </w:tcBorders>
            <w:vAlign w:val="center"/>
          </w:tcPr>
          <w:p w14:paraId="28B196E6" w14:textId="2EC12493" w:rsidR="00295527" w:rsidRPr="00145DBA" w:rsidRDefault="00E246FF" w:rsidP="00295527">
            <w:pPr>
              <w:spacing w:before="60" w:after="40" w:line="288" w:lineRule="auto"/>
              <w:ind w:firstLine="0"/>
              <w:jc w:val="right"/>
              <w:rPr>
                <w:rFonts w:cs="Tahoma"/>
                <w:sz w:val="18"/>
                <w:szCs w:val="18"/>
              </w:rPr>
            </w:pPr>
            <w:r>
              <w:rPr>
                <w:rFonts w:cs="Tahoma"/>
                <w:sz w:val="18"/>
                <w:szCs w:val="18"/>
              </w:rPr>
              <w:t>0,32</w:t>
            </w:r>
          </w:p>
        </w:tc>
      </w:tr>
      <w:tr w:rsidR="00295527" w:rsidRPr="00821AF6" w14:paraId="2AD63E96"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CD98BEB" w14:textId="4C6B33E9" w:rsidR="00295527" w:rsidRPr="00821AF6" w:rsidRDefault="00295527" w:rsidP="00295527">
            <w:pPr>
              <w:spacing w:before="60" w:after="40" w:line="288" w:lineRule="auto"/>
              <w:ind w:firstLine="0"/>
              <w:jc w:val="center"/>
              <w:rPr>
                <w:rFonts w:cs="Tahoma"/>
                <w:sz w:val="18"/>
                <w:szCs w:val="18"/>
              </w:rPr>
            </w:pPr>
            <w:r w:rsidRPr="00821AF6">
              <w:rPr>
                <w:rFonts w:cs="Tahoma"/>
                <w:b/>
                <w:sz w:val="18"/>
                <w:szCs w:val="18"/>
              </w:rPr>
              <w:t>2.5</w:t>
            </w:r>
          </w:p>
        </w:tc>
        <w:tc>
          <w:tcPr>
            <w:tcW w:w="2127" w:type="dxa"/>
            <w:tcBorders>
              <w:top w:val="single" w:sz="4" w:space="0" w:color="auto"/>
              <w:left w:val="single" w:sz="4" w:space="0" w:color="auto"/>
              <w:bottom w:val="single" w:sz="4" w:space="0" w:color="auto"/>
              <w:right w:val="single" w:sz="4" w:space="0" w:color="auto"/>
            </w:tcBorders>
            <w:vAlign w:val="center"/>
          </w:tcPr>
          <w:p w14:paraId="20D9ACFC" w14:textId="47B3542D" w:rsidR="00295527" w:rsidRPr="00821AF6" w:rsidRDefault="00295527" w:rsidP="00295527">
            <w:pPr>
              <w:spacing w:before="60" w:after="40" w:line="288" w:lineRule="auto"/>
              <w:ind w:firstLine="0"/>
              <w:jc w:val="left"/>
              <w:rPr>
                <w:rFonts w:cs="Tahoma"/>
                <w:sz w:val="18"/>
                <w:szCs w:val="18"/>
              </w:rPr>
            </w:pPr>
            <w:r w:rsidRPr="00821AF6">
              <w:rPr>
                <w:rFonts w:cs="Tahoma"/>
                <w:b/>
                <w:sz w:val="18"/>
                <w:szCs w:val="18"/>
              </w:rPr>
              <w:t>Ogółem</w:t>
            </w:r>
          </w:p>
        </w:tc>
        <w:tc>
          <w:tcPr>
            <w:tcW w:w="708" w:type="dxa"/>
            <w:tcBorders>
              <w:top w:val="single" w:sz="4" w:space="0" w:color="auto"/>
              <w:left w:val="single" w:sz="4" w:space="0" w:color="auto"/>
              <w:bottom w:val="single" w:sz="4" w:space="0" w:color="auto"/>
              <w:right w:val="single" w:sz="4" w:space="0" w:color="auto"/>
            </w:tcBorders>
            <w:vAlign w:val="center"/>
          </w:tcPr>
          <w:p w14:paraId="59CE07A0" w14:textId="3A8D9E1D" w:rsidR="00295527" w:rsidRPr="00145DBA" w:rsidRDefault="00295527" w:rsidP="00295527">
            <w:pPr>
              <w:spacing w:before="60" w:after="40" w:line="288" w:lineRule="auto"/>
              <w:ind w:firstLine="0"/>
              <w:jc w:val="right"/>
              <w:rPr>
                <w:rFonts w:cs="Tahoma"/>
                <w:sz w:val="18"/>
                <w:szCs w:val="18"/>
              </w:rPr>
            </w:pPr>
            <w:r w:rsidRPr="00295527">
              <w:rPr>
                <w:rFonts w:cs="Tahoma"/>
                <w:b/>
                <w:sz w:val="17"/>
                <w:szCs w:val="17"/>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0077B49" w14:textId="65F78CAF" w:rsidR="00295527" w:rsidRPr="00145DBA" w:rsidRDefault="00295527" w:rsidP="00295527">
            <w:pPr>
              <w:spacing w:before="60" w:after="40" w:line="288" w:lineRule="auto"/>
              <w:ind w:firstLine="0"/>
              <w:jc w:val="right"/>
              <w:rPr>
                <w:rFonts w:cs="Tahoma"/>
                <w:sz w:val="18"/>
                <w:szCs w:val="18"/>
              </w:rPr>
            </w:pPr>
            <w:r>
              <w:rPr>
                <w:rFonts w:cs="Tahoma"/>
                <w:b/>
                <w:sz w:val="17"/>
                <w:szCs w:val="17"/>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A118A84" w14:textId="64DD00B8" w:rsidR="00295527" w:rsidRPr="00145DBA" w:rsidRDefault="00295527" w:rsidP="00295527">
            <w:pPr>
              <w:spacing w:before="60" w:after="40" w:line="288" w:lineRule="auto"/>
              <w:ind w:firstLine="0"/>
              <w:jc w:val="right"/>
              <w:rPr>
                <w:rFonts w:cs="Tahoma"/>
                <w:sz w:val="18"/>
                <w:szCs w:val="18"/>
              </w:rPr>
            </w:pPr>
            <w:r w:rsidRPr="00295527">
              <w:rPr>
                <w:rFonts w:cs="Tahoma"/>
                <w:b/>
                <w:sz w:val="17"/>
                <w:szCs w:val="17"/>
              </w:rPr>
              <w:t>28,18</w:t>
            </w:r>
          </w:p>
        </w:tc>
        <w:tc>
          <w:tcPr>
            <w:tcW w:w="709" w:type="dxa"/>
            <w:tcBorders>
              <w:top w:val="single" w:sz="4" w:space="0" w:color="auto"/>
              <w:left w:val="single" w:sz="4" w:space="0" w:color="auto"/>
              <w:bottom w:val="single" w:sz="4" w:space="0" w:color="auto"/>
              <w:right w:val="single" w:sz="4" w:space="0" w:color="auto"/>
            </w:tcBorders>
            <w:vAlign w:val="center"/>
          </w:tcPr>
          <w:p w14:paraId="1DFBD27B" w14:textId="23E27C09" w:rsidR="00295527" w:rsidRPr="00821AF6" w:rsidRDefault="00295527" w:rsidP="00295527">
            <w:pPr>
              <w:spacing w:before="60" w:after="40" w:line="288" w:lineRule="auto"/>
              <w:ind w:firstLine="0"/>
              <w:jc w:val="right"/>
              <w:rPr>
                <w:rFonts w:cs="Tahoma"/>
                <w:sz w:val="18"/>
                <w:szCs w:val="18"/>
              </w:rPr>
            </w:pPr>
            <w:r>
              <w:rPr>
                <w:rFonts w:cs="Tahoma"/>
                <w:b/>
                <w:sz w:val="17"/>
                <w:szCs w:val="17"/>
              </w:rPr>
              <w:t>85,04</w:t>
            </w:r>
          </w:p>
        </w:tc>
        <w:tc>
          <w:tcPr>
            <w:tcW w:w="708" w:type="dxa"/>
            <w:tcBorders>
              <w:top w:val="single" w:sz="4" w:space="0" w:color="auto"/>
              <w:left w:val="single" w:sz="4" w:space="0" w:color="auto"/>
              <w:bottom w:val="single" w:sz="4" w:space="0" w:color="auto"/>
              <w:right w:val="single" w:sz="4" w:space="0" w:color="auto"/>
            </w:tcBorders>
            <w:vAlign w:val="center"/>
          </w:tcPr>
          <w:p w14:paraId="60C67B12" w14:textId="7CECDA6D" w:rsidR="00295527" w:rsidRPr="00145DBA" w:rsidRDefault="00295527" w:rsidP="00295527">
            <w:pPr>
              <w:spacing w:before="60" w:after="40" w:line="288" w:lineRule="auto"/>
              <w:ind w:firstLine="0"/>
              <w:jc w:val="right"/>
              <w:rPr>
                <w:rFonts w:cs="Tahoma"/>
                <w:sz w:val="18"/>
                <w:szCs w:val="18"/>
              </w:rPr>
            </w:pPr>
            <w:r>
              <w:rPr>
                <w:rFonts w:cs="Tahoma"/>
                <w:b/>
                <w:sz w:val="17"/>
                <w:szCs w:val="17"/>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96C38D5" w14:textId="1971A516" w:rsidR="00295527" w:rsidRPr="00145DBA" w:rsidRDefault="00295527" w:rsidP="00295527">
            <w:pPr>
              <w:spacing w:before="60" w:after="40" w:line="288" w:lineRule="auto"/>
              <w:ind w:firstLine="0"/>
              <w:jc w:val="right"/>
              <w:rPr>
                <w:rFonts w:cs="Tahoma"/>
                <w:sz w:val="18"/>
                <w:szCs w:val="18"/>
              </w:rPr>
            </w:pPr>
            <w:r>
              <w:rPr>
                <w:rFonts w:cs="Tahoma"/>
                <w:b/>
                <w:sz w:val="17"/>
                <w:szCs w:val="17"/>
              </w:rPr>
              <w:t>0,45</w:t>
            </w:r>
          </w:p>
        </w:tc>
        <w:tc>
          <w:tcPr>
            <w:tcW w:w="709" w:type="dxa"/>
            <w:tcBorders>
              <w:top w:val="single" w:sz="4" w:space="0" w:color="auto"/>
              <w:left w:val="single" w:sz="4" w:space="0" w:color="auto"/>
              <w:bottom w:val="single" w:sz="4" w:space="0" w:color="auto"/>
              <w:right w:val="single" w:sz="4" w:space="0" w:color="auto"/>
            </w:tcBorders>
            <w:vAlign w:val="center"/>
          </w:tcPr>
          <w:p w14:paraId="07CD0E50" w14:textId="50BFEC11" w:rsidR="00295527" w:rsidRPr="00145DBA" w:rsidRDefault="00295527" w:rsidP="00295527">
            <w:pPr>
              <w:spacing w:before="60" w:after="40" w:line="288" w:lineRule="auto"/>
              <w:ind w:firstLine="0"/>
              <w:jc w:val="right"/>
              <w:rPr>
                <w:rFonts w:cs="Tahoma"/>
                <w:sz w:val="18"/>
                <w:szCs w:val="18"/>
              </w:rPr>
            </w:pPr>
            <w:r>
              <w:rPr>
                <w:rFonts w:cs="Tahoma"/>
                <w:b/>
                <w:sz w:val="17"/>
                <w:szCs w:val="17"/>
              </w:rPr>
              <w:t>71,14</w:t>
            </w:r>
          </w:p>
        </w:tc>
        <w:tc>
          <w:tcPr>
            <w:tcW w:w="709" w:type="dxa"/>
            <w:tcBorders>
              <w:top w:val="single" w:sz="4" w:space="0" w:color="auto"/>
              <w:left w:val="single" w:sz="4" w:space="0" w:color="auto"/>
              <w:bottom w:val="single" w:sz="4" w:space="0" w:color="auto"/>
              <w:right w:val="single" w:sz="4" w:space="0" w:color="auto"/>
            </w:tcBorders>
            <w:vAlign w:val="center"/>
          </w:tcPr>
          <w:p w14:paraId="60AAB8C0" w14:textId="673B86F7" w:rsidR="00295527" w:rsidRPr="00145DBA" w:rsidRDefault="00E246FF" w:rsidP="00295527">
            <w:pPr>
              <w:spacing w:before="60" w:after="40" w:line="288" w:lineRule="auto"/>
              <w:ind w:firstLine="0"/>
              <w:jc w:val="right"/>
              <w:rPr>
                <w:rFonts w:cs="Tahoma"/>
                <w:sz w:val="18"/>
                <w:szCs w:val="18"/>
              </w:rPr>
            </w:pPr>
            <w:r>
              <w:rPr>
                <w:rFonts w:cs="Tahoma"/>
                <w:b/>
                <w:sz w:val="17"/>
                <w:szCs w:val="17"/>
              </w:rPr>
              <w:t>31,95</w:t>
            </w:r>
          </w:p>
        </w:tc>
        <w:tc>
          <w:tcPr>
            <w:tcW w:w="708" w:type="dxa"/>
            <w:tcBorders>
              <w:top w:val="single" w:sz="4" w:space="0" w:color="auto"/>
              <w:left w:val="single" w:sz="4" w:space="0" w:color="auto"/>
              <w:bottom w:val="single" w:sz="4" w:space="0" w:color="auto"/>
              <w:right w:val="single" w:sz="4" w:space="0" w:color="auto"/>
            </w:tcBorders>
            <w:vAlign w:val="center"/>
          </w:tcPr>
          <w:p w14:paraId="107E859B" w14:textId="71B7ED46" w:rsidR="00295527" w:rsidRPr="00145DBA" w:rsidRDefault="00295527" w:rsidP="00295527">
            <w:pPr>
              <w:spacing w:before="60" w:after="40" w:line="288" w:lineRule="auto"/>
              <w:ind w:firstLine="0"/>
              <w:jc w:val="right"/>
              <w:rPr>
                <w:rFonts w:cs="Tahoma"/>
                <w:sz w:val="17"/>
                <w:szCs w:val="17"/>
              </w:rPr>
            </w:pPr>
            <w:r>
              <w:rPr>
                <w:rFonts w:cs="Tahoma"/>
                <w:b/>
                <w:sz w:val="17"/>
                <w:szCs w:val="17"/>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0D83557" w14:textId="3681DBE7" w:rsidR="00295527" w:rsidRPr="00145DBA" w:rsidRDefault="00E246FF" w:rsidP="00295527">
            <w:pPr>
              <w:spacing w:before="60" w:after="40" w:line="288" w:lineRule="auto"/>
              <w:ind w:firstLine="0"/>
              <w:jc w:val="right"/>
              <w:rPr>
                <w:rFonts w:cs="Tahoma"/>
                <w:sz w:val="18"/>
                <w:szCs w:val="18"/>
              </w:rPr>
            </w:pPr>
            <w:r>
              <w:rPr>
                <w:rFonts w:cs="Tahoma"/>
                <w:b/>
                <w:sz w:val="17"/>
                <w:szCs w:val="17"/>
              </w:rPr>
              <w:t>2,95</w:t>
            </w:r>
          </w:p>
        </w:tc>
        <w:tc>
          <w:tcPr>
            <w:tcW w:w="709" w:type="dxa"/>
            <w:tcBorders>
              <w:top w:val="single" w:sz="4" w:space="0" w:color="auto"/>
              <w:left w:val="single" w:sz="4" w:space="0" w:color="auto"/>
              <w:bottom w:val="single" w:sz="4" w:space="0" w:color="auto"/>
              <w:right w:val="single" w:sz="4" w:space="0" w:color="auto"/>
            </w:tcBorders>
            <w:vAlign w:val="center"/>
          </w:tcPr>
          <w:p w14:paraId="618346FC" w14:textId="54AC2176" w:rsidR="00295527" w:rsidRPr="00145DBA" w:rsidRDefault="00295527" w:rsidP="00295527">
            <w:pPr>
              <w:spacing w:before="60" w:after="40" w:line="288" w:lineRule="auto"/>
              <w:ind w:firstLine="0"/>
              <w:jc w:val="right"/>
              <w:rPr>
                <w:rFonts w:cs="Tahoma"/>
                <w:sz w:val="18"/>
                <w:szCs w:val="18"/>
              </w:rPr>
            </w:pPr>
            <w:r>
              <w:rPr>
                <w:rFonts w:cs="Tahoma"/>
                <w:b/>
                <w:sz w:val="17"/>
                <w:szCs w:val="17"/>
              </w:rPr>
              <w:t>2,17</w:t>
            </w:r>
          </w:p>
        </w:tc>
        <w:tc>
          <w:tcPr>
            <w:tcW w:w="709" w:type="dxa"/>
            <w:tcBorders>
              <w:top w:val="single" w:sz="4" w:space="0" w:color="auto"/>
              <w:left w:val="single" w:sz="4" w:space="0" w:color="auto"/>
              <w:bottom w:val="single" w:sz="4" w:space="0" w:color="auto"/>
              <w:right w:val="single" w:sz="4" w:space="0" w:color="auto"/>
            </w:tcBorders>
            <w:vAlign w:val="center"/>
          </w:tcPr>
          <w:p w14:paraId="04471F78" w14:textId="468EDB95" w:rsidR="00295527" w:rsidRPr="00145DBA" w:rsidRDefault="00E246FF" w:rsidP="00295527">
            <w:pPr>
              <w:spacing w:before="60" w:after="40" w:line="288" w:lineRule="auto"/>
              <w:ind w:firstLine="0"/>
              <w:jc w:val="right"/>
              <w:rPr>
                <w:rFonts w:cs="Tahoma"/>
                <w:sz w:val="18"/>
                <w:szCs w:val="18"/>
              </w:rPr>
            </w:pPr>
            <w:r>
              <w:rPr>
                <w:rFonts w:cs="Tahoma"/>
                <w:b/>
                <w:sz w:val="17"/>
                <w:szCs w:val="17"/>
              </w:rPr>
              <w:t>22,89</w:t>
            </w:r>
          </w:p>
        </w:tc>
        <w:tc>
          <w:tcPr>
            <w:tcW w:w="708" w:type="dxa"/>
            <w:tcBorders>
              <w:top w:val="single" w:sz="4" w:space="0" w:color="auto"/>
              <w:left w:val="single" w:sz="4" w:space="0" w:color="auto"/>
              <w:bottom w:val="single" w:sz="4" w:space="0" w:color="auto"/>
              <w:right w:val="single" w:sz="4" w:space="0" w:color="auto"/>
            </w:tcBorders>
            <w:vAlign w:val="center"/>
          </w:tcPr>
          <w:p w14:paraId="378F03FA" w14:textId="2D0ED5A0" w:rsidR="00295527" w:rsidRPr="00145DBA" w:rsidRDefault="00295527" w:rsidP="00295527">
            <w:pPr>
              <w:spacing w:before="60" w:after="40" w:line="288" w:lineRule="auto"/>
              <w:ind w:firstLine="0"/>
              <w:jc w:val="right"/>
              <w:rPr>
                <w:rFonts w:cs="Tahoma"/>
                <w:sz w:val="18"/>
                <w:szCs w:val="18"/>
              </w:rPr>
            </w:pPr>
            <w:r>
              <w:rPr>
                <w:rFonts w:cs="Tahoma"/>
                <w:b/>
                <w:sz w:val="17"/>
                <w:szCs w:val="17"/>
              </w:rPr>
              <w:t>21,30</w:t>
            </w:r>
          </w:p>
        </w:tc>
        <w:tc>
          <w:tcPr>
            <w:tcW w:w="709" w:type="dxa"/>
            <w:tcBorders>
              <w:top w:val="single" w:sz="4" w:space="0" w:color="auto"/>
              <w:left w:val="single" w:sz="4" w:space="0" w:color="auto"/>
              <w:bottom w:val="single" w:sz="4" w:space="0" w:color="auto"/>
              <w:right w:val="single" w:sz="4" w:space="0" w:color="auto"/>
            </w:tcBorders>
            <w:vAlign w:val="center"/>
          </w:tcPr>
          <w:p w14:paraId="04986F4E" w14:textId="2D261C2A" w:rsidR="00295527" w:rsidRPr="00145DBA" w:rsidRDefault="00295527" w:rsidP="00295527">
            <w:pPr>
              <w:spacing w:before="60" w:after="40" w:line="288" w:lineRule="auto"/>
              <w:ind w:firstLine="0"/>
              <w:jc w:val="right"/>
              <w:rPr>
                <w:rFonts w:cs="Tahoma"/>
                <w:sz w:val="18"/>
                <w:szCs w:val="18"/>
              </w:rPr>
            </w:pPr>
            <w:r>
              <w:rPr>
                <w:rFonts w:cs="Tahoma"/>
                <w:b/>
                <w:sz w:val="17"/>
                <w:szCs w:val="17"/>
              </w:rPr>
              <w:t>21,75</w:t>
            </w:r>
          </w:p>
        </w:tc>
        <w:tc>
          <w:tcPr>
            <w:tcW w:w="698" w:type="dxa"/>
            <w:tcBorders>
              <w:top w:val="single" w:sz="4" w:space="0" w:color="auto"/>
              <w:left w:val="single" w:sz="4" w:space="0" w:color="auto"/>
              <w:bottom w:val="single" w:sz="4" w:space="0" w:color="auto"/>
              <w:right w:val="single" w:sz="4" w:space="0" w:color="auto"/>
            </w:tcBorders>
            <w:vAlign w:val="center"/>
          </w:tcPr>
          <w:p w14:paraId="1A6AB5D2" w14:textId="2F85E203" w:rsidR="00295527" w:rsidRPr="00145DBA" w:rsidRDefault="00E246FF" w:rsidP="00E246FF">
            <w:pPr>
              <w:spacing w:before="60" w:after="40" w:line="288" w:lineRule="auto"/>
              <w:ind w:left="-108" w:firstLine="0"/>
              <w:jc w:val="right"/>
              <w:rPr>
                <w:rFonts w:cs="Tahoma"/>
                <w:b/>
                <w:sz w:val="18"/>
                <w:szCs w:val="18"/>
              </w:rPr>
            </w:pPr>
            <w:r>
              <w:rPr>
                <w:rFonts w:cs="Tahoma"/>
                <w:b/>
                <w:sz w:val="17"/>
                <w:szCs w:val="17"/>
              </w:rPr>
              <w:t>24,32</w:t>
            </w:r>
          </w:p>
        </w:tc>
        <w:tc>
          <w:tcPr>
            <w:tcW w:w="699" w:type="dxa"/>
            <w:tcBorders>
              <w:top w:val="single" w:sz="4" w:space="0" w:color="auto"/>
              <w:left w:val="single" w:sz="4" w:space="0" w:color="auto"/>
              <w:bottom w:val="single" w:sz="4" w:space="0" w:color="auto"/>
              <w:right w:val="single" w:sz="4" w:space="0" w:color="auto"/>
            </w:tcBorders>
            <w:vAlign w:val="center"/>
          </w:tcPr>
          <w:p w14:paraId="0A2AE66B" w14:textId="49C0A6F8" w:rsidR="00295527" w:rsidRPr="00145DBA" w:rsidRDefault="00295527" w:rsidP="00E246FF">
            <w:pPr>
              <w:spacing w:before="60" w:after="40" w:line="288" w:lineRule="auto"/>
              <w:ind w:left="-97" w:firstLine="0"/>
              <w:jc w:val="right"/>
              <w:rPr>
                <w:rFonts w:cs="Tahoma"/>
                <w:b/>
                <w:sz w:val="18"/>
                <w:szCs w:val="18"/>
              </w:rPr>
            </w:pPr>
            <w:r>
              <w:rPr>
                <w:rFonts w:cs="Tahoma"/>
                <w:b/>
                <w:sz w:val="17"/>
                <w:szCs w:val="17"/>
              </w:rPr>
              <w:t>22,</w:t>
            </w:r>
            <w:r w:rsidR="00E246FF">
              <w:rPr>
                <w:rFonts w:cs="Tahoma"/>
                <w:b/>
                <w:sz w:val="17"/>
                <w:szCs w:val="17"/>
              </w:rPr>
              <w:t>72</w:t>
            </w:r>
          </w:p>
        </w:tc>
      </w:tr>
      <w:tr w:rsidR="00295527" w:rsidRPr="00821AF6" w14:paraId="15A0AA41" w14:textId="77777777" w:rsidTr="002E37D2">
        <w:trPr>
          <w:cantSplit/>
          <w:jc w:val="center"/>
        </w:trPr>
        <w:tc>
          <w:tcPr>
            <w:tcW w:w="559" w:type="dxa"/>
            <w:tcBorders>
              <w:top w:val="double" w:sz="4" w:space="0" w:color="auto"/>
              <w:left w:val="single" w:sz="4" w:space="0" w:color="auto"/>
              <w:bottom w:val="single" w:sz="4" w:space="0" w:color="auto"/>
              <w:right w:val="single" w:sz="4" w:space="0" w:color="auto"/>
            </w:tcBorders>
            <w:shd w:val="clear" w:color="auto" w:fill="FFF2CC" w:themeFill="accent4" w:themeFillTint="33"/>
            <w:vAlign w:val="center"/>
          </w:tcPr>
          <w:p w14:paraId="47696A38" w14:textId="1836CF12" w:rsidR="00295527" w:rsidRPr="00821AF6" w:rsidRDefault="00295527" w:rsidP="00295527">
            <w:pPr>
              <w:keepNext/>
              <w:spacing w:before="60" w:after="40" w:line="288" w:lineRule="auto"/>
              <w:ind w:firstLine="0"/>
              <w:jc w:val="center"/>
              <w:rPr>
                <w:rFonts w:cs="Tahoma"/>
                <w:b/>
                <w:sz w:val="18"/>
                <w:szCs w:val="18"/>
              </w:rPr>
            </w:pPr>
            <w:r>
              <w:rPr>
                <w:rFonts w:cs="Tahoma"/>
                <w:b/>
                <w:sz w:val="18"/>
                <w:szCs w:val="18"/>
              </w:rPr>
              <w:t>3</w:t>
            </w:r>
          </w:p>
        </w:tc>
        <w:tc>
          <w:tcPr>
            <w:tcW w:w="13446" w:type="dxa"/>
            <w:gridSpan w:val="17"/>
            <w:tcBorders>
              <w:top w:val="double" w:sz="4" w:space="0" w:color="auto"/>
              <w:left w:val="single" w:sz="4" w:space="0" w:color="auto"/>
              <w:bottom w:val="single" w:sz="4" w:space="0" w:color="auto"/>
              <w:right w:val="single" w:sz="4" w:space="0" w:color="auto"/>
            </w:tcBorders>
            <w:shd w:val="clear" w:color="auto" w:fill="FFF2CC" w:themeFill="accent4" w:themeFillTint="33"/>
            <w:vAlign w:val="center"/>
          </w:tcPr>
          <w:p w14:paraId="321CCAE6" w14:textId="0AA257A3" w:rsidR="00295527" w:rsidRPr="00145DBA" w:rsidRDefault="007F019A" w:rsidP="00295527">
            <w:pPr>
              <w:keepNext/>
              <w:spacing w:before="60" w:after="40" w:line="288" w:lineRule="auto"/>
              <w:ind w:firstLine="0"/>
              <w:jc w:val="left"/>
              <w:rPr>
                <w:rFonts w:cs="Tahoma"/>
                <w:b/>
                <w:sz w:val="18"/>
                <w:szCs w:val="18"/>
              </w:rPr>
            </w:pPr>
            <w:r>
              <w:rPr>
                <w:rFonts w:cs="Tahoma"/>
                <w:b/>
                <w:sz w:val="18"/>
                <w:szCs w:val="18"/>
              </w:rPr>
              <w:t>Wariant wodorowy</w:t>
            </w:r>
          </w:p>
        </w:tc>
      </w:tr>
      <w:tr w:rsidR="00E246FF" w:rsidRPr="00821AF6" w14:paraId="095056D6"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4FB04B24" w14:textId="5F77378E" w:rsidR="00E246FF" w:rsidRPr="00821AF6" w:rsidRDefault="00E246FF" w:rsidP="00E246FF">
            <w:pPr>
              <w:keepNext/>
              <w:spacing w:before="60" w:after="40" w:line="288" w:lineRule="auto"/>
              <w:ind w:firstLine="0"/>
              <w:jc w:val="center"/>
              <w:rPr>
                <w:rFonts w:cs="Tahoma"/>
                <w:sz w:val="18"/>
                <w:szCs w:val="18"/>
              </w:rPr>
            </w:pPr>
            <w:r>
              <w:rPr>
                <w:rFonts w:cs="Tahoma"/>
                <w:sz w:val="18"/>
                <w:szCs w:val="18"/>
              </w:rPr>
              <w:t>3</w:t>
            </w:r>
            <w:r w:rsidRPr="00821AF6">
              <w:rPr>
                <w:rFonts w:cs="Tahoma"/>
                <w:sz w:val="18"/>
                <w:szCs w:val="18"/>
              </w:rPr>
              <w:t>.1</w:t>
            </w:r>
          </w:p>
        </w:tc>
        <w:tc>
          <w:tcPr>
            <w:tcW w:w="2127" w:type="dxa"/>
            <w:tcBorders>
              <w:top w:val="single" w:sz="4" w:space="0" w:color="auto"/>
              <w:left w:val="single" w:sz="4" w:space="0" w:color="auto"/>
              <w:bottom w:val="single" w:sz="4" w:space="0" w:color="auto"/>
              <w:right w:val="single" w:sz="4" w:space="0" w:color="auto"/>
            </w:tcBorders>
            <w:vAlign w:val="center"/>
          </w:tcPr>
          <w:p w14:paraId="393F8184" w14:textId="6116E593" w:rsidR="00E246FF" w:rsidRPr="00821AF6" w:rsidRDefault="00E246FF" w:rsidP="00E246FF">
            <w:pPr>
              <w:keepNext/>
              <w:spacing w:before="60" w:after="40" w:line="288" w:lineRule="auto"/>
              <w:ind w:firstLine="0"/>
              <w:jc w:val="left"/>
              <w:rPr>
                <w:rFonts w:cs="Tahoma"/>
                <w:sz w:val="18"/>
                <w:szCs w:val="18"/>
              </w:rPr>
            </w:pPr>
            <w:r w:rsidRPr="00821AF6">
              <w:rPr>
                <w:rFonts w:cs="Tahoma"/>
                <w:sz w:val="18"/>
                <w:szCs w:val="18"/>
              </w:rPr>
              <w:t xml:space="preserve">Autobusy </w:t>
            </w:r>
            <w:r>
              <w:rPr>
                <w:rFonts w:cs="Tahoma"/>
                <w:sz w:val="18"/>
                <w:szCs w:val="18"/>
              </w:rPr>
              <w:t>ON</w:t>
            </w:r>
          </w:p>
        </w:tc>
        <w:tc>
          <w:tcPr>
            <w:tcW w:w="708" w:type="dxa"/>
            <w:tcBorders>
              <w:top w:val="single" w:sz="4" w:space="0" w:color="auto"/>
              <w:left w:val="single" w:sz="4" w:space="0" w:color="auto"/>
              <w:bottom w:val="single" w:sz="4" w:space="0" w:color="auto"/>
              <w:right w:val="single" w:sz="4" w:space="0" w:color="auto"/>
            </w:tcBorders>
            <w:vAlign w:val="center"/>
          </w:tcPr>
          <w:p w14:paraId="54586BD6" w14:textId="3DEC37EC" w:rsidR="00E246FF" w:rsidRPr="00145DBA" w:rsidRDefault="00E246FF" w:rsidP="00E246FF">
            <w:pPr>
              <w:keepNext/>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F2DC423" w14:textId="2A2A24A3" w:rsidR="00E246FF" w:rsidRPr="00145DBA" w:rsidRDefault="00E246FF" w:rsidP="00E246FF">
            <w:pPr>
              <w:keepNext/>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9CA52EB" w14:textId="2DCC5B21"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1DC0A43" w14:textId="13D0D9A2" w:rsidR="00E246FF" w:rsidRPr="00821AF6" w:rsidRDefault="00E246FF" w:rsidP="00E246FF">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5182A726" w14:textId="4E39CAC2"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C532B7B" w14:textId="1A244314"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DB7DCE2" w14:textId="7C2E1E7E"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1A1A3B7" w14:textId="1054CBE0"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4112869C" w14:textId="201E0CD8"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EC2F46C" w14:textId="3BDF8459" w:rsidR="00E246FF" w:rsidRPr="00145DBA" w:rsidRDefault="00E246FF" w:rsidP="00E246FF">
            <w:pPr>
              <w:spacing w:before="60" w:after="40" w:line="288" w:lineRule="auto"/>
              <w:ind w:firstLine="0"/>
              <w:jc w:val="right"/>
              <w:rPr>
                <w:rFonts w:cs="Tahoma"/>
                <w:sz w:val="18"/>
                <w:szCs w:val="18"/>
              </w:rPr>
            </w:pPr>
            <w:r>
              <w:rPr>
                <w:rFonts w:cs="Tahoma"/>
                <w:sz w:val="18"/>
                <w:szCs w:val="18"/>
              </w:rPr>
              <w:t>2,95</w:t>
            </w:r>
          </w:p>
        </w:tc>
        <w:tc>
          <w:tcPr>
            <w:tcW w:w="709" w:type="dxa"/>
            <w:tcBorders>
              <w:top w:val="single" w:sz="4" w:space="0" w:color="auto"/>
              <w:left w:val="single" w:sz="4" w:space="0" w:color="auto"/>
              <w:bottom w:val="single" w:sz="4" w:space="0" w:color="auto"/>
              <w:right w:val="single" w:sz="4" w:space="0" w:color="auto"/>
            </w:tcBorders>
            <w:vAlign w:val="center"/>
          </w:tcPr>
          <w:p w14:paraId="1827C6B4" w14:textId="08E527EC" w:rsidR="00E246FF" w:rsidRPr="00145DBA" w:rsidRDefault="00E246FF" w:rsidP="00E246FF">
            <w:pPr>
              <w:spacing w:before="60" w:after="40" w:line="288" w:lineRule="auto"/>
              <w:ind w:firstLine="0"/>
              <w:jc w:val="right"/>
              <w:rPr>
                <w:rFonts w:cs="Tahoma"/>
                <w:sz w:val="18"/>
                <w:szCs w:val="18"/>
              </w:rPr>
            </w:pPr>
            <w:r>
              <w:rPr>
                <w:rFonts w:cs="Tahoma"/>
                <w:sz w:val="18"/>
                <w:szCs w:val="18"/>
              </w:rPr>
              <w:t>1,96</w:t>
            </w:r>
          </w:p>
        </w:tc>
        <w:tc>
          <w:tcPr>
            <w:tcW w:w="709" w:type="dxa"/>
            <w:tcBorders>
              <w:top w:val="single" w:sz="4" w:space="0" w:color="auto"/>
              <w:left w:val="single" w:sz="4" w:space="0" w:color="auto"/>
              <w:bottom w:val="single" w:sz="4" w:space="0" w:color="auto"/>
              <w:right w:val="single" w:sz="4" w:space="0" w:color="auto"/>
            </w:tcBorders>
            <w:vAlign w:val="center"/>
          </w:tcPr>
          <w:p w14:paraId="48FE976B" w14:textId="5A393730" w:rsidR="00E246FF" w:rsidRPr="00145DBA" w:rsidRDefault="00E246FF" w:rsidP="00E246FF">
            <w:pPr>
              <w:spacing w:before="60" w:after="40" w:line="288" w:lineRule="auto"/>
              <w:ind w:firstLine="0"/>
              <w:jc w:val="right"/>
              <w:rPr>
                <w:rFonts w:cs="Tahoma"/>
                <w:sz w:val="18"/>
                <w:szCs w:val="18"/>
              </w:rPr>
            </w:pPr>
            <w:r>
              <w:rPr>
                <w:rFonts w:cs="Tahoma"/>
                <w:sz w:val="18"/>
                <w:szCs w:val="18"/>
              </w:rPr>
              <w:t>4,90</w:t>
            </w:r>
          </w:p>
        </w:tc>
        <w:tc>
          <w:tcPr>
            <w:tcW w:w="708" w:type="dxa"/>
            <w:tcBorders>
              <w:top w:val="single" w:sz="4" w:space="0" w:color="auto"/>
              <w:left w:val="single" w:sz="4" w:space="0" w:color="auto"/>
              <w:bottom w:val="single" w:sz="4" w:space="0" w:color="auto"/>
              <w:right w:val="single" w:sz="4" w:space="0" w:color="auto"/>
            </w:tcBorders>
            <w:vAlign w:val="center"/>
          </w:tcPr>
          <w:p w14:paraId="6A03CE44" w14:textId="60071DF4" w:rsidR="00E246FF" w:rsidRPr="00145DBA" w:rsidRDefault="00E246FF" w:rsidP="00E246FF">
            <w:pPr>
              <w:spacing w:before="60" w:after="40" w:line="288" w:lineRule="auto"/>
              <w:ind w:firstLine="0"/>
              <w:jc w:val="right"/>
              <w:rPr>
                <w:rFonts w:cs="Tahoma"/>
                <w:sz w:val="18"/>
                <w:szCs w:val="18"/>
              </w:rPr>
            </w:pPr>
            <w:r>
              <w:rPr>
                <w:rFonts w:cs="Tahoma"/>
                <w:sz w:val="18"/>
                <w:szCs w:val="18"/>
              </w:rPr>
              <w:t>21,30</w:t>
            </w:r>
          </w:p>
        </w:tc>
        <w:tc>
          <w:tcPr>
            <w:tcW w:w="709" w:type="dxa"/>
            <w:tcBorders>
              <w:top w:val="single" w:sz="4" w:space="0" w:color="auto"/>
              <w:left w:val="single" w:sz="4" w:space="0" w:color="auto"/>
              <w:bottom w:val="single" w:sz="4" w:space="0" w:color="auto"/>
              <w:right w:val="single" w:sz="4" w:space="0" w:color="auto"/>
            </w:tcBorders>
            <w:vAlign w:val="center"/>
          </w:tcPr>
          <w:p w14:paraId="2F0D0436" w14:textId="0C14FA9A" w:rsidR="00E246FF" w:rsidRPr="00145DBA" w:rsidRDefault="00E246FF" w:rsidP="00E246FF">
            <w:pPr>
              <w:spacing w:before="60" w:after="40" w:line="288" w:lineRule="auto"/>
              <w:ind w:firstLine="0"/>
              <w:jc w:val="right"/>
              <w:rPr>
                <w:rFonts w:cs="Tahoma"/>
                <w:sz w:val="18"/>
                <w:szCs w:val="18"/>
              </w:rPr>
            </w:pPr>
            <w:r>
              <w:rPr>
                <w:rFonts w:cs="Tahoma"/>
                <w:sz w:val="18"/>
                <w:szCs w:val="18"/>
              </w:rPr>
              <w:t>21,30</w:t>
            </w:r>
          </w:p>
        </w:tc>
        <w:tc>
          <w:tcPr>
            <w:tcW w:w="698" w:type="dxa"/>
            <w:tcBorders>
              <w:top w:val="single" w:sz="4" w:space="0" w:color="auto"/>
              <w:left w:val="single" w:sz="4" w:space="0" w:color="auto"/>
              <w:bottom w:val="single" w:sz="4" w:space="0" w:color="auto"/>
              <w:right w:val="single" w:sz="4" w:space="0" w:color="auto"/>
            </w:tcBorders>
            <w:vAlign w:val="center"/>
          </w:tcPr>
          <w:p w14:paraId="2167489C" w14:textId="1BDE9B12"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699" w:type="dxa"/>
            <w:tcBorders>
              <w:top w:val="single" w:sz="4" w:space="0" w:color="auto"/>
              <w:left w:val="single" w:sz="4" w:space="0" w:color="auto"/>
              <w:bottom w:val="single" w:sz="4" w:space="0" w:color="auto"/>
              <w:right w:val="single" w:sz="4" w:space="0" w:color="auto"/>
            </w:tcBorders>
            <w:vAlign w:val="center"/>
          </w:tcPr>
          <w:p w14:paraId="12595CF8" w14:textId="45EFD310"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r>
      <w:tr w:rsidR="00E246FF" w:rsidRPr="00821AF6" w14:paraId="5693B218"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A2000D1" w14:textId="082E3851" w:rsidR="00E246FF" w:rsidRPr="00821AF6" w:rsidRDefault="00E246FF" w:rsidP="00E246FF">
            <w:pPr>
              <w:keepNext/>
              <w:spacing w:before="60" w:after="40" w:line="288" w:lineRule="auto"/>
              <w:ind w:firstLine="0"/>
              <w:jc w:val="center"/>
              <w:rPr>
                <w:rFonts w:cs="Tahoma"/>
                <w:sz w:val="18"/>
                <w:szCs w:val="18"/>
              </w:rPr>
            </w:pPr>
            <w:r>
              <w:rPr>
                <w:rFonts w:cs="Tahoma"/>
                <w:sz w:val="18"/>
                <w:szCs w:val="18"/>
              </w:rPr>
              <w:t>3</w:t>
            </w:r>
            <w:r w:rsidRPr="00821AF6">
              <w:rPr>
                <w:rFonts w:cs="Tahoma"/>
                <w:sz w:val="18"/>
                <w:szCs w:val="18"/>
              </w:rPr>
              <w:t>.2</w:t>
            </w:r>
          </w:p>
        </w:tc>
        <w:tc>
          <w:tcPr>
            <w:tcW w:w="2127" w:type="dxa"/>
            <w:tcBorders>
              <w:top w:val="single" w:sz="4" w:space="0" w:color="auto"/>
              <w:left w:val="single" w:sz="4" w:space="0" w:color="auto"/>
              <w:bottom w:val="single" w:sz="4" w:space="0" w:color="auto"/>
              <w:right w:val="single" w:sz="4" w:space="0" w:color="auto"/>
            </w:tcBorders>
            <w:vAlign w:val="center"/>
          </w:tcPr>
          <w:p w14:paraId="68CC5127" w14:textId="25997380" w:rsidR="00E246FF" w:rsidRPr="00821AF6" w:rsidRDefault="00E246FF" w:rsidP="00E246FF">
            <w:pPr>
              <w:keepNext/>
              <w:spacing w:before="60" w:after="40" w:line="288" w:lineRule="auto"/>
              <w:ind w:firstLine="0"/>
              <w:jc w:val="left"/>
              <w:rPr>
                <w:rFonts w:cs="Tahoma"/>
                <w:sz w:val="18"/>
                <w:szCs w:val="18"/>
              </w:rPr>
            </w:pPr>
            <w:r w:rsidRPr="00821AF6">
              <w:rPr>
                <w:rFonts w:cs="Tahoma"/>
                <w:sz w:val="18"/>
                <w:szCs w:val="18"/>
              </w:rPr>
              <w:t>Autobusy</w:t>
            </w:r>
            <w:r>
              <w:rPr>
                <w:rFonts w:cs="Tahoma"/>
                <w:sz w:val="18"/>
                <w:szCs w:val="18"/>
              </w:rPr>
              <w:t xml:space="preserve"> CNG</w:t>
            </w:r>
          </w:p>
        </w:tc>
        <w:tc>
          <w:tcPr>
            <w:tcW w:w="708" w:type="dxa"/>
            <w:tcBorders>
              <w:top w:val="single" w:sz="4" w:space="0" w:color="auto"/>
              <w:left w:val="single" w:sz="4" w:space="0" w:color="auto"/>
              <w:bottom w:val="single" w:sz="4" w:space="0" w:color="auto"/>
              <w:right w:val="single" w:sz="4" w:space="0" w:color="auto"/>
            </w:tcBorders>
            <w:vAlign w:val="center"/>
          </w:tcPr>
          <w:p w14:paraId="01522F58" w14:textId="1C80D845" w:rsidR="00E246FF" w:rsidRPr="00145DBA" w:rsidRDefault="00E246FF" w:rsidP="00E246FF">
            <w:pPr>
              <w:keepNext/>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8EF0535" w14:textId="15F57F2C" w:rsidR="00E246FF" w:rsidRPr="00145DBA" w:rsidRDefault="00E246FF" w:rsidP="00E246FF">
            <w:pPr>
              <w:keepNext/>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4A78B9D" w14:textId="061C85FE" w:rsidR="00E246FF" w:rsidRPr="00145DBA" w:rsidRDefault="00E246FF" w:rsidP="00E246FF">
            <w:pPr>
              <w:spacing w:before="60" w:after="40" w:line="288" w:lineRule="auto"/>
              <w:ind w:firstLine="0"/>
              <w:jc w:val="right"/>
              <w:rPr>
                <w:rFonts w:cs="Tahoma"/>
                <w:sz w:val="18"/>
                <w:szCs w:val="18"/>
              </w:rPr>
            </w:pPr>
            <w:r>
              <w:rPr>
                <w:rFonts w:cs="Tahoma"/>
                <w:sz w:val="18"/>
                <w:szCs w:val="18"/>
              </w:rPr>
              <w:t>21,16</w:t>
            </w:r>
          </w:p>
        </w:tc>
        <w:tc>
          <w:tcPr>
            <w:tcW w:w="709" w:type="dxa"/>
            <w:tcBorders>
              <w:top w:val="single" w:sz="4" w:space="0" w:color="auto"/>
              <w:left w:val="single" w:sz="4" w:space="0" w:color="auto"/>
              <w:bottom w:val="single" w:sz="4" w:space="0" w:color="auto"/>
              <w:right w:val="single" w:sz="4" w:space="0" w:color="auto"/>
            </w:tcBorders>
            <w:vAlign w:val="center"/>
          </w:tcPr>
          <w:p w14:paraId="7AA3BE4E" w14:textId="0F4D0DEF" w:rsidR="00E246FF" w:rsidRPr="00821AF6" w:rsidRDefault="00E246FF" w:rsidP="00E246FF">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76C89FFB" w14:textId="1A1C4731"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9AE64E3" w14:textId="49E3F393"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260FFF5" w14:textId="490420E6" w:rsidR="00E246FF" w:rsidRPr="00145DBA" w:rsidRDefault="00E246FF" w:rsidP="00E246FF">
            <w:pPr>
              <w:spacing w:before="60" w:after="40" w:line="288" w:lineRule="auto"/>
              <w:ind w:firstLine="0"/>
              <w:jc w:val="right"/>
              <w:rPr>
                <w:rFonts w:cs="Tahoma"/>
                <w:sz w:val="18"/>
                <w:szCs w:val="18"/>
              </w:rPr>
            </w:pPr>
            <w:r>
              <w:rPr>
                <w:rFonts w:cs="Tahoma"/>
                <w:sz w:val="18"/>
                <w:szCs w:val="18"/>
              </w:rPr>
              <w:t>8,96</w:t>
            </w:r>
          </w:p>
        </w:tc>
        <w:tc>
          <w:tcPr>
            <w:tcW w:w="709" w:type="dxa"/>
            <w:tcBorders>
              <w:top w:val="single" w:sz="4" w:space="0" w:color="auto"/>
              <w:left w:val="single" w:sz="4" w:space="0" w:color="auto"/>
              <w:bottom w:val="single" w:sz="4" w:space="0" w:color="auto"/>
              <w:right w:val="single" w:sz="4" w:space="0" w:color="auto"/>
            </w:tcBorders>
            <w:vAlign w:val="center"/>
          </w:tcPr>
          <w:p w14:paraId="5E4802EA" w14:textId="3E6EF0DF" w:rsidR="00E246FF" w:rsidRPr="00145DBA" w:rsidRDefault="00E246FF" w:rsidP="00E246FF">
            <w:pPr>
              <w:spacing w:before="60" w:after="40" w:line="288" w:lineRule="auto"/>
              <w:ind w:firstLine="0"/>
              <w:jc w:val="right"/>
              <w:rPr>
                <w:rFonts w:cs="Tahoma"/>
                <w:sz w:val="18"/>
                <w:szCs w:val="18"/>
              </w:rPr>
            </w:pPr>
            <w:r>
              <w:rPr>
                <w:rFonts w:cs="Tahoma"/>
                <w:sz w:val="18"/>
                <w:szCs w:val="18"/>
              </w:rPr>
              <w:t>22,17</w:t>
            </w:r>
          </w:p>
        </w:tc>
        <w:tc>
          <w:tcPr>
            <w:tcW w:w="708" w:type="dxa"/>
            <w:tcBorders>
              <w:top w:val="single" w:sz="4" w:space="0" w:color="auto"/>
              <w:left w:val="single" w:sz="4" w:space="0" w:color="auto"/>
              <w:bottom w:val="single" w:sz="4" w:space="0" w:color="auto"/>
              <w:right w:val="single" w:sz="4" w:space="0" w:color="auto"/>
            </w:tcBorders>
            <w:vAlign w:val="center"/>
          </w:tcPr>
          <w:p w14:paraId="0BA4AB99" w14:textId="411B6245"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757B5DE" w14:textId="5295C0F0"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AE8E2B7" w14:textId="5617A927"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34E2A86" w14:textId="64C12192"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08C21852" w14:textId="6031C729"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92BB9C3" w14:textId="70B26A06"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698" w:type="dxa"/>
            <w:tcBorders>
              <w:top w:val="single" w:sz="4" w:space="0" w:color="auto"/>
              <w:left w:val="single" w:sz="4" w:space="0" w:color="auto"/>
              <w:bottom w:val="single" w:sz="4" w:space="0" w:color="auto"/>
              <w:right w:val="single" w:sz="4" w:space="0" w:color="auto"/>
            </w:tcBorders>
            <w:vAlign w:val="center"/>
          </w:tcPr>
          <w:p w14:paraId="3D823B9E" w14:textId="079A6B3C" w:rsidR="00E246FF" w:rsidRPr="00145DBA" w:rsidRDefault="00E246FF" w:rsidP="00E246FF">
            <w:pPr>
              <w:spacing w:before="60" w:after="40" w:line="288" w:lineRule="auto"/>
              <w:ind w:firstLine="0"/>
              <w:jc w:val="right"/>
              <w:rPr>
                <w:rFonts w:cs="Tahoma"/>
                <w:sz w:val="18"/>
                <w:szCs w:val="18"/>
              </w:rPr>
            </w:pPr>
            <w:r>
              <w:rPr>
                <w:rFonts w:cs="Tahoma"/>
                <w:sz w:val="18"/>
                <w:szCs w:val="18"/>
              </w:rPr>
              <w:t>22,40</w:t>
            </w:r>
          </w:p>
        </w:tc>
        <w:tc>
          <w:tcPr>
            <w:tcW w:w="699" w:type="dxa"/>
            <w:tcBorders>
              <w:top w:val="single" w:sz="4" w:space="0" w:color="auto"/>
              <w:left w:val="single" w:sz="4" w:space="0" w:color="auto"/>
              <w:bottom w:val="single" w:sz="4" w:space="0" w:color="auto"/>
              <w:right w:val="single" w:sz="4" w:space="0" w:color="auto"/>
            </w:tcBorders>
            <w:vAlign w:val="center"/>
          </w:tcPr>
          <w:p w14:paraId="4835E4B4" w14:textId="4A10846F" w:rsidR="00E246FF" w:rsidRPr="00145DBA" w:rsidRDefault="00E246FF" w:rsidP="00E246FF">
            <w:pPr>
              <w:spacing w:before="60" w:after="40" w:line="288" w:lineRule="auto"/>
              <w:ind w:firstLine="0"/>
              <w:jc w:val="right"/>
              <w:rPr>
                <w:rFonts w:cs="Tahoma"/>
                <w:sz w:val="18"/>
                <w:szCs w:val="18"/>
              </w:rPr>
            </w:pPr>
            <w:r>
              <w:rPr>
                <w:rFonts w:cs="Tahoma"/>
                <w:sz w:val="18"/>
                <w:szCs w:val="18"/>
              </w:rPr>
              <w:t>22,40</w:t>
            </w:r>
          </w:p>
        </w:tc>
      </w:tr>
      <w:tr w:rsidR="00E246FF" w:rsidRPr="00821AF6" w14:paraId="56CE2C97"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B24215A" w14:textId="77A399B0" w:rsidR="00E246FF" w:rsidRPr="00821AF6" w:rsidRDefault="00E246FF" w:rsidP="00E246FF">
            <w:pPr>
              <w:spacing w:before="60" w:after="40" w:line="288" w:lineRule="auto"/>
              <w:ind w:firstLine="0"/>
              <w:jc w:val="center"/>
              <w:rPr>
                <w:rFonts w:cs="Tahoma"/>
                <w:sz w:val="18"/>
                <w:szCs w:val="18"/>
              </w:rPr>
            </w:pPr>
            <w:r>
              <w:rPr>
                <w:rFonts w:cs="Tahoma"/>
                <w:sz w:val="18"/>
                <w:szCs w:val="18"/>
              </w:rPr>
              <w:t>3</w:t>
            </w:r>
            <w:r w:rsidRPr="00821AF6">
              <w:rPr>
                <w:rFonts w:cs="Tahoma"/>
                <w:sz w:val="18"/>
                <w:szCs w:val="18"/>
              </w:rPr>
              <w:t>.3</w:t>
            </w:r>
          </w:p>
        </w:tc>
        <w:tc>
          <w:tcPr>
            <w:tcW w:w="2127" w:type="dxa"/>
            <w:tcBorders>
              <w:top w:val="single" w:sz="4" w:space="0" w:color="auto"/>
              <w:left w:val="single" w:sz="4" w:space="0" w:color="auto"/>
              <w:bottom w:val="single" w:sz="4" w:space="0" w:color="auto"/>
              <w:right w:val="single" w:sz="4" w:space="0" w:color="auto"/>
            </w:tcBorders>
            <w:vAlign w:val="center"/>
          </w:tcPr>
          <w:p w14:paraId="34206358" w14:textId="6DE4EF7E" w:rsidR="00E246FF" w:rsidRPr="00821AF6" w:rsidRDefault="00E246FF" w:rsidP="00E246FF">
            <w:pPr>
              <w:spacing w:before="60" w:after="40" w:line="288" w:lineRule="auto"/>
              <w:ind w:firstLine="0"/>
              <w:jc w:val="left"/>
              <w:rPr>
                <w:rFonts w:cs="Tahoma"/>
                <w:sz w:val="18"/>
                <w:szCs w:val="18"/>
              </w:rPr>
            </w:pPr>
            <w:r w:rsidRPr="00821AF6">
              <w:rPr>
                <w:rFonts w:cs="Tahoma"/>
                <w:sz w:val="18"/>
                <w:szCs w:val="18"/>
              </w:rPr>
              <w:t>Autobusy</w:t>
            </w:r>
            <w:r>
              <w:rPr>
                <w:rFonts w:cs="Tahoma"/>
                <w:sz w:val="18"/>
                <w:szCs w:val="18"/>
              </w:rPr>
              <w:t xml:space="preserve"> </w:t>
            </w:r>
            <w:r w:rsidRPr="00821AF6">
              <w:rPr>
                <w:rFonts w:cs="Tahoma"/>
                <w:sz w:val="18"/>
                <w:szCs w:val="18"/>
              </w:rPr>
              <w:t>elektryczne</w:t>
            </w:r>
          </w:p>
        </w:tc>
        <w:tc>
          <w:tcPr>
            <w:tcW w:w="708" w:type="dxa"/>
            <w:tcBorders>
              <w:top w:val="single" w:sz="4" w:space="0" w:color="auto"/>
              <w:left w:val="single" w:sz="4" w:space="0" w:color="auto"/>
              <w:bottom w:val="single" w:sz="4" w:space="0" w:color="auto"/>
              <w:right w:val="single" w:sz="4" w:space="0" w:color="auto"/>
            </w:tcBorders>
            <w:vAlign w:val="center"/>
          </w:tcPr>
          <w:p w14:paraId="5990054D" w14:textId="76B57388"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5284F1E" w14:textId="2A1E271D"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66FD3D7" w14:textId="2ED7AB42" w:rsidR="00E246FF" w:rsidRPr="00145DBA" w:rsidRDefault="00E246FF" w:rsidP="00E246FF">
            <w:pPr>
              <w:spacing w:before="60" w:after="40" w:line="288" w:lineRule="auto"/>
              <w:ind w:firstLine="0"/>
              <w:jc w:val="right"/>
              <w:rPr>
                <w:rFonts w:cs="Tahoma"/>
                <w:sz w:val="18"/>
                <w:szCs w:val="18"/>
              </w:rPr>
            </w:pPr>
            <w:r>
              <w:rPr>
                <w:rFonts w:cs="Tahoma"/>
                <w:sz w:val="18"/>
                <w:szCs w:val="18"/>
              </w:rPr>
              <w:t>6,8</w:t>
            </w:r>
            <w:r w:rsidR="006D2BD2">
              <w:rPr>
                <w:rFonts w:cs="Tahoma"/>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3B1EC3CF" w14:textId="6664356A" w:rsidR="00E246FF" w:rsidRPr="00821AF6" w:rsidRDefault="00E246FF" w:rsidP="00E246FF">
            <w:pPr>
              <w:spacing w:before="60" w:after="40" w:line="288" w:lineRule="auto"/>
              <w:ind w:firstLine="0"/>
              <w:jc w:val="right"/>
              <w:rPr>
                <w:rFonts w:cs="Tahoma"/>
                <w:sz w:val="18"/>
                <w:szCs w:val="18"/>
              </w:rPr>
            </w:pPr>
            <w:r>
              <w:rPr>
                <w:rFonts w:cs="Tahoma"/>
                <w:sz w:val="18"/>
                <w:szCs w:val="18"/>
              </w:rPr>
              <w:t>76,31</w:t>
            </w:r>
          </w:p>
        </w:tc>
        <w:tc>
          <w:tcPr>
            <w:tcW w:w="708" w:type="dxa"/>
            <w:tcBorders>
              <w:top w:val="single" w:sz="4" w:space="0" w:color="auto"/>
              <w:left w:val="single" w:sz="4" w:space="0" w:color="auto"/>
              <w:bottom w:val="single" w:sz="4" w:space="0" w:color="auto"/>
              <w:right w:val="single" w:sz="4" w:space="0" w:color="auto"/>
            </w:tcBorders>
            <w:vAlign w:val="center"/>
          </w:tcPr>
          <w:p w14:paraId="264ABAD6" w14:textId="2D620C7C"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BEE6708" w14:textId="2585B6E2"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3F355BB" w14:textId="78BEB81C" w:rsidR="00E246FF" w:rsidRPr="00145DBA" w:rsidRDefault="00FD5961" w:rsidP="00E246FF">
            <w:pPr>
              <w:spacing w:before="60" w:after="40" w:line="288" w:lineRule="auto"/>
              <w:ind w:firstLine="0"/>
              <w:jc w:val="right"/>
              <w:rPr>
                <w:rFonts w:cs="Tahoma"/>
                <w:sz w:val="18"/>
                <w:szCs w:val="18"/>
              </w:rPr>
            </w:pPr>
            <w:r>
              <w:rPr>
                <w:rFonts w:cs="Tahoma"/>
                <w:sz w:val="18"/>
                <w:szCs w:val="18"/>
              </w:rPr>
              <w:t>47,40</w:t>
            </w:r>
          </w:p>
        </w:tc>
        <w:tc>
          <w:tcPr>
            <w:tcW w:w="709" w:type="dxa"/>
            <w:tcBorders>
              <w:top w:val="single" w:sz="4" w:space="0" w:color="auto"/>
              <w:left w:val="single" w:sz="4" w:space="0" w:color="auto"/>
              <w:bottom w:val="single" w:sz="4" w:space="0" w:color="auto"/>
              <w:right w:val="single" w:sz="4" w:space="0" w:color="auto"/>
            </w:tcBorders>
            <w:vAlign w:val="center"/>
          </w:tcPr>
          <w:p w14:paraId="492CA6C6" w14:textId="7BEC30D0" w:rsidR="00E246FF" w:rsidRPr="00145DBA" w:rsidRDefault="00FD5961" w:rsidP="00E246FF">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5106CA7A" w14:textId="04CCE3E6"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C928E47" w14:textId="434FA780"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D68F91B" w14:textId="61D9B523"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F296D4D" w14:textId="6ADEE631" w:rsidR="00E246FF" w:rsidRPr="00145DBA" w:rsidRDefault="00FD5961" w:rsidP="00E246FF">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235323C7" w14:textId="3AAC848F"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790460F" w14:textId="0766393F"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698" w:type="dxa"/>
            <w:tcBorders>
              <w:top w:val="single" w:sz="4" w:space="0" w:color="auto"/>
              <w:left w:val="single" w:sz="4" w:space="0" w:color="auto"/>
              <w:bottom w:val="single" w:sz="4" w:space="0" w:color="auto"/>
              <w:right w:val="single" w:sz="4" w:space="0" w:color="auto"/>
            </w:tcBorders>
            <w:vAlign w:val="center"/>
          </w:tcPr>
          <w:p w14:paraId="04DC9335" w14:textId="77AECA73"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699" w:type="dxa"/>
            <w:tcBorders>
              <w:top w:val="single" w:sz="4" w:space="0" w:color="auto"/>
              <w:left w:val="single" w:sz="4" w:space="0" w:color="auto"/>
              <w:bottom w:val="single" w:sz="4" w:space="0" w:color="auto"/>
              <w:right w:val="single" w:sz="4" w:space="0" w:color="auto"/>
            </w:tcBorders>
            <w:vAlign w:val="center"/>
          </w:tcPr>
          <w:p w14:paraId="1D07FEFF" w14:textId="07999032"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r>
      <w:tr w:rsidR="00E246FF" w:rsidRPr="00821AF6" w14:paraId="30529790" w14:textId="77777777" w:rsidTr="002E37D2">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2CAB29F6" w14:textId="6B8D45A1" w:rsidR="00E246FF" w:rsidRDefault="00E246FF" w:rsidP="00E246FF">
            <w:pPr>
              <w:spacing w:before="60" w:after="40" w:line="288" w:lineRule="auto"/>
              <w:ind w:firstLine="0"/>
              <w:jc w:val="center"/>
              <w:rPr>
                <w:rFonts w:cs="Tahoma"/>
                <w:sz w:val="18"/>
                <w:szCs w:val="18"/>
              </w:rPr>
            </w:pPr>
            <w:r>
              <w:rPr>
                <w:rFonts w:cs="Tahoma"/>
                <w:sz w:val="18"/>
                <w:szCs w:val="18"/>
              </w:rPr>
              <w:t>3.4</w:t>
            </w:r>
          </w:p>
        </w:tc>
        <w:tc>
          <w:tcPr>
            <w:tcW w:w="2127" w:type="dxa"/>
            <w:tcBorders>
              <w:top w:val="single" w:sz="4" w:space="0" w:color="auto"/>
              <w:left w:val="single" w:sz="4" w:space="0" w:color="auto"/>
              <w:bottom w:val="single" w:sz="4" w:space="0" w:color="auto"/>
              <w:right w:val="single" w:sz="4" w:space="0" w:color="auto"/>
            </w:tcBorders>
            <w:vAlign w:val="center"/>
          </w:tcPr>
          <w:p w14:paraId="3D758EDF" w14:textId="5A0EF2E9" w:rsidR="00E246FF" w:rsidRPr="00821AF6" w:rsidRDefault="00E246FF" w:rsidP="00E246FF">
            <w:pPr>
              <w:spacing w:before="60" w:after="40" w:line="288" w:lineRule="auto"/>
              <w:ind w:firstLine="0"/>
              <w:jc w:val="left"/>
              <w:rPr>
                <w:rFonts w:cs="Tahoma"/>
                <w:sz w:val="18"/>
                <w:szCs w:val="18"/>
              </w:rPr>
            </w:pPr>
            <w:r>
              <w:rPr>
                <w:rFonts w:cs="Tahoma"/>
                <w:sz w:val="18"/>
                <w:szCs w:val="18"/>
              </w:rPr>
              <w:t>Autobusy wodorowe</w:t>
            </w:r>
          </w:p>
        </w:tc>
        <w:tc>
          <w:tcPr>
            <w:tcW w:w="708" w:type="dxa"/>
            <w:tcBorders>
              <w:top w:val="single" w:sz="4" w:space="0" w:color="auto"/>
              <w:left w:val="single" w:sz="4" w:space="0" w:color="auto"/>
              <w:bottom w:val="single" w:sz="4" w:space="0" w:color="auto"/>
              <w:right w:val="single" w:sz="4" w:space="0" w:color="auto"/>
            </w:tcBorders>
            <w:vAlign w:val="center"/>
          </w:tcPr>
          <w:p w14:paraId="61F6C5F2" w14:textId="293D8FBA"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314B2F3" w14:textId="39BFA9F0"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C21EC8B" w14:textId="15FFAD9A"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C7C694A" w14:textId="0483E74B" w:rsidR="00E246FF" w:rsidRPr="00821AF6" w:rsidRDefault="00E246FF" w:rsidP="00E246FF">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6BDFF8B9" w14:textId="4047137A" w:rsidR="00E246FF" w:rsidRPr="00145DBA" w:rsidRDefault="00E246FF" w:rsidP="00E246FF">
            <w:pPr>
              <w:spacing w:before="60" w:after="40" w:line="288" w:lineRule="auto"/>
              <w:ind w:firstLine="0"/>
              <w:jc w:val="right"/>
              <w:rPr>
                <w:rFonts w:cs="Tahoma"/>
                <w:sz w:val="18"/>
                <w:szCs w:val="18"/>
              </w:rPr>
            </w:pPr>
            <w:r>
              <w:rPr>
                <w:rFonts w:cs="Tahoma"/>
                <w:sz w:val="18"/>
                <w:szCs w:val="18"/>
              </w:rPr>
              <w:t>6,96</w:t>
            </w:r>
          </w:p>
        </w:tc>
        <w:tc>
          <w:tcPr>
            <w:tcW w:w="709" w:type="dxa"/>
            <w:tcBorders>
              <w:top w:val="single" w:sz="4" w:space="0" w:color="auto"/>
              <w:left w:val="single" w:sz="4" w:space="0" w:color="auto"/>
              <w:bottom w:val="single" w:sz="4" w:space="0" w:color="auto"/>
              <w:right w:val="single" w:sz="4" w:space="0" w:color="auto"/>
            </w:tcBorders>
            <w:vAlign w:val="center"/>
          </w:tcPr>
          <w:p w14:paraId="0A55BDEE" w14:textId="6336F1CD" w:rsidR="00E246FF" w:rsidRPr="00145DBA" w:rsidRDefault="00E246FF" w:rsidP="00FD5961">
            <w:pPr>
              <w:spacing w:before="60" w:after="40" w:line="288" w:lineRule="auto"/>
              <w:ind w:firstLine="0"/>
              <w:jc w:val="right"/>
              <w:rPr>
                <w:rFonts w:cs="Tahoma"/>
                <w:sz w:val="18"/>
                <w:szCs w:val="18"/>
              </w:rPr>
            </w:pPr>
            <w:r>
              <w:rPr>
                <w:rFonts w:cs="Tahoma"/>
                <w:sz w:val="18"/>
                <w:szCs w:val="18"/>
              </w:rPr>
              <w:t>0,</w:t>
            </w:r>
            <w:r w:rsidR="00FD5961">
              <w:rPr>
                <w:rFonts w:cs="Tahoma"/>
                <w:sz w:val="18"/>
                <w:szCs w:val="18"/>
              </w:rPr>
              <w:t>00</w:t>
            </w:r>
          </w:p>
        </w:tc>
        <w:tc>
          <w:tcPr>
            <w:tcW w:w="709" w:type="dxa"/>
            <w:tcBorders>
              <w:top w:val="single" w:sz="4" w:space="0" w:color="auto"/>
              <w:left w:val="single" w:sz="4" w:space="0" w:color="auto"/>
              <w:bottom w:val="single" w:sz="4" w:space="0" w:color="auto"/>
              <w:right w:val="single" w:sz="4" w:space="0" w:color="auto"/>
            </w:tcBorders>
            <w:vAlign w:val="center"/>
          </w:tcPr>
          <w:p w14:paraId="16641C85" w14:textId="5F490E9F" w:rsidR="00E246FF" w:rsidRPr="00145DBA" w:rsidRDefault="00FD5961" w:rsidP="00E246FF">
            <w:pPr>
              <w:spacing w:before="60" w:after="40" w:line="288" w:lineRule="auto"/>
              <w:ind w:firstLine="0"/>
              <w:jc w:val="right"/>
              <w:rPr>
                <w:rFonts w:cs="Tahoma"/>
                <w:sz w:val="18"/>
                <w:szCs w:val="18"/>
              </w:rPr>
            </w:pPr>
            <w:r>
              <w:rPr>
                <w:rFonts w:cs="Tahoma"/>
                <w:sz w:val="18"/>
                <w:szCs w:val="18"/>
              </w:rPr>
              <w:t>6,96</w:t>
            </w:r>
          </w:p>
        </w:tc>
        <w:tc>
          <w:tcPr>
            <w:tcW w:w="709" w:type="dxa"/>
            <w:tcBorders>
              <w:top w:val="single" w:sz="4" w:space="0" w:color="auto"/>
              <w:left w:val="single" w:sz="4" w:space="0" w:color="auto"/>
              <w:bottom w:val="single" w:sz="4" w:space="0" w:color="auto"/>
              <w:right w:val="single" w:sz="4" w:space="0" w:color="auto"/>
            </w:tcBorders>
            <w:vAlign w:val="center"/>
          </w:tcPr>
          <w:p w14:paraId="19A6D19E" w14:textId="3E0164ED" w:rsidR="00E246FF" w:rsidRPr="00145DBA" w:rsidRDefault="00FD5961" w:rsidP="00E246FF">
            <w:pPr>
              <w:spacing w:before="60" w:after="40" w:line="288" w:lineRule="auto"/>
              <w:ind w:firstLine="0"/>
              <w:jc w:val="right"/>
              <w:rPr>
                <w:rFonts w:cs="Tahoma"/>
                <w:sz w:val="18"/>
                <w:szCs w:val="18"/>
              </w:rPr>
            </w:pPr>
            <w:r>
              <w:rPr>
                <w:rFonts w:cs="Tahoma"/>
                <w:sz w:val="18"/>
                <w:szCs w:val="18"/>
              </w:rPr>
              <w:t>13,92</w:t>
            </w:r>
          </w:p>
        </w:tc>
        <w:tc>
          <w:tcPr>
            <w:tcW w:w="708" w:type="dxa"/>
            <w:tcBorders>
              <w:top w:val="single" w:sz="4" w:space="0" w:color="auto"/>
              <w:left w:val="single" w:sz="4" w:space="0" w:color="auto"/>
              <w:bottom w:val="single" w:sz="4" w:space="0" w:color="auto"/>
              <w:right w:val="single" w:sz="4" w:space="0" w:color="auto"/>
            </w:tcBorders>
            <w:vAlign w:val="center"/>
          </w:tcPr>
          <w:p w14:paraId="2FC44FD3" w14:textId="15586E8F"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93718B0" w14:textId="7C962B34"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1BAD2E7" w14:textId="28C663D3" w:rsidR="00E246FF" w:rsidRPr="00145DBA" w:rsidRDefault="00E246FF" w:rsidP="00FD5961">
            <w:pPr>
              <w:spacing w:before="60" w:after="40" w:line="288" w:lineRule="auto"/>
              <w:ind w:firstLine="0"/>
              <w:jc w:val="right"/>
              <w:rPr>
                <w:rFonts w:cs="Tahoma"/>
                <w:sz w:val="18"/>
                <w:szCs w:val="18"/>
              </w:rPr>
            </w:pPr>
            <w:r>
              <w:rPr>
                <w:rFonts w:cs="Tahoma"/>
                <w:sz w:val="18"/>
                <w:szCs w:val="18"/>
              </w:rPr>
              <w:t>0,</w:t>
            </w:r>
            <w:r w:rsidR="00FD5961">
              <w:rPr>
                <w:rFonts w:cs="Tahoma"/>
                <w:sz w:val="18"/>
                <w:szCs w:val="18"/>
              </w:rPr>
              <w:t>00</w:t>
            </w:r>
          </w:p>
        </w:tc>
        <w:tc>
          <w:tcPr>
            <w:tcW w:w="709" w:type="dxa"/>
            <w:tcBorders>
              <w:top w:val="single" w:sz="4" w:space="0" w:color="auto"/>
              <w:left w:val="single" w:sz="4" w:space="0" w:color="auto"/>
              <w:bottom w:val="single" w:sz="4" w:space="0" w:color="auto"/>
              <w:right w:val="single" w:sz="4" w:space="0" w:color="auto"/>
            </w:tcBorders>
            <w:vAlign w:val="center"/>
          </w:tcPr>
          <w:p w14:paraId="2739E640" w14:textId="4BFAA665" w:rsidR="00E246FF" w:rsidRPr="00145DBA" w:rsidRDefault="00FD5961" w:rsidP="00E246FF">
            <w:pPr>
              <w:spacing w:before="60" w:after="40" w:line="288" w:lineRule="auto"/>
              <w:ind w:firstLine="0"/>
              <w:jc w:val="right"/>
              <w:rPr>
                <w:rFonts w:cs="Tahoma"/>
                <w:sz w:val="18"/>
                <w:szCs w:val="18"/>
              </w:rPr>
            </w:pPr>
            <w:r>
              <w:rPr>
                <w:rFonts w:cs="Tahoma"/>
                <w:sz w:val="18"/>
                <w:szCs w:val="18"/>
              </w:rPr>
              <w:t>17,40</w:t>
            </w:r>
          </w:p>
        </w:tc>
        <w:tc>
          <w:tcPr>
            <w:tcW w:w="708" w:type="dxa"/>
            <w:tcBorders>
              <w:top w:val="single" w:sz="4" w:space="0" w:color="auto"/>
              <w:left w:val="single" w:sz="4" w:space="0" w:color="auto"/>
              <w:bottom w:val="single" w:sz="4" w:space="0" w:color="auto"/>
              <w:right w:val="single" w:sz="4" w:space="0" w:color="auto"/>
            </w:tcBorders>
            <w:vAlign w:val="center"/>
          </w:tcPr>
          <w:p w14:paraId="7342E250" w14:textId="58F84E00" w:rsidR="00E246FF" w:rsidRPr="00145DBA" w:rsidRDefault="00E246FF" w:rsidP="00E246FF">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7F118B0" w14:textId="678B3924" w:rsidR="00E246FF" w:rsidRPr="00145DBA" w:rsidRDefault="00E246FF" w:rsidP="00FD5961">
            <w:pPr>
              <w:spacing w:before="60" w:after="40" w:line="288" w:lineRule="auto"/>
              <w:ind w:firstLine="0"/>
              <w:jc w:val="right"/>
              <w:rPr>
                <w:rFonts w:cs="Tahoma"/>
                <w:sz w:val="18"/>
                <w:szCs w:val="18"/>
              </w:rPr>
            </w:pPr>
            <w:r>
              <w:rPr>
                <w:rFonts w:cs="Tahoma"/>
                <w:sz w:val="18"/>
                <w:szCs w:val="18"/>
              </w:rPr>
              <w:t>0,</w:t>
            </w:r>
            <w:r w:rsidR="00FD5961">
              <w:rPr>
                <w:rFonts w:cs="Tahoma"/>
                <w:sz w:val="18"/>
                <w:szCs w:val="18"/>
              </w:rPr>
              <w:t>00</w:t>
            </w:r>
          </w:p>
        </w:tc>
        <w:tc>
          <w:tcPr>
            <w:tcW w:w="698" w:type="dxa"/>
            <w:tcBorders>
              <w:top w:val="single" w:sz="4" w:space="0" w:color="auto"/>
              <w:left w:val="single" w:sz="4" w:space="0" w:color="auto"/>
              <w:bottom w:val="single" w:sz="4" w:space="0" w:color="auto"/>
              <w:right w:val="single" w:sz="4" w:space="0" w:color="auto"/>
            </w:tcBorders>
            <w:vAlign w:val="center"/>
          </w:tcPr>
          <w:p w14:paraId="274CFB12" w14:textId="42F90994" w:rsidR="00E246FF" w:rsidRPr="00145DBA" w:rsidRDefault="00FD5961" w:rsidP="00E246FF">
            <w:pPr>
              <w:spacing w:before="60" w:after="40" w:line="288" w:lineRule="auto"/>
              <w:ind w:firstLine="0"/>
              <w:jc w:val="right"/>
              <w:rPr>
                <w:rFonts w:cs="Tahoma"/>
                <w:sz w:val="18"/>
                <w:szCs w:val="18"/>
              </w:rPr>
            </w:pPr>
            <w:r>
              <w:rPr>
                <w:rFonts w:cs="Tahoma"/>
                <w:sz w:val="18"/>
                <w:szCs w:val="18"/>
              </w:rPr>
              <w:t>0,00</w:t>
            </w:r>
          </w:p>
        </w:tc>
        <w:tc>
          <w:tcPr>
            <w:tcW w:w="699" w:type="dxa"/>
            <w:tcBorders>
              <w:top w:val="single" w:sz="4" w:space="0" w:color="auto"/>
              <w:left w:val="single" w:sz="4" w:space="0" w:color="auto"/>
              <w:bottom w:val="single" w:sz="4" w:space="0" w:color="auto"/>
              <w:right w:val="single" w:sz="4" w:space="0" w:color="auto"/>
            </w:tcBorders>
            <w:vAlign w:val="center"/>
          </w:tcPr>
          <w:p w14:paraId="4F48A0EE" w14:textId="4FE14154" w:rsidR="00E246FF" w:rsidRPr="00145DBA" w:rsidRDefault="00E246FF" w:rsidP="00FD5961">
            <w:pPr>
              <w:spacing w:before="60" w:after="40" w:line="288" w:lineRule="auto"/>
              <w:ind w:firstLine="0"/>
              <w:jc w:val="right"/>
              <w:rPr>
                <w:rFonts w:cs="Tahoma"/>
                <w:sz w:val="18"/>
                <w:szCs w:val="18"/>
              </w:rPr>
            </w:pPr>
            <w:r>
              <w:rPr>
                <w:rFonts w:cs="Tahoma"/>
                <w:sz w:val="18"/>
                <w:szCs w:val="18"/>
              </w:rPr>
              <w:t>0,</w:t>
            </w:r>
            <w:r w:rsidR="00FD5961">
              <w:rPr>
                <w:rFonts w:cs="Tahoma"/>
                <w:sz w:val="18"/>
                <w:szCs w:val="18"/>
              </w:rPr>
              <w:t>00</w:t>
            </w:r>
          </w:p>
        </w:tc>
      </w:tr>
      <w:tr w:rsidR="00295527" w:rsidRPr="00821AF6" w14:paraId="5495EC27" w14:textId="77777777" w:rsidTr="00143304">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E918049" w14:textId="2EF056B6" w:rsidR="00295527" w:rsidRPr="00821AF6" w:rsidRDefault="00295527" w:rsidP="00295527">
            <w:pPr>
              <w:spacing w:before="60" w:after="40" w:line="288" w:lineRule="auto"/>
              <w:ind w:firstLine="0"/>
              <w:jc w:val="center"/>
              <w:rPr>
                <w:rFonts w:cs="Tahoma"/>
                <w:sz w:val="18"/>
                <w:szCs w:val="18"/>
              </w:rPr>
            </w:pPr>
            <w:r>
              <w:rPr>
                <w:rFonts w:cs="Tahoma"/>
                <w:sz w:val="18"/>
                <w:szCs w:val="18"/>
              </w:rPr>
              <w:t>3</w:t>
            </w:r>
            <w:r w:rsidRPr="00821AF6">
              <w:rPr>
                <w:rFonts w:cs="Tahoma"/>
                <w:sz w:val="18"/>
                <w:szCs w:val="18"/>
              </w:rPr>
              <w:t>.</w:t>
            </w:r>
            <w:r w:rsidR="00E246FF">
              <w:rPr>
                <w:rFonts w:cs="Tahoma"/>
                <w:sz w:val="18"/>
                <w:szCs w:val="18"/>
              </w:rPr>
              <w:t>5</w:t>
            </w:r>
          </w:p>
        </w:tc>
        <w:tc>
          <w:tcPr>
            <w:tcW w:w="2127" w:type="dxa"/>
            <w:tcBorders>
              <w:top w:val="single" w:sz="4" w:space="0" w:color="auto"/>
              <w:left w:val="single" w:sz="4" w:space="0" w:color="auto"/>
              <w:bottom w:val="single" w:sz="4" w:space="0" w:color="auto"/>
              <w:right w:val="single" w:sz="4" w:space="0" w:color="auto"/>
            </w:tcBorders>
            <w:vAlign w:val="center"/>
          </w:tcPr>
          <w:p w14:paraId="6EF34BC8" w14:textId="59D1575D" w:rsidR="00295527" w:rsidRPr="00821AF6" w:rsidRDefault="00295527" w:rsidP="00295527">
            <w:pPr>
              <w:spacing w:before="60" w:after="40" w:line="288" w:lineRule="auto"/>
              <w:ind w:firstLine="0"/>
              <w:jc w:val="left"/>
              <w:rPr>
                <w:rFonts w:cs="Tahoma"/>
                <w:sz w:val="18"/>
                <w:szCs w:val="18"/>
              </w:rPr>
            </w:pPr>
            <w:r w:rsidRPr="00821AF6">
              <w:rPr>
                <w:rFonts w:cs="Tahoma"/>
                <w:sz w:val="18"/>
                <w:szCs w:val="18"/>
              </w:rPr>
              <w:t>Infrastruktura</w:t>
            </w:r>
            <w:r>
              <w:rPr>
                <w:rFonts w:cs="Tahoma"/>
                <w:sz w:val="18"/>
                <w:szCs w:val="18"/>
              </w:rPr>
              <w:t xml:space="preserve"> zasilania,</w:t>
            </w:r>
            <w:r w:rsidRPr="00821AF6">
              <w:rPr>
                <w:rFonts w:cs="Tahoma"/>
                <w:sz w:val="18"/>
                <w:szCs w:val="18"/>
              </w:rPr>
              <w:br/>
              <w:t>wymiana baterii</w:t>
            </w:r>
          </w:p>
        </w:tc>
        <w:tc>
          <w:tcPr>
            <w:tcW w:w="708" w:type="dxa"/>
            <w:tcBorders>
              <w:top w:val="single" w:sz="4" w:space="0" w:color="auto"/>
              <w:left w:val="single" w:sz="4" w:space="0" w:color="auto"/>
              <w:bottom w:val="single" w:sz="4" w:space="0" w:color="auto"/>
              <w:right w:val="single" w:sz="4" w:space="0" w:color="auto"/>
            </w:tcBorders>
            <w:vAlign w:val="center"/>
          </w:tcPr>
          <w:p w14:paraId="06AF1AA4" w14:textId="0A89B442" w:rsidR="00295527" w:rsidRPr="00145DBA" w:rsidRDefault="00E246FF"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69DB71C" w14:textId="0771F1D1" w:rsidR="00295527" w:rsidRPr="00145DBA" w:rsidRDefault="00E246FF"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B86631E" w14:textId="0CB39E40" w:rsidR="00295527" w:rsidRPr="00145DBA" w:rsidRDefault="00E246FF" w:rsidP="00295527">
            <w:pPr>
              <w:spacing w:before="60" w:after="40" w:line="288" w:lineRule="auto"/>
              <w:ind w:firstLine="0"/>
              <w:jc w:val="right"/>
              <w:rPr>
                <w:rFonts w:cs="Tahoma"/>
                <w:sz w:val="18"/>
                <w:szCs w:val="18"/>
              </w:rPr>
            </w:pPr>
            <w:r>
              <w:rPr>
                <w:rFonts w:cs="Tahoma"/>
                <w:sz w:val="18"/>
                <w:szCs w:val="18"/>
              </w:rPr>
              <w:t>0,15</w:t>
            </w:r>
          </w:p>
        </w:tc>
        <w:tc>
          <w:tcPr>
            <w:tcW w:w="709" w:type="dxa"/>
            <w:tcBorders>
              <w:top w:val="single" w:sz="4" w:space="0" w:color="auto"/>
              <w:left w:val="single" w:sz="4" w:space="0" w:color="auto"/>
              <w:bottom w:val="single" w:sz="4" w:space="0" w:color="auto"/>
              <w:right w:val="single" w:sz="4" w:space="0" w:color="auto"/>
            </w:tcBorders>
            <w:vAlign w:val="center"/>
          </w:tcPr>
          <w:p w14:paraId="1D956DB6" w14:textId="316ED8E7" w:rsidR="00295527" w:rsidRPr="00821AF6" w:rsidRDefault="00E246FF" w:rsidP="00295527">
            <w:pPr>
              <w:spacing w:before="60" w:after="40" w:line="288" w:lineRule="auto"/>
              <w:ind w:firstLine="0"/>
              <w:jc w:val="right"/>
              <w:rPr>
                <w:rFonts w:cs="Tahoma"/>
                <w:sz w:val="18"/>
                <w:szCs w:val="18"/>
              </w:rPr>
            </w:pPr>
            <w:r>
              <w:rPr>
                <w:rFonts w:cs="Tahoma"/>
                <w:sz w:val="18"/>
                <w:szCs w:val="18"/>
              </w:rPr>
              <w:t>8,73</w:t>
            </w:r>
          </w:p>
        </w:tc>
        <w:tc>
          <w:tcPr>
            <w:tcW w:w="708" w:type="dxa"/>
            <w:tcBorders>
              <w:top w:val="single" w:sz="4" w:space="0" w:color="auto"/>
              <w:left w:val="single" w:sz="4" w:space="0" w:color="auto"/>
              <w:bottom w:val="single" w:sz="4" w:space="0" w:color="auto"/>
              <w:right w:val="single" w:sz="4" w:space="0" w:color="auto"/>
            </w:tcBorders>
            <w:vAlign w:val="center"/>
          </w:tcPr>
          <w:p w14:paraId="089EA3AE" w14:textId="1FC257BF" w:rsidR="00295527" w:rsidRPr="00145DBA" w:rsidRDefault="00FD5961" w:rsidP="00295527">
            <w:pPr>
              <w:spacing w:before="60" w:after="40" w:line="288" w:lineRule="auto"/>
              <w:ind w:firstLine="0"/>
              <w:jc w:val="right"/>
              <w:rPr>
                <w:rFonts w:cs="Tahoma"/>
                <w:sz w:val="18"/>
                <w:szCs w:val="18"/>
              </w:rPr>
            </w:pPr>
            <w:r>
              <w:rPr>
                <w:rFonts w:cs="Tahoma"/>
                <w:sz w:val="18"/>
                <w:szCs w:val="18"/>
              </w:rPr>
              <w:t>0,5</w:t>
            </w:r>
            <w:r w:rsidR="00E246FF">
              <w:rPr>
                <w:rFonts w:cs="Tahoma"/>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14:paraId="48FA0567" w14:textId="51526BDD" w:rsidR="00295527" w:rsidRPr="00145DBA" w:rsidRDefault="00FD5961" w:rsidP="00FD5961">
            <w:pPr>
              <w:spacing w:before="60" w:after="40" w:line="288" w:lineRule="auto"/>
              <w:ind w:firstLine="0"/>
              <w:jc w:val="right"/>
              <w:rPr>
                <w:rFonts w:cs="Tahoma"/>
                <w:sz w:val="18"/>
                <w:szCs w:val="18"/>
              </w:rPr>
            </w:pPr>
            <w:r>
              <w:rPr>
                <w:rFonts w:cs="Tahoma"/>
                <w:sz w:val="18"/>
                <w:szCs w:val="18"/>
              </w:rPr>
              <w:t>0,45</w:t>
            </w:r>
          </w:p>
        </w:tc>
        <w:tc>
          <w:tcPr>
            <w:tcW w:w="709" w:type="dxa"/>
            <w:tcBorders>
              <w:top w:val="single" w:sz="4" w:space="0" w:color="auto"/>
              <w:left w:val="single" w:sz="4" w:space="0" w:color="auto"/>
              <w:bottom w:val="single" w:sz="4" w:space="0" w:color="auto"/>
              <w:right w:val="single" w:sz="4" w:space="0" w:color="auto"/>
            </w:tcBorders>
            <w:vAlign w:val="center"/>
          </w:tcPr>
          <w:p w14:paraId="3AAE2D4A" w14:textId="10C2CC38" w:rsidR="00295527" w:rsidRPr="00145DBA" w:rsidRDefault="00FD5961" w:rsidP="00295527">
            <w:pPr>
              <w:spacing w:before="60" w:after="40" w:line="288" w:lineRule="auto"/>
              <w:ind w:firstLine="0"/>
              <w:jc w:val="right"/>
              <w:rPr>
                <w:rFonts w:cs="Tahoma"/>
                <w:sz w:val="18"/>
                <w:szCs w:val="18"/>
              </w:rPr>
            </w:pPr>
            <w:r>
              <w:rPr>
                <w:rFonts w:cs="Tahoma"/>
                <w:sz w:val="18"/>
                <w:szCs w:val="18"/>
              </w:rPr>
              <w:t>5,75</w:t>
            </w:r>
          </w:p>
        </w:tc>
        <w:tc>
          <w:tcPr>
            <w:tcW w:w="709" w:type="dxa"/>
            <w:tcBorders>
              <w:top w:val="single" w:sz="4" w:space="0" w:color="auto"/>
              <w:left w:val="single" w:sz="4" w:space="0" w:color="auto"/>
              <w:bottom w:val="single" w:sz="4" w:space="0" w:color="auto"/>
              <w:right w:val="single" w:sz="4" w:space="0" w:color="auto"/>
            </w:tcBorders>
            <w:vAlign w:val="center"/>
          </w:tcPr>
          <w:p w14:paraId="470C46CD" w14:textId="2F19940C" w:rsidR="00295527" w:rsidRPr="00145DBA" w:rsidRDefault="00FD5961" w:rsidP="00295527">
            <w:pPr>
              <w:spacing w:before="60" w:after="40" w:line="288" w:lineRule="auto"/>
              <w:ind w:firstLine="0"/>
              <w:jc w:val="right"/>
              <w:rPr>
                <w:rFonts w:cs="Tahoma"/>
                <w:sz w:val="18"/>
                <w:szCs w:val="18"/>
              </w:rPr>
            </w:pPr>
            <w:r>
              <w:rPr>
                <w:rFonts w:cs="Tahoma"/>
                <w:sz w:val="18"/>
                <w:szCs w:val="18"/>
              </w:rPr>
              <w:t>0,00</w:t>
            </w:r>
          </w:p>
        </w:tc>
        <w:tc>
          <w:tcPr>
            <w:tcW w:w="708" w:type="dxa"/>
            <w:tcBorders>
              <w:top w:val="single" w:sz="4" w:space="0" w:color="auto"/>
              <w:left w:val="single" w:sz="4" w:space="0" w:color="auto"/>
              <w:bottom w:val="single" w:sz="4" w:space="0" w:color="auto"/>
              <w:right w:val="single" w:sz="4" w:space="0" w:color="auto"/>
            </w:tcBorders>
            <w:vAlign w:val="center"/>
          </w:tcPr>
          <w:p w14:paraId="3D04F4EC" w14:textId="65D6F306" w:rsidR="00295527" w:rsidRPr="00145DBA" w:rsidRDefault="00FD5961"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234E265" w14:textId="0F940F02" w:rsidR="00295527" w:rsidRPr="00145DBA" w:rsidRDefault="00FD5961"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1DDFC4E" w14:textId="54F37C2D" w:rsidR="00295527" w:rsidRPr="00145DBA" w:rsidRDefault="00FD5961" w:rsidP="00FD5961">
            <w:pPr>
              <w:spacing w:before="60" w:after="40" w:line="288" w:lineRule="auto"/>
              <w:ind w:firstLine="0"/>
              <w:jc w:val="right"/>
              <w:rPr>
                <w:rFonts w:cs="Tahoma"/>
                <w:sz w:val="18"/>
                <w:szCs w:val="18"/>
              </w:rPr>
            </w:pPr>
            <w:r>
              <w:rPr>
                <w:rFonts w:cs="Tahoma"/>
                <w:sz w:val="18"/>
                <w:szCs w:val="18"/>
              </w:rPr>
              <w:t>0,21</w:t>
            </w:r>
          </w:p>
        </w:tc>
        <w:tc>
          <w:tcPr>
            <w:tcW w:w="709" w:type="dxa"/>
            <w:tcBorders>
              <w:top w:val="single" w:sz="4" w:space="0" w:color="auto"/>
              <w:left w:val="single" w:sz="4" w:space="0" w:color="auto"/>
              <w:bottom w:val="single" w:sz="4" w:space="0" w:color="auto"/>
              <w:right w:val="single" w:sz="4" w:space="0" w:color="auto"/>
            </w:tcBorders>
            <w:vAlign w:val="center"/>
          </w:tcPr>
          <w:p w14:paraId="7C251E57" w14:textId="0A8E6F57" w:rsidR="00295527" w:rsidRPr="00145DBA" w:rsidRDefault="00FD5961" w:rsidP="00FD5961">
            <w:pPr>
              <w:spacing w:before="60" w:after="40" w:line="288" w:lineRule="auto"/>
              <w:ind w:firstLine="0"/>
              <w:jc w:val="right"/>
              <w:rPr>
                <w:rFonts w:cs="Tahoma"/>
                <w:sz w:val="18"/>
                <w:szCs w:val="18"/>
              </w:rPr>
            </w:pPr>
            <w:r>
              <w:rPr>
                <w:rFonts w:cs="Tahoma"/>
                <w:sz w:val="18"/>
                <w:szCs w:val="18"/>
              </w:rPr>
              <w:t>2,57</w:t>
            </w:r>
          </w:p>
        </w:tc>
        <w:tc>
          <w:tcPr>
            <w:tcW w:w="708" w:type="dxa"/>
            <w:tcBorders>
              <w:top w:val="single" w:sz="4" w:space="0" w:color="auto"/>
              <w:left w:val="single" w:sz="4" w:space="0" w:color="auto"/>
              <w:bottom w:val="single" w:sz="4" w:space="0" w:color="auto"/>
              <w:right w:val="single" w:sz="4" w:space="0" w:color="auto"/>
            </w:tcBorders>
            <w:vAlign w:val="center"/>
          </w:tcPr>
          <w:p w14:paraId="3709F6ED" w14:textId="670D9213" w:rsidR="00295527" w:rsidRPr="00145DBA" w:rsidRDefault="00FD5961"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452BDBD" w14:textId="1E684376" w:rsidR="00295527" w:rsidRPr="00145DBA" w:rsidRDefault="00FD5961" w:rsidP="00FD5961">
            <w:pPr>
              <w:spacing w:before="60" w:after="40" w:line="288" w:lineRule="auto"/>
              <w:ind w:firstLine="0"/>
              <w:jc w:val="right"/>
              <w:rPr>
                <w:rFonts w:cs="Tahoma"/>
                <w:sz w:val="18"/>
                <w:szCs w:val="18"/>
              </w:rPr>
            </w:pPr>
            <w:r>
              <w:rPr>
                <w:rFonts w:cs="Tahoma"/>
                <w:sz w:val="18"/>
                <w:szCs w:val="18"/>
              </w:rPr>
              <w:t>0,45</w:t>
            </w:r>
          </w:p>
        </w:tc>
        <w:tc>
          <w:tcPr>
            <w:tcW w:w="698" w:type="dxa"/>
            <w:tcBorders>
              <w:top w:val="single" w:sz="4" w:space="0" w:color="auto"/>
              <w:left w:val="single" w:sz="4" w:space="0" w:color="auto"/>
              <w:bottom w:val="single" w:sz="4" w:space="0" w:color="auto"/>
              <w:right w:val="single" w:sz="4" w:space="0" w:color="auto"/>
            </w:tcBorders>
            <w:vAlign w:val="center"/>
          </w:tcPr>
          <w:p w14:paraId="4545B4C1" w14:textId="05C84E71" w:rsidR="00295527" w:rsidRPr="00145DBA" w:rsidRDefault="00FD5961" w:rsidP="00295527">
            <w:pPr>
              <w:spacing w:before="60" w:after="40" w:line="288" w:lineRule="auto"/>
              <w:ind w:firstLine="0"/>
              <w:jc w:val="right"/>
              <w:rPr>
                <w:rFonts w:cs="Tahoma"/>
                <w:sz w:val="18"/>
                <w:szCs w:val="18"/>
              </w:rPr>
            </w:pPr>
            <w:r>
              <w:rPr>
                <w:rFonts w:cs="Tahoma"/>
                <w:sz w:val="18"/>
                <w:szCs w:val="18"/>
              </w:rPr>
              <w:t>1,60</w:t>
            </w:r>
          </w:p>
        </w:tc>
        <w:tc>
          <w:tcPr>
            <w:tcW w:w="699" w:type="dxa"/>
            <w:tcBorders>
              <w:top w:val="single" w:sz="4" w:space="0" w:color="auto"/>
              <w:left w:val="single" w:sz="4" w:space="0" w:color="auto"/>
              <w:bottom w:val="single" w:sz="4" w:space="0" w:color="auto"/>
              <w:right w:val="single" w:sz="4" w:space="0" w:color="auto"/>
            </w:tcBorders>
            <w:vAlign w:val="center"/>
          </w:tcPr>
          <w:p w14:paraId="1E3439B1" w14:textId="60804459" w:rsidR="00295527" w:rsidRPr="00145DBA" w:rsidRDefault="00295527" w:rsidP="00295527">
            <w:pPr>
              <w:spacing w:before="60" w:after="40" w:line="288" w:lineRule="auto"/>
              <w:ind w:firstLine="0"/>
              <w:jc w:val="right"/>
              <w:rPr>
                <w:rFonts w:cs="Tahoma"/>
                <w:sz w:val="18"/>
                <w:szCs w:val="18"/>
              </w:rPr>
            </w:pPr>
          </w:p>
        </w:tc>
      </w:tr>
      <w:tr w:rsidR="00295527" w:rsidRPr="00821AF6" w14:paraId="5D849D5C" w14:textId="77777777" w:rsidTr="00143304">
        <w:trPr>
          <w:cantSplit/>
          <w:jc w:val="center"/>
        </w:trPr>
        <w:tc>
          <w:tcPr>
            <w:tcW w:w="559" w:type="dxa"/>
            <w:tcBorders>
              <w:top w:val="single" w:sz="4" w:space="0" w:color="auto"/>
              <w:left w:val="single" w:sz="4" w:space="0" w:color="auto"/>
              <w:bottom w:val="double" w:sz="4" w:space="0" w:color="auto"/>
              <w:right w:val="single" w:sz="4" w:space="0" w:color="auto"/>
            </w:tcBorders>
            <w:vAlign w:val="center"/>
          </w:tcPr>
          <w:p w14:paraId="16917E7E" w14:textId="5E3A9816" w:rsidR="00295527" w:rsidRPr="00821AF6" w:rsidRDefault="00295527" w:rsidP="00295527">
            <w:pPr>
              <w:spacing w:before="60" w:after="40" w:line="288" w:lineRule="auto"/>
              <w:ind w:firstLine="0"/>
              <w:jc w:val="center"/>
              <w:rPr>
                <w:rFonts w:cs="Tahoma"/>
                <w:sz w:val="18"/>
                <w:szCs w:val="18"/>
              </w:rPr>
            </w:pPr>
            <w:r>
              <w:rPr>
                <w:rFonts w:cs="Tahoma"/>
                <w:b/>
                <w:sz w:val="18"/>
                <w:szCs w:val="18"/>
              </w:rPr>
              <w:lastRenderedPageBreak/>
              <w:t>3</w:t>
            </w:r>
            <w:r w:rsidRPr="00821AF6">
              <w:rPr>
                <w:rFonts w:cs="Tahoma"/>
                <w:b/>
                <w:sz w:val="18"/>
                <w:szCs w:val="18"/>
              </w:rPr>
              <w:t>.</w:t>
            </w:r>
            <w:r w:rsidR="00E246FF">
              <w:rPr>
                <w:rFonts w:cs="Tahoma"/>
                <w:b/>
                <w:sz w:val="18"/>
                <w:szCs w:val="18"/>
              </w:rPr>
              <w:t>6</w:t>
            </w:r>
          </w:p>
        </w:tc>
        <w:tc>
          <w:tcPr>
            <w:tcW w:w="2127" w:type="dxa"/>
            <w:tcBorders>
              <w:top w:val="single" w:sz="4" w:space="0" w:color="auto"/>
              <w:left w:val="single" w:sz="4" w:space="0" w:color="auto"/>
              <w:bottom w:val="double" w:sz="4" w:space="0" w:color="auto"/>
              <w:right w:val="single" w:sz="4" w:space="0" w:color="auto"/>
            </w:tcBorders>
            <w:vAlign w:val="center"/>
          </w:tcPr>
          <w:p w14:paraId="66AE77F2" w14:textId="77777777" w:rsidR="00295527" w:rsidRPr="00821AF6" w:rsidRDefault="00295527" w:rsidP="00295527">
            <w:pPr>
              <w:spacing w:before="60" w:after="40" w:line="288" w:lineRule="auto"/>
              <w:ind w:firstLine="0"/>
              <w:jc w:val="left"/>
              <w:rPr>
                <w:rFonts w:cs="Tahoma"/>
                <w:sz w:val="18"/>
                <w:szCs w:val="18"/>
              </w:rPr>
            </w:pPr>
            <w:r w:rsidRPr="00821AF6">
              <w:rPr>
                <w:rFonts w:cs="Tahoma"/>
                <w:b/>
                <w:sz w:val="18"/>
                <w:szCs w:val="18"/>
              </w:rPr>
              <w:t>Ogółem</w:t>
            </w:r>
          </w:p>
        </w:tc>
        <w:tc>
          <w:tcPr>
            <w:tcW w:w="708" w:type="dxa"/>
            <w:tcBorders>
              <w:top w:val="single" w:sz="4" w:space="0" w:color="auto"/>
              <w:left w:val="single" w:sz="4" w:space="0" w:color="auto"/>
              <w:bottom w:val="double" w:sz="4" w:space="0" w:color="auto"/>
              <w:right w:val="single" w:sz="4" w:space="0" w:color="auto"/>
            </w:tcBorders>
            <w:vAlign w:val="center"/>
          </w:tcPr>
          <w:p w14:paraId="4E3C6664" w14:textId="5FD4F2C2" w:rsidR="00295527" w:rsidRPr="00145DBA" w:rsidRDefault="00E246FF"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double" w:sz="4" w:space="0" w:color="auto"/>
              <w:right w:val="single" w:sz="4" w:space="0" w:color="auto"/>
            </w:tcBorders>
            <w:vAlign w:val="center"/>
          </w:tcPr>
          <w:p w14:paraId="7E30DE3F" w14:textId="3956A3A3" w:rsidR="00295527" w:rsidRPr="00145DBA" w:rsidRDefault="00E246FF" w:rsidP="00295527">
            <w:pPr>
              <w:spacing w:before="60" w:after="40" w:line="288" w:lineRule="auto"/>
              <w:ind w:firstLine="0"/>
              <w:jc w:val="right"/>
              <w:rPr>
                <w:rFonts w:cs="Tahoma"/>
                <w:sz w:val="18"/>
                <w:szCs w:val="18"/>
              </w:rPr>
            </w:pPr>
            <w:r>
              <w:rPr>
                <w:rFonts w:cs="Tahoma"/>
                <w:sz w:val="18"/>
                <w:szCs w:val="18"/>
              </w:rPr>
              <w:t>0,00</w:t>
            </w:r>
          </w:p>
        </w:tc>
        <w:tc>
          <w:tcPr>
            <w:tcW w:w="709" w:type="dxa"/>
            <w:tcBorders>
              <w:top w:val="single" w:sz="4" w:space="0" w:color="auto"/>
              <w:left w:val="single" w:sz="4" w:space="0" w:color="auto"/>
              <w:bottom w:val="double" w:sz="4" w:space="0" w:color="auto"/>
              <w:right w:val="single" w:sz="4" w:space="0" w:color="auto"/>
            </w:tcBorders>
            <w:vAlign w:val="center"/>
          </w:tcPr>
          <w:p w14:paraId="33CB0183" w14:textId="61CAC4A8" w:rsidR="00295527" w:rsidRPr="00145DBA" w:rsidRDefault="00E246FF" w:rsidP="00295527">
            <w:pPr>
              <w:spacing w:before="60" w:after="40" w:line="288" w:lineRule="auto"/>
              <w:ind w:firstLine="0"/>
              <w:jc w:val="right"/>
              <w:rPr>
                <w:rFonts w:cs="Tahoma"/>
                <w:sz w:val="18"/>
                <w:szCs w:val="18"/>
              </w:rPr>
            </w:pPr>
            <w:r>
              <w:rPr>
                <w:rFonts w:cs="Tahoma"/>
                <w:sz w:val="18"/>
                <w:szCs w:val="18"/>
              </w:rPr>
              <w:t>28,18</w:t>
            </w:r>
          </w:p>
        </w:tc>
        <w:tc>
          <w:tcPr>
            <w:tcW w:w="709" w:type="dxa"/>
            <w:tcBorders>
              <w:top w:val="single" w:sz="4" w:space="0" w:color="auto"/>
              <w:left w:val="single" w:sz="4" w:space="0" w:color="auto"/>
              <w:bottom w:val="double" w:sz="4" w:space="0" w:color="auto"/>
              <w:right w:val="single" w:sz="4" w:space="0" w:color="auto"/>
            </w:tcBorders>
            <w:vAlign w:val="center"/>
          </w:tcPr>
          <w:p w14:paraId="0E05C45A" w14:textId="534CE5C3" w:rsidR="00295527" w:rsidRPr="00821AF6" w:rsidRDefault="00E246FF" w:rsidP="00295527">
            <w:pPr>
              <w:spacing w:before="60" w:after="40" w:line="288" w:lineRule="auto"/>
              <w:ind w:firstLine="0"/>
              <w:jc w:val="right"/>
              <w:rPr>
                <w:rFonts w:cs="Tahoma"/>
                <w:sz w:val="18"/>
                <w:szCs w:val="18"/>
              </w:rPr>
            </w:pPr>
            <w:r>
              <w:rPr>
                <w:rFonts w:cs="Tahoma"/>
                <w:sz w:val="18"/>
                <w:szCs w:val="18"/>
              </w:rPr>
              <w:t>85,04</w:t>
            </w:r>
          </w:p>
        </w:tc>
        <w:tc>
          <w:tcPr>
            <w:tcW w:w="708" w:type="dxa"/>
            <w:tcBorders>
              <w:top w:val="single" w:sz="4" w:space="0" w:color="auto"/>
              <w:left w:val="single" w:sz="4" w:space="0" w:color="auto"/>
              <w:bottom w:val="double" w:sz="4" w:space="0" w:color="auto"/>
              <w:right w:val="single" w:sz="4" w:space="0" w:color="auto"/>
            </w:tcBorders>
            <w:vAlign w:val="center"/>
          </w:tcPr>
          <w:p w14:paraId="0E4A684C" w14:textId="6F8F990C" w:rsidR="00295527" w:rsidRPr="00145DBA" w:rsidRDefault="00FD5961" w:rsidP="00295527">
            <w:pPr>
              <w:spacing w:before="60" w:after="40" w:line="288" w:lineRule="auto"/>
              <w:ind w:firstLine="0"/>
              <w:jc w:val="right"/>
              <w:rPr>
                <w:rFonts w:cs="Tahoma"/>
                <w:sz w:val="18"/>
                <w:szCs w:val="18"/>
              </w:rPr>
            </w:pPr>
            <w:r>
              <w:rPr>
                <w:rFonts w:cs="Tahoma"/>
                <w:sz w:val="18"/>
                <w:szCs w:val="18"/>
              </w:rPr>
              <w:t>7,46</w:t>
            </w:r>
          </w:p>
        </w:tc>
        <w:tc>
          <w:tcPr>
            <w:tcW w:w="709" w:type="dxa"/>
            <w:tcBorders>
              <w:top w:val="single" w:sz="4" w:space="0" w:color="auto"/>
              <w:left w:val="single" w:sz="4" w:space="0" w:color="auto"/>
              <w:bottom w:val="double" w:sz="4" w:space="0" w:color="auto"/>
              <w:right w:val="single" w:sz="4" w:space="0" w:color="auto"/>
            </w:tcBorders>
            <w:vAlign w:val="center"/>
          </w:tcPr>
          <w:p w14:paraId="578FD68B" w14:textId="11E2C671" w:rsidR="00295527" w:rsidRPr="00145DBA" w:rsidRDefault="00FD5961" w:rsidP="00FD5961">
            <w:pPr>
              <w:spacing w:before="60" w:after="40" w:line="288" w:lineRule="auto"/>
              <w:ind w:firstLine="0"/>
              <w:jc w:val="right"/>
              <w:rPr>
                <w:rFonts w:cs="Tahoma"/>
                <w:sz w:val="18"/>
                <w:szCs w:val="18"/>
              </w:rPr>
            </w:pPr>
            <w:r>
              <w:rPr>
                <w:rFonts w:cs="Tahoma"/>
                <w:sz w:val="18"/>
                <w:szCs w:val="18"/>
              </w:rPr>
              <w:t>0,45</w:t>
            </w:r>
          </w:p>
        </w:tc>
        <w:tc>
          <w:tcPr>
            <w:tcW w:w="709" w:type="dxa"/>
            <w:tcBorders>
              <w:top w:val="single" w:sz="4" w:space="0" w:color="auto"/>
              <w:left w:val="single" w:sz="4" w:space="0" w:color="auto"/>
              <w:bottom w:val="double" w:sz="4" w:space="0" w:color="auto"/>
              <w:right w:val="single" w:sz="4" w:space="0" w:color="auto"/>
            </w:tcBorders>
            <w:vAlign w:val="center"/>
          </w:tcPr>
          <w:p w14:paraId="44266F68" w14:textId="1C214DBF" w:rsidR="00295527" w:rsidRPr="00145DBA" w:rsidRDefault="00FD5961" w:rsidP="00295527">
            <w:pPr>
              <w:spacing w:before="60" w:after="40" w:line="288" w:lineRule="auto"/>
              <w:ind w:firstLine="0"/>
              <w:jc w:val="right"/>
              <w:rPr>
                <w:rFonts w:cs="Tahoma"/>
                <w:sz w:val="18"/>
                <w:szCs w:val="18"/>
              </w:rPr>
            </w:pPr>
            <w:r>
              <w:rPr>
                <w:rFonts w:cs="Tahoma"/>
                <w:sz w:val="18"/>
                <w:szCs w:val="18"/>
              </w:rPr>
              <w:t>69,07</w:t>
            </w:r>
          </w:p>
        </w:tc>
        <w:tc>
          <w:tcPr>
            <w:tcW w:w="709" w:type="dxa"/>
            <w:tcBorders>
              <w:top w:val="single" w:sz="4" w:space="0" w:color="auto"/>
              <w:left w:val="single" w:sz="4" w:space="0" w:color="auto"/>
              <w:bottom w:val="double" w:sz="4" w:space="0" w:color="auto"/>
              <w:right w:val="single" w:sz="4" w:space="0" w:color="auto"/>
            </w:tcBorders>
            <w:vAlign w:val="center"/>
          </w:tcPr>
          <w:p w14:paraId="118CCB9D" w14:textId="03516D33" w:rsidR="00295527" w:rsidRPr="00145DBA" w:rsidRDefault="00FD5961" w:rsidP="00295527">
            <w:pPr>
              <w:spacing w:before="60" w:after="40" w:line="288" w:lineRule="auto"/>
              <w:ind w:firstLine="0"/>
              <w:jc w:val="right"/>
              <w:rPr>
                <w:rFonts w:cs="Tahoma"/>
                <w:sz w:val="18"/>
                <w:szCs w:val="18"/>
              </w:rPr>
            </w:pPr>
            <w:r>
              <w:rPr>
                <w:rFonts w:cs="Tahoma"/>
                <w:sz w:val="18"/>
                <w:szCs w:val="18"/>
              </w:rPr>
              <w:t>36,09</w:t>
            </w:r>
          </w:p>
        </w:tc>
        <w:tc>
          <w:tcPr>
            <w:tcW w:w="708" w:type="dxa"/>
            <w:tcBorders>
              <w:top w:val="single" w:sz="4" w:space="0" w:color="auto"/>
              <w:left w:val="single" w:sz="4" w:space="0" w:color="auto"/>
              <w:bottom w:val="double" w:sz="4" w:space="0" w:color="auto"/>
              <w:right w:val="single" w:sz="4" w:space="0" w:color="auto"/>
            </w:tcBorders>
            <w:vAlign w:val="center"/>
          </w:tcPr>
          <w:p w14:paraId="616C0FEA" w14:textId="0236218D" w:rsidR="00295527" w:rsidRPr="00145DBA" w:rsidRDefault="00FD5961" w:rsidP="00295527">
            <w:pPr>
              <w:spacing w:before="60" w:after="40" w:line="288" w:lineRule="auto"/>
              <w:ind w:firstLine="0"/>
              <w:jc w:val="right"/>
              <w:rPr>
                <w:rFonts w:cs="Tahoma"/>
                <w:sz w:val="17"/>
                <w:szCs w:val="17"/>
              </w:rPr>
            </w:pPr>
            <w:r>
              <w:rPr>
                <w:rFonts w:cs="Tahoma"/>
                <w:sz w:val="17"/>
                <w:szCs w:val="17"/>
              </w:rPr>
              <w:t>0,00</w:t>
            </w:r>
          </w:p>
        </w:tc>
        <w:tc>
          <w:tcPr>
            <w:tcW w:w="709" w:type="dxa"/>
            <w:tcBorders>
              <w:top w:val="single" w:sz="4" w:space="0" w:color="auto"/>
              <w:left w:val="single" w:sz="4" w:space="0" w:color="auto"/>
              <w:bottom w:val="double" w:sz="4" w:space="0" w:color="auto"/>
              <w:right w:val="single" w:sz="4" w:space="0" w:color="auto"/>
            </w:tcBorders>
            <w:vAlign w:val="center"/>
          </w:tcPr>
          <w:p w14:paraId="09AB6199" w14:textId="3E106AE3" w:rsidR="00295527" w:rsidRPr="00145DBA" w:rsidRDefault="00FD5961" w:rsidP="00295527">
            <w:pPr>
              <w:spacing w:before="60" w:after="40" w:line="288" w:lineRule="auto"/>
              <w:ind w:firstLine="0"/>
              <w:jc w:val="right"/>
              <w:rPr>
                <w:rFonts w:cs="Tahoma"/>
                <w:sz w:val="18"/>
                <w:szCs w:val="18"/>
              </w:rPr>
            </w:pPr>
            <w:r>
              <w:rPr>
                <w:rFonts w:cs="Tahoma"/>
                <w:sz w:val="18"/>
                <w:szCs w:val="18"/>
              </w:rPr>
              <w:t>2,95</w:t>
            </w:r>
          </w:p>
        </w:tc>
        <w:tc>
          <w:tcPr>
            <w:tcW w:w="709" w:type="dxa"/>
            <w:tcBorders>
              <w:top w:val="single" w:sz="4" w:space="0" w:color="auto"/>
              <w:left w:val="single" w:sz="4" w:space="0" w:color="auto"/>
              <w:bottom w:val="double" w:sz="4" w:space="0" w:color="auto"/>
              <w:right w:val="single" w:sz="4" w:space="0" w:color="auto"/>
            </w:tcBorders>
            <w:vAlign w:val="center"/>
          </w:tcPr>
          <w:p w14:paraId="0ECBD90A" w14:textId="54B10924" w:rsidR="00295527" w:rsidRPr="00145DBA" w:rsidRDefault="00FD5961" w:rsidP="00FD5961">
            <w:pPr>
              <w:spacing w:before="60" w:after="40" w:line="288" w:lineRule="auto"/>
              <w:ind w:firstLine="0"/>
              <w:jc w:val="right"/>
              <w:rPr>
                <w:rFonts w:cs="Tahoma"/>
                <w:sz w:val="18"/>
                <w:szCs w:val="18"/>
              </w:rPr>
            </w:pPr>
            <w:r>
              <w:rPr>
                <w:rFonts w:cs="Tahoma"/>
                <w:sz w:val="18"/>
                <w:szCs w:val="18"/>
              </w:rPr>
              <w:t>2,17</w:t>
            </w:r>
          </w:p>
        </w:tc>
        <w:tc>
          <w:tcPr>
            <w:tcW w:w="709" w:type="dxa"/>
            <w:tcBorders>
              <w:top w:val="single" w:sz="4" w:space="0" w:color="auto"/>
              <w:left w:val="single" w:sz="4" w:space="0" w:color="auto"/>
              <w:bottom w:val="double" w:sz="4" w:space="0" w:color="auto"/>
              <w:right w:val="single" w:sz="4" w:space="0" w:color="auto"/>
            </w:tcBorders>
            <w:vAlign w:val="center"/>
          </w:tcPr>
          <w:p w14:paraId="3D521FC9" w14:textId="0AE0690B" w:rsidR="00295527" w:rsidRPr="00145DBA" w:rsidRDefault="00FD5961" w:rsidP="00FD5961">
            <w:pPr>
              <w:spacing w:before="60" w:after="40" w:line="288" w:lineRule="auto"/>
              <w:ind w:firstLine="0"/>
              <w:jc w:val="right"/>
              <w:rPr>
                <w:rFonts w:cs="Tahoma"/>
                <w:sz w:val="18"/>
                <w:szCs w:val="18"/>
              </w:rPr>
            </w:pPr>
            <w:r>
              <w:rPr>
                <w:rFonts w:cs="Tahoma"/>
                <w:sz w:val="18"/>
                <w:szCs w:val="18"/>
              </w:rPr>
              <w:t>24,87</w:t>
            </w:r>
          </w:p>
        </w:tc>
        <w:tc>
          <w:tcPr>
            <w:tcW w:w="708" w:type="dxa"/>
            <w:tcBorders>
              <w:top w:val="single" w:sz="4" w:space="0" w:color="auto"/>
              <w:left w:val="single" w:sz="4" w:space="0" w:color="auto"/>
              <w:bottom w:val="double" w:sz="4" w:space="0" w:color="auto"/>
              <w:right w:val="single" w:sz="4" w:space="0" w:color="auto"/>
            </w:tcBorders>
            <w:vAlign w:val="center"/>
          </w:tcPr>
          <w:p w14:paraId="129A42FB" w14:textId="0EA9DE76" w:rsidR="00295527" w:rsidRPr="00145DBA" w:rsidRDefault="00FD5961" w:rsidP="00295527">
            <w:pPr>
              <w:spacing w:before="60" w:after="40" w:line="288" w:lineRule="auto"/>
              <w:ind w:firstLine="0"/>
              <w:jc w:val="right"/>
              <w:rPr>
                <w:rFonts w:cs="Tahoma"/>
                <w:sz w:val="18"/>
                <w:szCs w:val="18"/>
              </w:rPr>
            </w:pPr>
            <w:r>
              <w:rPr>
                <w:rFonts w:cs="Tahoma"/>
                <w:sz w:val="18"/>
                <w:szCs w:val="18"/>
              </w:rPr>
              <w:t>21,30</w:t>
            </w:r>
          </w:p>
        </w:tc>
        <w:tc>
          <w:tcPr>
            <w:tcW w:w="709" w:type="dxa"/>
            <w:tcBorders>
              <w:top w:val="single" w:sz="4" w:space="0" w:color="auto"/>
              <w:left w:val="single" w:sz="4" w:space="0" w:color="auto"/>
              <w:bottom w:val="double" w:sz="4" w:space="0" w:color="auto"/>
              <w:right w:val="single" w:sz="4" w:space="0" w:color="auto"/>
            </w:tcBorders>
            <w:vAlign w:val="center"/>
          </w:tcPr>
          <w:p w14:paraId="43084C4F" w14:textId="4EE36C8D" w:rsidR="00295527" w:rsidRPr="00145DBA" w:rsidRDefault="00FD5961" w:rsidP="00FD5961">
            <w:pPr>
              <w:spacing w:before="60" w:after="40" w:line="288" w:lineRule="auto"/>
              <w:ind w:firstLine="0"/>
              <w:jc w:val="right"/>
              <w:rPr>
                <w:rFonts w:cs="Tahoma"/>
                <w:sz w:val="18"/>
                <w:szCs w:val="18"/>
              </w:rPr>
            </w:pPr>
            <w:r>
              <w:rPr>
                <w:rFonts w:cs="Tahoma"/>
                <w:sz w:val="18"/>
                <w:szCs w:val="18"/>
              </w:rPr>
              <w:t>21,75</w:t>
            </w:r>
          </w:p>
        </w:tc>
        <w:tc>
          <w:tcPr>
            <w:tcW w:w="698" w:type="dxa"/>
            <w:tcBorders>
              <w:top w:val="single" w:sz="4" w:space="0" w:color="auto"/>
              <w:left w:val="single" w:sz="4" w:space="0" w:color="auto"/>
              <w:bottom w:val="double" w:sz="4" w:space="0" w:color="auto"/>
              <w:right w:val="single" w:sz="4" w:space="0" w:color="auto"/>
            </w:tcBorders>
            <w:vAlign w:val="center"/>
          </w:tcPr>
          <w:p w14:paraId="30644439" w14:textId="70760A22" w:rsidR="00295527" w:rsidRPr="0002652F" w:rsidRDefault="00FD5961" w:rsidP="00FD5961">
            <w:pPr>
              <w:spacing w:before="60" w:after="40" w:line="288" w:lineRule="auto"/>
              <w:ind w:left="-108" w:firstLine="0"/>
              <w:jc w:val="right"/>
              <w:rPr>
                <w:rFonts w:cs="Tahoma"/>
                <w:sz w:val="18"/>
                <w:szCs w:val="18"/>
              </w:rPr>
            </w:pPr>
            <w:r w:rsidRPr="0002652F">
              <w:rPr>
                <w:rFonts w:cs="Tahoma"/>
                <w:sz w:val="18"/>
                <w:szCs w:val="18"/>
              </w:rPr>
              <w:t>24,00</w:t>
            </w:r>
          </w:p>
        </w:tc>
        <w:tc>
          <w:tcPr>
            <w:tcW w:w="699" w:type="dxa"/>
            <w:tcBorders>
              <w:top w:val="single" w:sz="4" w:space="0" w:color="auto"/>
              <w:left w:val="single" w:sz="4" w:space="0" w:color="auto"/>
              <w:bottom w:val="double" w:sz="4" w:space="0" w:color="auto"/>
              <w:right w:val="single" w:sz="4" w:space="0" w:color="auto"/>
            </w:tcBorders>
            <w:vAlign w:val="center"/>
          </w:tcPr>
          <w:p w14:paraId="119A0A2A" w14:textId="7B6FA652" w:rsidR="00295527" w:rsidRPr="0002652F" w:rsidRDefault="00FD5961" w:rsidP="00FD5961">
            <w:pPr>
              <w:spacing w:before="60" w:after="40" w:line="288" w:lineRule="auto"/>
              <w:ind w:left="-97" w:firstLine="0"/>
              <w:jc w:val="right"/>
              <w:rPr>
                <w:rFonts w:cs="Tahoma"/>
                <w:sz w:val="18"/>
                <w:szCs w:val="18"/>
              </w:rPr>
            </w:pPr>
            <w:r w:rsidRPr="0002652F">
              <w:rPr>
                <w:rFonts w:cs="Tahoma"/>
                <w:sz w:val="18"/>
                <w:szCs w:val="18"/>
              </w:rPr>
              <w:t>22,40</w:t>
            </w:r>
          </w:p>
        </w:tc>
      </w:tr>
      <w:tr w:rsidR="00295527" w:rsidRPr="00821AF6" w14:paraId="0802D4FD" w14:textId="77777777" w:rsidTr="00143304">
        <w:trPr>
          <w:cantSplit/>
          <w:jc w:val="center"/>
        </w:trPr>
        <w:tc>
          <w:tcPr>
            <w:tcW w:w="559" w:type="dxa"/>
            <w:vMerge w:val="restart"/>
            <w:tcBorders>
              <w:top w:val="double" w:sz="4" w:space="0" w:color="auto"/>
              <w:left w:val="single" w:sz="4" w:space="0" w:color="auto"/>
              <w:right w:val="single" w:sz="4" w:space="0" w:color="auto"/>
            </w:tcBorders>
            <w:shd w:val="clear" w:color="auto" w:fill="E2EFD9" w:themeFill="accent6" w:themeFillTint="33"/>
            <w:vAlign w:val="center"/>
          </w:tcPr>
          <w:p w14:paraId="15D40FDC" w14:textId="6FB1941F" w:rsidR="00295527" w:rsidRDefault="00295527" w:rsidP="00295527">
            <w:pPr>
              <w:spacing w:before="60" w:after="40" w:line="288" w:lineRule="auto"/>
              <w:ind w:firstLine="0"/>
              <w:jc w:val="center"/>
              <w:rPr>
                <w:rFonts w:cs="Tahoma"/>
                <w:b/>
                <w:sz w:val="18"/>
                <w:szCs w:val="18"/>
              </w:rPr>
            </w:pPr>
            <w:r>
              <w:rPr>
                <w:rFonts w:cs="Tahoma"/>
                <w:b/>
                <w:sz w:val="18"/>
                <w:szCs w:val="18"/>
              </w:rPr>
              <w:t>4</w:t>
            </w:r>
          </w:p>
        </w:tc>
        <w:tc>
          <w:tcPr>
            <w:tcW w:w="2127" w:type="dxa"/>
            <w:vMerge w:val="restart"/>
            <w:tcBorders>
              <w:top w:val="double" w:sz="4" w:space="0" w:color="auto"/>
              <w:left w:val="single" w:sz="4" w:space="0" w:color="auto"/>
              <w:right w:val="single" w:sz="4" w:space="0" w:color="auto"/>
            </w:tcBorders>
            <w:shd w:val="clear" w:color="auto" w:fill="E2EFD9" w:themeFill="accent6" w:themeFillTint="33"/>
            <w:vAlign w:val="center"/>
          </w:tcPr>
          <w:p w14:paraId="03712E83" w14:textId="230E54BE" w:rsidR="00295527" w:rsidRPr="00821AF6" w:rsidRDefault="00295527" w:rsidP="00295527">
            <w:pPr>
              <w:spacing w:before="60" w:after="40" w:line="288" w:lineRule="auto"/>
              <w:ind w:firstLine="0"/>
              <w:jc w:val="left"/>
              <w:rPr>
                <w:rFonts w:cs="Tahoma"/>
                <w:b/>
                <w:sz w:val="18"/>
                <w:szCs w:val="18"/>
              </w:rPr>
            </w:pPr>
            <w:r>
              <w:rPr>
                <w:rFonts w:cs="Tahoma"/>
                <w:b/>
                <w:sz w:val="18"/>
                <w:szCs w:val="18"/>
              </w:rPr>
              <w:t>Razem wydatki</w:t>
            </w:r>
          </w:p>
        </w:tc>
        <w:tc>
          <w:tcPr>
            <w:tcW w:w="4252" w:type="dxa"/>
            <w:gridSpan w:val="6"/>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5BFD416A" w14:textId="795AD352" w:rsidR="00295527" w:rsidRPr="00145DBA" w:rsidRDefault="00295527" w:rsidP="00295527">
            <w:pPr>
              <w:spacing w:before="60" w:after="40" w:line="288" w:lineRule="auto"/>
              <w:ind w:firstLine="0"/>
              <w:jc w:val="center"/>
              <w:rPr>
                <w:rFonts w:cs="Tahoma"/>
                <w:b/>
                <w:sz w:val="18"/>
                <w:szCs w:val="18"/>
              </w:rPr>
            </w:pPr>
            <w:r w:rsidRPr="00145DBA">
              <w:rPr>
                <w:rFonts w:cs="Tahoma"/>
                <w:b/>
                <w:sz w:val="18"/>
                <w:szCs w:val="18"/>
              </w:rPr>
              <w:t>wariant konwencjonalny</w:t>
            </w:r>
          </w:p>
        </w:tc>
        <w:tc>
          <w:tcPr>
            <w:tcW w:w="3544" w:type="dxa"/>
            <w:gridSpan w:val="5"/>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17335541" w14:textId="7E87F141" w:rsidR="00295527" w:rsidRPr="00145DBA" w:rsidRDefault="00295527" w:rsidP="00295527">
            <w:pPr>
              <w:spacing w:before="60" w:after="40" w:line="288" w:lineRule="auto"/>
              <w:ind w:firstLine="0"/>
              <w:jc w:val="center"/>
              <w:rPr>
                <w:rFonts w:cs="Tahoma"/>
                <w:b/>
                <w:sz w:val="18"/>
                <w:szCs w:val="18"/>
              </w:rPr>
            </w:pPr>
            <w:r w:rsidRPr="00145DBA">
              <w:rPr>
                <w:rFonts w:cs="Tahoma"/>
                <w:b/>
                <w:sz w:val="18"/>
                <w:szCs w:val="18"/>
              </w:rPr>
              <w:t>wariant elektryczny</w:t>
            </w:r>
          </w:p>
        </w:tc>
        <w:tc>
          <w:tcPr>
            <w:tcW w:w="3523" w:type="dxa"/>
            <w:gridSpan w:val="5"/>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04994BEF" w14:textId="574E43DC" w:rsidR="00295527" w:rsidRPr="00145DBA" w:rsidRDefault="00295527" w:rsidP="00295527">
            <w:pPr>
              <w:spacing w:before="60" w:after="40" w:line="288" w:lineRule="auto"/>
              <w:ind w:firstLine="0"/>
              <w:jc w:val="center"/>
              <w:rPr>
                <w:rFonts w:cs="Tahoma"/>
                <w:b/>
                <w:sz w:val="18"/>
                <w:szCs w:val="18"/>
              </w:rPr>
            </w:pPr>
            <w:r w:rsidRPr="00145DBA">
              <w:rPr>
                <w:rFonts w:cs="Tahoma"/>
                <w:b/>
                <w:sz w:val="18"/>
                <w:szCs w:val="18"/>
              </w:rPr>
              <w:t xml:space="preserve">wariant </w:t>
            </w:r>
            <w:r>
              <w:rPr>
                <w:rFonts w:cs="Tahoma"/>
                <w:b/>
                <w:sz w:val="18"/>
                <w:szCs w:val="18"/>
              </w:rPr>
              <w:t>wodorowy</w:t>
            </w:r>
          </w:p>
        </w:tc>
      </w:tr>
      <w:tr w:rsidR="00295527" w:rsidRPr="00821AF6" w14:paraId="020A6C7D" w14:textId="77777777" w:rsidTr="00143304">
        <w:trPr>
          <w:cantSplit/>
          <w:jc w:val="center"/>
        </w:trPr>
        <w:tc>
          <w:tcPr>
            <w:tcW w:w="559" w:type="dxa"/>
            <w:vMerge/>
            <w:tcBorders>
              <w:left w:val="single" w:sz="4" w:space="0" w:color="auto"/>
              <w:bottom w:val="single" w:sz="4" w:space="0" w:color="auto"/>
              <w:right w:val="single" w:sz="4" w:space="0" w:color="auto"/>
            </w:tcBorders>
            <w:shd w:val="clear" w:color="auto" w:fill="E2EFD9" w:themeFill="accent6" w:themeFillTint="33"/>
            <w:vAlign w:val="center"/>
          </w:tcPr>
          <w:p w14:paraId="6709A49F" w14:textId="77777777" w:rsidR="00295527" w:rsidRDefault="00295527" w:rsidP="00295527">
            <w:pPr>
              <w:spacing w:before="60" w:after="40" w:line="288" w:lineRule="auto"/>
              <w:ind w:firstLine="0"/>
              <w:jc w:val="center"/>
              <w:rPr>
                <w:rFonts w:cs="Tahoma"/>
                <w:b/>
                <w:sz w:val="18"/>
                <w:szCs w:val="18"/>
              </w:rPr>
            </w:pPr>
          </w:p>
        </w:tc>
        <w:tc>
          <w:tcPr>
            <w:tcW w:w="2127" w:type="dxa"/>
            <w:vMerge/>
            <w:tcBorders>
              <w:left w:val="single" w:sz="4" w:space="0" w:color="auto"/>
              <w:bottom w:val="single" w:sz="4" w:space="0" w:color="auto"/>
              <w:right w:val="single" w:sz="4" w:space="0" w:color="auto"/>
            </w:tcBorders>
            <w:shd w:val="clear" w:color="auto" w:fill="E2EFD9" w:themeFill="accent6" w:themeFillTint="33"/>
            <w:vAlign w:val="center"/>
          </w:tcPr>
          <w:p w14:paraId="77FD45A5" w14:textId="77777777" w:rsidR="00295527" w:rsidRPr="00821AF6" w:rsidRDefault="00295527" w:rsidP="00295527">
            <w:pPr>
              <w:spacing w:before="60" w:after="40" w:line="288" w:lineRule="auto"/>
              <w:ind w:firstLine="0"/>
              <w:jc w:val="left"/>
              <w:rPr>
                <w:rFonts w:cs="Tahoma"/>
                <w:b/>
                <w:sz w:val="18"/>
                <w:szCs w:val="18"/>
              </w:rPr>
            </w:pPr>
          </w:p>
        </w:tc>
        <w:tc>
          <w:tcPr>
            <w:tcW w:w="425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3E189F" w14:textId="09368950" w:rsidR="00295527" w:rsidRPr="00145DBA" w:rsidRDefault="00295527" w:rsidP="00295527">
            <w:pPr>
              <w:spacing w:before="60" w:after="40" w:line="288" w:lineRule="auto"/>
              <w:ind w:firstLine="0"/>
              <w:jc w:val="center"/>
              <w:rPr>
                <w:rFonts w:cs="Tahoma"/>
                <w:b/>
                <w:sz w:val="18"/>
                <w:szCs w:val="18"/>
              </w:rPr>
            </w:pPr>
            <w:r>
              <w:rPr>
                <w:rFonts w:cs="Tahoma"/>
                <w:b/>
                <w:sz w:val="18"/>
                <w:szCs w:val="18"/>
              </w:rPr>
              <w:t>233,92</w:t>
            </w:r>
          </w:p>
        </w:tc>
        <w:tc>
          <w:tcPr>
            <w:tcW w:w="354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436426" w14:textId="14AE3717" w:rsidR="00295527" w:rsidRPr="00145DBA" w:rsidRDefault="00E246FF" w:rsidP="00295527">
            <w:pPr>
              <w:spacing w:before="60" w:after="40" w:line="288" w:lineRule="auto"/>
              <w:ind w:firstLine="0"/>
              <w:jc w:val="center"/>
              <w:rPr>
                <w:rFonts w:cs="Tahoma"/>
                <w:b/>
                <w:sz w:val="18"/>
                <w:szCs w:val="18"/>
              </w:rPr>
            </w:pPr>
            <w:r>
              <w:rPr>
                <w:rFonts w:cs="Tahoma"/>
                <w:b/>
                <w:sz w:val="18"/>
                <w:szCs w:val="18"/>
              </w:rPr>
              <w:t>334,86</w:t>
            </w:r>
          </w:p>
        </w:tc>
        <w:tc>
          <w:tcPr>
            <w:tcW w:w="352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298CC7" w14:textId="35EC6BD8" w:rsidR="00295527" w:rsidRPr="00145DBA" w:rsidRDefault="00FD5961" w:rsidP="00295527">
            <w:pPr>
              <w:spacing w:before="60" w:after="40" w:line="288" w:lineRule="auto"/>
              <w:ind w:firstLine="0"/>
              <w:jc w:val="center"/>
              <w:rPr>
                <w:rFonts w:cs="Tahoma"/>
                <w:b/>
                <w:sz w:val="18"/>
                <w:szCs w:val="18"/>
              </w:rPr>
            </w:pPr>
            <w:r>
              <w:rPr>
                <w:rFonts w:cs="Tahoma"/>
                <w:b/>
                <w:sz w:val="18"/>
                <w:szCs w:val="18"/>
              </w:rPr>
              <w:t>345,73</w:t>
            </w:r>
          </w:p>
        </w:tc>
      </w:tr>
    </w:tbl>
    <w:p w14:paraId="5EF5E23F" w14:textId="77777777" w:rsidR="00700A6C" w:rsidRPr="00821AF6" w:rsidRDefault="00700A6C" w:rsidP="00FB097A">
      <w:pPr>
        <w:spacing w:before="120" w:after="240"/>
        <w:ind w:firstLine="0"/>
        <w:jc w:val="left"/>
        <w:rPr>
          <w:rFonts w:cs="Tahoma"/>
          <w:sz w:val="20"/>
          <w:szCs w:val="20"/>
        </w:rPr>
        <w:sectPr w:rsidR="00700A6C" w:rsidRPr="00821AF6" w:rsidSect="00FF6251">
          <w:pgSz w:w="16838" w:h="11906" w:orient="landscape"/>
          <w:pgMar w:top="1418" w:right="1417" w:bottom="1417" w:left="1417" w:header="708" w:footer="708" w:gutter="0"/>
          <w:cols w:space="708"/>
          <w:docGrid w:linePitch="360"/>
        </w:sectPr>
      </w:pPr>
      <w:r w:rsidRPr="00821AF6">
        <w:rPr>
          <w:rFonts w:cs="Tahoma"/>
          <w:sz w:val="20"/>
          <w:szCs w:val="20"/>
        </w:rPr>
        <w:t>Źródło: opracowanie własne.</w:t>
      </w:r>
    </w:p>
    <w:p w14:paraId="19F568D9" w14:textId="7FF82876" w:rsidR="000C512A" w:rsidRPr="00821AF6" w:rsidRDefault="000C512A" w:rsidP="006A3FFB">
      <w:pPr>
        <w:pStyle w:val="Nagwek1"/>
        <w:ind w:left="431" w:hanging="431"/>
        <w:rPr>
          <w:color w:val="000000"/>
        </w:rPr>
      </w:pPr>
      <w:bookmarkStart w:id="83" w:name="_Toc89417677"/>
      <w:r w:rsidRPr="00821AF6">
        <w:rPr>
          <w:color w:val="000000"/>
        </w:rPr>
        <w:lastRenderedPageBreak/>
        <w:t>Analiza kosztów i korzyści</w:t>
      </w:r>
      <w:bookmarkEnd w:id="73"/>
      <w:bookmarkEnd w:id="83"/>
    </w:p>
    <w:p w14:paraId="76C41E20" w14:textId="77777777" w:rsidR="000C512A" w:rsidRPr="00821AF6" w:rsidRDefault="000C512A" w:rsidP="006A3FFB">
      <w:pPr>
        <w:pStyle w:val="Nagwek2"/>
        <w:spacing w:before="120"/>
        <w:ind w:left="567"/>
        <w:jc w:val="center"/>
      </w:pPr>
      <w:bookmarkStart w:id="84" w:name="_Toc524602375"/>
      <w:bookmarkStart w:id="85" w:name="_Toc89417678"/>
      <w:r w:rsidRPr="00821AF6">
        <w:t>Przyjęte założenia analizy kosztów i korzyści</w:t>
      </w:r>
      <w:bookmarkEnd w:id="84"/>
      <w:bookmarkEnd w:id="85"/>
    </w:p>
    <w:p w14:paraId="1B8DB3A6" w14:textId="2266CC7E" w:rsidR="00AD2DDB" w:rsidRPr="00821AF6" w:rsidRDefault="00AD2DDB" w:rsidP="006A3FFB">
      <w:pPr>
        <w:rPr>
          <w:rFonts w:cs="Tahoma"/>
          <w:color w:val="000000"/>
        </w:rPr>
      </w:pPr>
      <w:bookmarkStart w:id="86" w:name="_Hlk530074973"/>
      <w:r w:rsidRPr="00821AF6">
        <w:rPr>
          <w:rFonts w:cs="Tahoma"/>
          <w:color w:val="000000"/>
        </w:rPr>
        <w:t xml:space="preserve">Analizę kosztów i korzyści wykonano przyjmując dla wyliczeń finansowych ceny netto, oraz </w:t>
      </w:r>
      <w:r w:rsidR="002A5262">
        <w:rPr>
          <w:rFonts w:cs="Tahoma"/>
          <w:color w:val="000000"/>
        </w:rPr>
        <w:t xml:space="preserve">wynoszącą </w:t>
      </w:r>
      <w:r w:rsidRPr="00821AF6">
        <w:rPr>
          <w:rFonts w:cs="Tahoma"/>
          <w:color w:val="000000"/>
        </w:rPr>
        <w:t>4% realną stopę procentową. Dla potrzeb analizy społeczno-ekonomicznej przyjęto stopę o wartości 4,5% – jako społeczną, realną stopę dyskontową.</w:t>
      </w:r>
    </w:p>
    <w:p w14:paraId="2631A4AC" w14:textId="77777777" w:rsidR="00AD2DDB" w:rsidRPr="00821AF6" w:rsidRDefault="00AD2DDB" w:rsidP="006A3FFB">
      <w:pPr>
        <w:rPr>
          <w:rFonts w:cs="Tahoma"/>
          <w:color w:val="000000"/>
        </w:rPr>
      </w:pPr>
      <w:r w:rsidRPr="00821AF6">
        <w:rPr>
          <w:rFonts w:cs="Tahoma"/>
          <w:color w:val="000000"/>
        </w:rPr>
        <w:t xml:space="preserve">Analizę efektywności oparto o przyrostowe przepływy pieniężne, nie ujmując w nich amortyzacji. </w:t>
      </w:r>
      <w:bookmarkStart w:id="87" w:name="_Hlk531826887"/>
      <w:r w:rsidRPr="00821AF6">
        <w:rPr>
          <w:rFonts w:cs="Tahoma"/>
          <w:color w:val="000000"/>
        </w:rPr>
        <w:t>Przyjęto 15-letni okres analizy, odpowiadający okresowi podstawowej używalności (trwałości) pojazdów elektrycznych zasilanych energią bateryjną.</w:t>
      </w:r>
      <w:bookmarkEnd w:id="87"/>
    </w:p>
    <w:p w14:paraId="59872B41" w14:textId="77777777" w:rsidR="00AD2DDB" w:rsidRPr="00821AF6" w:rsidRDefault="00AD2DDB" w:rsidP="006A3FFB">
      <w:pPr>
        <w:rPr>
          <w:rFonts w:cs="Tahoma"/>
          <w:color w:val="000000"/>
        </w:rPr>
      </w:pPr>
      <w:r w:rsidRPr="00821AF6">
        <w:rPr>
          <w:rFonts w:cs="Tahoma"/>
          <w:color w:val="000000"/>
        </w:rPr>
        <w:t>W obliczeniach wykorzystano:</w:t>
      </w:r>
    </w:p>
    <w:p w14:paraId="31935579" w14:textId="77777777" w:rsidR="00AD2DDB" w:rsidRPr="00821AF6" w:rsidRDefault="00AD2DDB" w:rsidP="006A3FFB">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prognozy ekonomiczne, opracowane na podstawie „Zaktualizowanych wariantów rozwoju gospodarczego Polski”, o których mowa w podrozdziale 7.4 – „Założenia do analizy finansowej”;</w:t>
      </w:r>
    </w:p>
    <w:p w14:paraId="7C42DC45" w14:textId="77777777" w:rsidR="00AD2DDB" w:rsidRPr="00821AF6" w:rsidRDefault="00AD2DDB" w:rsidP="006A3FFB">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„Wytyczne w zakresie zagadnień związanych z przygotowaniem projektów inwestycyjnych, w tym projektów generujących dochód i projektów hybrydowych na lata 2014-2020”;</w:t>
      </w:r>
    </w:p>
    <w:p w14:paraId="2C0930B0" w14:textId="77777777" w:rsidR="00AD2DDB" w:rsidRPr="00821AF6" w:rsidRDefault="00AD2DDB" w:rsidP="006A3FFB">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prognozy CUPT.</w:t>
      </w:r>
    </w:p>
    <w:p w14:paraId="447B58C2" w14:textId="3B230194" w:rsidR="00596BE2" w:rsidRPr="00821AF6" w:rsidRDefault="000C512A" w:rsidP="006A3FFB">
      <w:pPr>
        <w:rPr>
          <w:rFonts w:cs="Tahoma"/>
          <w:color w:val="000000"/>
        </w:rPr>
      </w:pPr>
      <w:bookmarkStart w:id="88" w:name="_Hlk530075209"/>
      <w:bookmarkEnd w:id="86"/>
      <w:r w:rsidRPr="00821AF6">
        <w:rPr>
          <w:rFonts w:cs="Tahoma"/>
          <w:color w:val="000000"/>
        </w:rPr>
        <w:t xml:space="preserve">Wartość rezydualną obliczono metodą dochodową. </w:t>
      </w:r>
      <w:r w:rsidR="00596BE2" w:rsidRPr="00821AF6">
        <w:rPr>
          <w:rFonts w:cs="Tahoma"/>
          <w:color w:val="000000"/>
        </w:rPr>
        <w:t xml:space="preserve">Okres żywotności poza analizą został ujęty dla autobusów z napędem </w:t>
      </w:r>
      <w:r w:rsidR="00070692" w:rsidRPr="00821AF6">
        <w:rPr>
          <w:rFonts w:cs="Tahoma"/>
          <w:color w:val="000000"/>
        </w:rPr>
        <w:t xml:space="preserve">elektrycznym </w:t>
      </w:r>
      <w:r w:rsidR="00596BE2" w:rsidRPr="00821AF6">
        <w:rPr>
          <w:rFonts w:cs="Tahoma"/>
          <w:color w:val="000000"/>
        </w:rPr>
        <w:t>jako „pozostały okres żywotności autobusów”.</w:t>
      </w:r>
    </w:p>
    <w:bookmarkEnd w:id="88"/>
    <w:p w14:paraId="1781DFDE" w14:textId="24AE24D0" w:rsidR="000C512A" w:rsidRPr="00821AF6" w:rsidRDefault="000C512A" w:rsidP="006A3FFB">
      <w:pPr>
        <w:rPr>
          <w:rFonts w:cs="Tahoma"/>
          <w:color w:val="000000"/>
        </w:rPr>
      </w:pPr>
      <w:r w:rsidRPr="00821AF6">
        <w:rPr>
          <w:rFonts w:cs="Tahoma"/>
          <w:color w:val="000000"/>
        </w:rPr>
        <w:t xml:space="preserve">Koszty utrzymania taboru zostały w analizie finansowej zaprognozowane na podstawie </w:t>
      </w:r>
      <w:r w:rsidR="00771349">
        <w:rPr>
          <w:rFonts w:cs="Tahoma"/>
          <w:color w:val="000000"/>
        </w:rPr>
        <w:t>prognozy</w:t>
      </w:r>
      <w:r w:rsidR="008E0F62" w:rsidRPr="00821AF6">
        <w:rPr>
          <w:rFonts w:cs="Tahoma"/>
          <w:color w:val="000000"/>
        </w:rPr>
        <w:t xml:space="preserve"> </w:t>
      </w:r>
      <w:r w:rsidR="00655DEC" w:rsidRPr="00821AF6">
        <w:rPr>
          <w:rFonts w:cs="Tahoma"/>
          <w:color w:val="000000"/>
        </w:rPr>
        <w:t>przedstawion</w:t>
      </w:r>
      <w:r w:rsidR="008E0F62" w:rsidRPr="00821AF6">
        <w:rPr>
          <w:rFonts w:cs="Tahoma"/>
          <w:color w:val="000000"/>
        </w:rPr>
        <w:t>e</w:t>
      </w:r>
      <w:r w:rsidR="00771349">
        <w:rPr>
          <w:rFonts w:cs="Tahoma"/>
          <w:color w:val="000000"/>
        </w:rPr>
        <w:t>j</w:t>
      </w:r>
      <w:r w:rsidR="00A4294F" w:rsidRPr="00821AF6">
        <w:rPr>
          <w:rFonts w:cs="Tahoma"/>
          <w:color w:val="000000"/>
        </w:rPr>
        <w:t xml:space="preserve"> </w:t>
      </w:r>
      <w:r w:rsidR="00A5220A" w:rsidRPr="00821AF6">
        <w:rPr>
          <w:rFonts w:cs="Tahoma"/>
          <w:color w:val="000000"/>
        </w:rPr>
        <w:t xml:space="preserve">przez </w:t>
      </w:r>
      <w:r w:rsidR="00C73F5E">
        <w:rPr>
          <w:rFonts w:cs="Tahoma"/>
          <w:color w:val="000000"/>
        </w:rPr>
        <w:t>MPK</w:t>
      </w:r>
      <w:r w:rsidR="006D2BD2">
        <w:rPr>
          <w:rFonts w:cs="Tahoma"/>
          <w:color w:val="000000"/>
        </w:rPr>
        <w:t>-Rzeszów</w:t>
      </w:r>
      <w:r w:rsidR="00C73F5E">
        <w:rPr>
          <w:rFonts w:cs="Tahoma"/>
          <w:color w:val="000000"/>
        </w:rPr>
        <w:t xml:space="preserve"> </w:t>
      </w:r>
      <w:r w:rsidR="00B12E50" w:rsidRPr="00821AF6">
        <w:rPr>
          <w:rFonts w:cs="Tahoma"/>
          <w:color w:val="000000"/>
        </w:rPr>
        <w:t>s</w:t>
      </w:r>
      <w:r w:rsidR="00B43E5E" w:rsidRPr="00821AF6">
        <w:rPr>
          <w:rFonts w:cs="Tahoma"/>
          <w:color w:val="000000"/>
        </w:rPr>
        <w:t>p. z o.o.</w:t>
      </w:r>
      <w:r w:rsidR="00771349">
        <w:rPr>
          <w:rFonts w:cs="Tahoma"/>
          <w:color w:val="000000"/>
        </w:rPr>
        <w:t xml:space="preserve"> </w:t>
      </w:r>
      <w:r w:rsidRPr="00821AF6">
        <w:rPr>
          <w:rFonts w:cs="Tahoma"/>
          <w:color w:val="000000"/>
        </w:rPr>
        <w:t xml:space="preserve">Roczne koszty eksploatacji </w:t>
      </w:r>
      <w:r w:rsidR="00AC2342">
        <w:rPr>
          <w:rFonts w:cs="Tahoma"/>
          <w:color w:val="000000"/>
        </w:rPr>
        <w:t xml:space="preserve">w zakresie komunikacji miejskiej prognozowane do poniesienia w 2021 r. </w:t>
      </w:r>
      <w:r w:rsidR="009F5753" w:rsidRPr="00821AF6">
        <w:rPr>
          <w:rFonts w:cs="Tahoma"/>
          <w:color w:val="000000"/>
        </w:rPr>
        <w:t>przedstawiono w</w:t>
      </w:r>
      <w:r w:rsidR="00B90E83" w:rsidRPr="00821AF6">
        <w:rPr>
          <w:rFonts w:cs="Tahoma"/>
          <w:color w:val="000000"/>
        </w:rPr>
        <w:t> </w:t>
      </w:r>
      <w:r w:rsidR="009F5753" w:rsidRPr="00821AF6">
        <w:rPr>
          <w:rFonts w:cs="Tahoma"/>
          <w:color w:val="000000"/>
        </w:rPr>
        <w:t>tabeli 1</w:t>
      </w:r>
      <w:r w:rsidR="00AC2342">
        <w:rPr>
          <w:rFonts w:cs="Tahoma"/>
          <w:color w:val="000000"/>
        </w:rPr>
        <w:t>1</w:t>
      </w:r>
      <w:r w:rsidRPr="00821AF6">
        <w:rPr>
          <w:rFonts w:cs="Tahoma"/>
          <w:color w:val="000000"/>
        </w:rPr>
        <w:t>.</w:t>
      </w:r>
      <w:r w:rsidR="00320E22" w:rsidRPr="00821AF6">
        <w:rPr>
          <w:rFonts w:cs="Tahoma"/>
          <w:color w:val="000000"/>
        </w:rPr>
        <w:t xml:space="preserve"> </w:t>
      </w:r>
      <w:r w:rsidRPr="00821AF6">
        <w:rPr>
          <w:rFonts w:cs="Tahoma"/>
          <w:color w:val="000000"/>
        </w:rPr>
        <w:t>Na</w:t>
      </w:r>
      <w:r w:rsidR="007F019A">
        <w:rPr>
          <w:rFonts w:cs="Tahoma"/>
          <w:color w:val="000000"/>
        </w:rPr>
        <w:t> </w:t>
      </w:r>
      <w:r w:rsidRPr="00821AF6">
        <w:rPr>
          <w:rFonts w:cs="Tahoma"/>
          <w:color w:val="000000"/>
        </w:rPr>
        <w:t>podstawie powyższych danych obliczono następnie wskaźniki jednostkowe kosztów (zł/km).</w:t>
      </w:r>
    </w:p>
    <w:p w14:paraId="082F49C5" w14:textId="6FA11D0C" w:rsidR="000C512A" w:rsidRDefault="000C512A" w:rsidP="00995669">
      <w:pPr>
        <w:rPr>
          <w:rFonts w:cs="Tahoma"/>
          <w:color w:val="000000"/>
        </w:rPr>
      </w:pPr>
      <w:r w:rsidRPr="00821AF6">
        <w:rPr>
          <w:rFonts w:cs="Tahoma"/>
          <w:color w:val="000000"/>
        </w:rPr>
        <w:t>Do</w:t>
      </w:r>
      <w:r w:rsidR="00F769A7" w:rsidRPr="00821AF6">
        <w:rPr>
          <w:rFonts w:cs="Tahoma"/>
          <w:color w:val="000000"/>
        </w:rPr>
        <w:t> </w:t>
      </w:r>
      <w:r w:rsidRPr="00821AF6">
        <w:rPr>
          <w:rFonts w:cs="Tahoma"/>
          <w:color w:val="000000"/>
        </w:rPr>
        <w:t>obliczeń przyjęto koszt jednostkowy kilowatogodziny</w:t>
      </w:r>
      <w:r w:rsidR="00B54114" w:rsidRPr="00821AF6">
        <w:rPr>
          <w:rFonts w:cs="Tahoma"/>
          <w:color w:val="000000"/>
        </w:rPr>
        <w:t xml:space="preserve"> </w:t>
      </w:r>
      <w:r w:rsidR="00854C8D" w:rsidRPr="00821AF6">
        <w:rPr>
          <w:rFonts w:cs="Tahoma"/>
          <w:color w:val="000000"/>
        </w:rPr>
        <w:t xml:space="preserve">– na podstawie danych </w:t>
      </w:r>
      <w:r w:rsidR="00C73F5E">
        <w:rPr>
          <w:rFonts w:cs="Tahoma"/>
          <w:color w:val="000000"/>
        </w:rPr>
        <w:t>MPK</w:t>
      </w:r>
      <w:r w:rsidR="00995669">
        <w:rPr>
          <w:rFonts w:cs="Tahoma"/>
          <w:color w:val="000000"/>
        </w:rPr>
        <w:t>-Rzeszów</w:t>
      </w:r>
      <w:r w:rsidR="00C73F5E">
        <w:rPr>
          <w:rFonts w:cs="Tahoma"/>
          <w:color w:val="000000"/>
        </w:rPr>
        <w:t xml:space="preserve"> </w:t>
      </w:r>
      <w:r w:rsidR="00373288" w:rsidRPr="00821AF6">
        <w:rPr>
          <w:rFonts w:cs="Tahoma"/>
          <w:color w:val="000000"/>
        </w:rPr>
        <w:t>s</w:t>
      </w:r>
      <w:r w:rsidR="00854C8D" w:rsidRPr="00821AF6">
        <w:rPr>
          <w:rFonts w:cs="Tahoma"/>
          <w:color w:val="000000"/>
        </w:rPr>
        <w:t>p.</w:t>
      </w:r>
      <w:r w:rsidR="00A5220A" w:rsidRPr="00821AF6">
        <w:rPr>
          <w:rFonts w:cs="Tahoma"/>
          <w:color w:val="000000"/>
        </w:rPr>
        <w:t> </w:t>
      </w:r>
      <w:r w:rsidR="00854C8D" w:rsidRPr="00821AF6">
        <w:rPr>
          <w:rFonts w:cs="Tahoma"/>
          <w:color w:val="000000"/>
        </w:rPr>
        <w:t xml:space="preserve">z o.o. – </w:t>
      </w:r>
      <w:r w:rsidR="00F769A7" w:rsidRPr="00821AF6">
        <w:rPr>
          <w:rFonts w:cs="Tahoma"/>
          <w:color w:val="000000"/>
        </w:rPr>
        <w:t xml:space="preserve">w wysokości </w:t>
      </w:r>
      <w:r w:rsidR="00B54114" w:rsidRPr="00821AF6">
        <w:rPr>
          <w:rFonts w:cs="Tahoma"/>
          <w:color w:val="000000"/>
        </w:rPr>
        <w:t>0,</w:t>
      </w:r>
      <w:r w:rsidR="00995669">
        <w:rPr>
          <w:rFonts w:cs="Tahoma"/>
          <w:color w:val="000000"/>
        </w:rPr>
        <w:t>75</w:t>
      </w:r>
      <w:r w:rsidR="00B54114" w:rsidRPr="00821AF6">
        <w:rPr>
          <w:rFonts w:cs="Tahoma"/>
          <w:color w:val="000000"/>
        </w:rPr>
        <w:t xml:space="preserve"> zł netto, poniesion</w:t>
      </w:r>
      <w:r w:rsidR="00A5220A" w:rsidRPr="00821AF6">
        <w:rPr>
          <w:rFonts w:cs="Tahoma"/>
          <w:color w:val="000000"/>
        </w:rPr>
        <w:t>y</w:t>
      </w:r>
      <w:r w:rsidR="00B54114" w:rsidRPr="00821AF6">
        <w:rPr>
          <w:rFonts w:cs="Tahoma"/>
          <w:color w:val="000000"/>
        </w:rPr>
        <w:t xml:space="preserve"> w </w:t>
      </w:r>
      <w:r w:rsidR="00AC2342">
        <w:rPr>
          <w:rFonts w:cs="Tahoma"/>
          <w:color w:val="000000"/>
        </w:rPr>
        <w:t>I połowie 2021</w:t>
      </w:r>
      <w:r w:rsidR="00B54114" w:rsidRPr="00821AF6">
        <w:rPr>
          <w:rFonts w:cs="Tahoma"/>
          <w:color w:val="000000"/>
        </w:rPr>
        <w:t xml:space="preserve"> r.</w:t>
      </w:r>
    </w:p>
    <w:p w14:paraId="293DD6EA" w14:textId="77777777" w:rsidR="00145DBA" w:rsidRPr="00821AF6" w:rsidRDefault="00145DBA" w:rsidP="00811EA6">
      <w:pPr>
        <w:rPr>
          <w:rFonts w:cs="Tahoma"/>
          <w:color w:val="000000"/>
        </w:rPr>
      </w:pPr>
      <w:r w:rsidRPr="00821AF6">
        <w:rPr>
          <w:rFonts w:cs="Tahoma"/>
          <w:color w:val="000000"/>
        </w:rPr>
        <w:t>W tabeli 1</w:t>
      </w:r>
      <w:r>
        <w:rPr>
          <w:rFonts w:cs="Tahoma"/>
          <w:color w:val="000000"/>
        </w:rPr>
        <w:t>2</w:t>
      </w:r>
      <w:r w:rsidRPr="00821AF6">
        <w:rPr>
          <w:rFonts w:cs="Tahoma"/>
          <w:color w:val="000000"/>
        </w:rPr>
        <w:t xml:space="preserve"> przedstawiono podstawowe wskaźniki eksploatacyjne przyjęte do obliczeń dla autobusów z napędem Diesla</w:t>
      </w:r>
      <w:r>
        <w:rPr>
          <w:rFonts w:cs="Tahoma"/>
          <w:color w:val="000000"/>
        </w:rPr>
        <w:t xml:space="preserve"> </w:t>
      </w:r>
      <w:r w:rsidRPr="00821AF6">
        <w:rPr>
          <w:rFonts w:cs="Tahoma"/>
          <w:color w:val="000000"/>
        </w:rPr>
        <w:t>oraz bateryjnych elektrycznych.</w:t>
      </w:r>
    </w:p>
    <w:p w14:paraId="446AA6E6" w14:textId="4307BDF7" w:rsidR="00145DBA" w:rsidRDefault="00145DBA" w:rsidP="00811EA6">
      <w:pPr>
        <w:rPr>
          <w:rFonts w:cs="Tahoma"/>
          <w:color w:val="000000"/>
        </w:rPr>
      </w:pPr>
      <w:r w:rsidRPr="00821AF6">
        <w:rPr>
          <w:rFonts w:cs="Tahoma"/>
          <w:color w:val="000000"/>
        </w:rPr>
        <w:t>Dla autobusów elektrycznych przyjęto parametry kosztów eksploatacji (bez uwzględniania zużycia energii elektrycznej) na poziomie 70% kosztów autobusów z napędem Diesla. Jest to uzasadnione przede wszystkim brakiem lub znacznie niższym zużyciem materiałów eksploatacyjnych, takich jak płyny (</w:t>
      </w:r>
      <w:proofErr w:type="spellStart"/>
      <w:r w:rsidRPr="00821AF6">
        <w:rPr>
          <w:rFonts w:cs="Tahoma"/>
          <w:color w:val="000000"/>
        </w:rPr>
        <w:t>AdBlue</w:t>
      </w:r>
      <w:proofErr w:type="spellEnd"/>
      <w:r w:rsidRPr="00821AF6">
        <w:rPr>
          <w:rFonts w:cs="Tahoma"/>
          <w:color w:val="000000"/>
        </w:rPr>
        <w:t>, oleje i inne) oraz zużywające się części silnika, jego osprzętu i przekładni. W przypadku autobusów elektrycznych w analizie uwzględniono koszty serwisowania stacji ładowania.</w:t>
      </w:r>
    </w:p>
    <w:p w14:paraId="3C824E08" w14:textId="792F8A0E" w:rsidR="00145DBA" w:rsidRDefault="00145DBA" w:rsidP="00C06367">
      <w:pPr>
        <w:rPr>
          <w:rFonts w:cs="Tahoma"/>
          <w:color w:val="000000"/>
        </w:rPr>
      </w:pPr>
      <w:r>
        <w:rPr>
          <w:rFonts w:cs="Tahoma"/>
          <w:color w:val="000000"/>
        </w:rPr>
        <w:lastRenderedPageBreak/>
        <w:t xml:space="preserve">Ceny gazu ziemnego nabywanego przez </w:t>
      </w:r>
      <w:r w:rsidR="00C73F5E">
        <w:rPr>
          <w:rFonts w:cs="Tahoma"/>
          <w:color w:val="000000"/>
        </w:rPr>
        <w:t>MPK</w:t>
      </w:r>
      <w:r w:rsidR="006D2BD2">
        <w:rPr>
          <w:rFonts w:cs="Tahoma"/>
          <w:color w:val="000000"/>
        </w:rPr>
        <w:t>-Rzeszów</w:t>
      </w:r>
      <w:r w:rsidR="00C73F5E">
        <w:rPr>
          <w:rFonts w:cs="Tahoma"/>
          <w:color w:val="000000"/>
        </w:rPr>
        <w:t xml:space="preserve"> </w:t>
      </w:r>
      <w:r>
        <w:rPr>
          <w:rFonts w:cs="Tahoma"/>
          <w:color w:val="000000"/>
        </w:rPr>
        <w:t xml:space="preserve">sp. z o.o. </w:t>
      </w:r>
      <w:r w:rsidR="00811EA6">
        <w:rPr>
          <w:rFonts w:cs="Tahoma"/>
          <w:color w:val="000000"/>
        </w:rPr>
        <w:t>w 2021 r. wzrosły</w:t>
      </w:r>
      <w:r w:rsidR="00811EA6" w:rsidRPr="00811EA6">
        <w:rPr>
          <w:rFonts w:cs="Tahoma"/>
          <w:color w:val="000000"/>
        </w:rPr>
        <w:t xml:space="preserve"> </w:t>
      </w:r>
      <w:r w:rsidR="00C06367">
        <w:rPr>
          <w:rFonts w:cs="Tahoma"/>
          <w:color w:val="000000"/>
        </w:rPr>
        <w:t>w</w:t>
      </w:r>
      <w:r w:rsidR="007F019A">
        <w:rPr>
          <w:rFonts w:cs="Tahoma"/>
          <w:color w:val="000000"/>
        </w:rPr>
        <w:t> </w:t>
      </w:r>
      <w:r w:rsidR="00C06367">
        <w:rPr>
          <w:rFonts w:cs="Tahoma"/>
          <w:color w:val="000000"/>
        </w:rPr>
        <w:t>okresie od maj</w:t>
      </w:r>
      <w:r w:rsidR="00811EA6">
        <w:rPr>
          <w:rFonts w:cs="Tahoma"/>
          <w:color w:val="000000"/>
        </w:rPr>
        <w:t xml:space="preserve">a do </w:t>
      </w:r>
      <w:r w:rsidR="00C06367">
        <w:rPr>
          <w:rFonts w:cs="Tahoma"/>
          <w:color w:val="000000"/>
        </w:rPr>
        <w:t>października</w:t>
      </w:r>
      <w:r w:rsidR="00811EA6">
        <w:rPr>
          <w:rFonts w:cs="Tahoma"/>
          <w:color w:val="000000"/>
        </w:rPr>
        <w:t xml:space="preserve"> 2021 r. aż o </w:t>
      </w:r>
      <w:r w:rsidR="00C06367">
        <w:rPr>
          <w:rFonts w:cs="Tahoma"/>
          <w:color w:val="000000"/>
        </w:rPr>
        <w:t>94</w:t>
      </w:r>
      <w:r w:rsidR="00811EA6">
        <w:rPr>
          <w:rFonts w:cs="Tahoma"/>
          <w:color w:val="000000"/>
        </w:rPr>
        <w:t>%.</w:t>
      </w:r>
      <w:r>
        <w:rPr>
          <w:rFonts w:cs="Tahoma"/>
          <w:color w:val="000000"/>
        </w:rPr>
        <w:t xml:space="preserve">, aczkolwiek ich tendencja zmian odpowiada cenom rynkowym gazu w Europie, które są wynikiem spekulacji spowodowanej ograniczeniem </w:t>
      </w:r>
      <w:r w:rsidR="00C06367">
        <w:rPr>
          <w:rFonts w:cs="Tahoma"/>
          <w:color w:val="000000"/>
        </w:rPr>
        <w:t xml:space="preserve">lub ryzykiem ograniczenia </w:t>
      </w:r>
      <w:r>
        <w:rPr>
          <w:rFonts w:cs="Tahoma"/>
          <w:color w:val="000000"/>
        </w:rPr>
        <w:t xml:space="preserve">dostaw gazu do Europy poprzez Ukrainę przez Federację Rosyjską, przy jednoczesnym braku uruchomienia gazociągu </w:t>
      </w:r>
      <w:proofErr w:type="spellStart"/>
      <w:r>
        <w:rPr>
          <w:rFonts w:cs="Tahoma"/>
          <w:color w:val="000000"/>
        </w:rPr>
        <w:t>Nord</w:t>
      </w:r>
      <w:proofErr w:type="spellEnd"/>
      <w:r>
        <w:rPr>
          <w:rFonts w:cs="Tahoma"/>
          <w:color w:val="000000"/>
        </w:rPr>
        <w:t xml:space="preserve"> </w:t>
      </w:r>
      <w:proofErr w:type="spellStart"/>
      <w:r>
        <w:rPr>
          <w:rFonts w:cs="Tahoma"/>
          <w:color w:val="000000"/>
        </w:rPr>
        <w:t>Stream</w:t>
      </w:r>
      <w:proofErr w:type="spellEnd"/>
      <w:r>
        <w:rPr>
          <w:rFonts w:cs="Tahoma"/>
          <w:color w:val="000000"/>
        </w:rPr>
        <w:t xml:space="preserve"> 2. Można przypuszczać, że jest to zjawisko okresowe i w dłuższym okresie czasu ceny gazu znacząco spadną. W</w:t>
      </w:r>
      <w:r w:rsidR="007F019A">
        <w:rPr>
          <w:rFonts w:cs="Tahoma"/>
          <w:color w:val="000000"/>
        </w:rPr>
        <w:t> </w:t>
      </w:r>
      <w:r>
        <w:rPr>
          <w:rFonts w:cs="Tahoma"/>
          <w:color w:val="000000"/>
        </w:rPr>
        <w:t xml:space="preserve">analizie przyjęto </w:t>
      </w:r>
      <w:r w:rsidR="00C06367">
        <w:rPr>
          <w:rFonts w:cs="Tahoma"/>
          <w:color w:val="000000"/>
        </w:rPr>
        <w:t>średnią ceną gazu</w:t>
      </w:r>
      <w:r>
        <w:rPr>
          <w:rFonts w:cs="Tahoma"/>
          <w:color w:val="000000"/>
        </w:rPr>
        <w:t xml:space="preserve"> </w:t>
      </w:r>
      <w:r w:rsidR="00C06367">
        <w:rPr>
          <w:rFonts w:cs="Tahoma"/>
          <w:color w:val="000000"/>
        </w:rPr>
        <w:t>z okresu dziesięciu miesięcy 2021 r., jako</w:t>
      </w:r>
      <w:r>
        <w:rPr>
          <w:rFonts w:cs="Tahoma"/>
          <w:color w:val="000000"/>
        </w:rPr>
        <w:t xml:space="preserve"> </w:t>
      </w:r>
      <w:r w:rsidR="00C06367">
        <w:rPr>
          <w:rFonts w:cs="Tahoma"/>
          <w:color w:val="000000"/>
        </w:rPr>
        <w:t>2,61</w:t>
      </w:r>
      <w:r>
        <w:rPr>
          <w:rFonts w:cs="Tahoma"/>
          <w:color w:val="000000"/>
        </w:rPr>
        <w:t xml:space="preserve"> zł za m</w:t>
      </w:r>
      <w:r>
        <w:rPr>
          <w:rFonts w:cs="Tahoma"/>
          <w:color w:val="000000"/>
          <w:vertAlign w:val="superscript"/>
        </w:rPr>
        <w:t>3</w:t>
      </w:r>
      <w:r>
        <w:rPr>
          <w:rFonts w:cs="Tahoma"/>
          <w:color w:val="000000"/>
        </w:rPr>
        <w:t xml:space="preserve"> i utrzymanie tej ceny w dalszym okresie. </w:t>
      </w:r>
    </w:p>
    <w:p w14:paraId="1BE3D6BD" w14:textId="49367101" w:rsidR="00004EEC" w:rsidRPr="00821AF6" w:rsidRDefault="00004EEC" w:rsidP="00C06367">
      <w:pPr>
        <w:rPr>
          <w:rFonts w:cs="Tahoma"/>
          <w:color w:val="000000"/>
        </w:rPr>
      </w:pPr>
      <w:r>
        <w:rPr>
          <w:rFonts w:cs="Tahoma"/>
          <w:color w:val="000000"/>
        </w:rPr>
        <w:t>Ceny wodoru dla zasilania autobusów zeroemisyjnych z ogniwami paliwowymi przyjęto w wysokości 32,0 zł za m</w:t>
      </w:r>
      <w:r>
        <w:rPr>
          <w:rFonts w:cs="Tahoma"/>
          <w:color w:val="000000"/>
          <w:vertAlign w:val="superscript"/>
        </w:rPr>
        <w:t>3</w:t>
      </w:r>
      <w:r>
        <w:rPr>
          <w:rFonts w:cs="Tahoma"/>
          <w:color w:val="000000"/>
        </w:rPr>
        <w:t xml:space="preserve">, </w:t>
      </w:r>
      <w:r w:rsidRPr="00004EEC">
        <w:rPr>
          <w:rFonts w:cs="Tahoma"/>
          <w:color w:val="000000"/>
        </w:rPr>
        <w:t>uwzględniając</w:t>
      </w:r>
      <w:r>
        <w:rPr>
          <w:rFonts w:cs="Tahoma"/>
          <w:color w:val="000000"/>
        </w:rPr>
        <w:t xml:space="preserve"> poziom aktualnych cen detalicznych, pomniejszonych o VAT, oraz przewidywany spadek cen w miarę </w:t>
      </w:r>
      <w:r w:rsidR="00DC19D6">
        <w:rPr>
          <w:rFonts w:cs="Tahoma"/>
          <w:color w:val="000000"/>
        </w:rPr>
        <w:t>rozwoju technologii oraz liczbę autobusów wodorowych.</w:t>
      </w:r>
    </w:p>
    <w:p w14:paraId="192DC9E2" w14:textId="724BE49B" w:rsidR="000C512A" w:rsidRPr="00821AF6" w:rsidRDefault="000C512A" w:rsidP="006A3FFB">
      <w:pPr>
        <w:pStyle w:val="Legenda"/>
        <w:keepNext/>
        <w:spacing w:before="240" w:after="0"/>
        <w:ind w:firstLine="0"/>
        <w:jc w:val="left"/>
        <w:rPr>
          <w:color w:val="000000"/>
          <w:sz w:val="22"/>
          <w:szCs w:val="22"/>
        </w:rPr>
      </w:pPr>
      <w:r w:rsidRPr="00821AF6">
        <w:rPr>
          <w:color w:val="000000"/>
          <w:sz w:val="22"/>
          <w:szCs w:val="22"/>
        </w:rPr>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11</w:t>
      </w:r>
      <w:r w:rsidR="00B60ABE" w:rsidRPr="00821AF6">
        <w:rPr>
          <w:color w:val="000000"/>
          <w:sz w:val="22"/>
          <w:szCs w:val="22"/>
        </w:rPr>
        <w:fldChar w:fldCharType="end"/>
      </w:r>
      <w:r w:rsidRPr="00821AF6">
        <w:rPr>
          <w:color w:val="000000"/>
          <w:sz w:val="22"/>
          <w:szCs w:val="22"/>
        </w:rPr>
        <w:t xml:space="preserve">. </w:t>
      </w:r>
      <w:r w:rsidR="00A4294F" w:rsidRPr="00821AF6">
        <w:rPr>
          <w:color w:val="000000"/>
          <w:sz w:val="22"/>
          <w:szCs w:val="22"/>
        </w:rPr>
        <w:t>Prognozowane r</w:t>
      </w:r>
      <w:r w:rsidRPr="00821AF6">
        <w:rPr>
          <w:color w:val="000000"/>
          <w:sz w:val="22"/>
          <w:szCs w:val="22"/>
        </w:rPr>
        <w:t xml:space="preserve">oczne koszty eksploatacji </w:t>
      </w:r>
      <w:r w:rsidR="00D75402" w:rsidRPr="00821AF6">
        <w:rPr>
          <w:color w:val="000000"/>
          <w:sz w:val="22"/>
          <w:szCs w:val="22"/>
        </w:rPr>
        <w:t xml:space="preserve">w komunikacji miejskiej </w:t>
      </w:r>
      <w:r w:rsidR="006D2BD2">
        <w:rPr>
          <w:color w:val="000000"/>
          <w:sz w:val="22"/>
          <w:szCs w:val="22"/>
        </w:rPr>
        <w:br/>
      </w:r>
      <w:r w:rsidR="00C73F5E">
        <w:rPr>
          <w:color w:val="000000"/>
          <w:sz w:val="22"/>
          <w:szCs w:val="22"/>
        </w:rPr>
        <w:t>MPK</w:t>
      </w:r>
      <w:r w:rsidR="006D2BD2">
        <w:rPr>
          <w:color w:val="000000"/>
          <w:sz w:val="22"/>
          <w:szCs w:val="22"/>
        </w:rPr>
        <w:t>-Rzeszów</w:t>
      </w:r>
      <w:r w:rsidR="00C73F5E">
        <w:rPr>
          <w:color w:val="000000"/>
          <w:sz w:val="22"/>
          <w:szCs w:val="22"/>
        </w:rPr>
        <w:t xml:space="preserve"> </w:t>
      </w:r>
      <w:r w:rsidR="005A0FBA" w:rsidRPr="00821AF6">
        <w:rPr>
          <w:color w:val="000000"/>
          <w:sz w:val="22"/>
          <w:szCs w:val="22"/>
        </w:rPr>
        <w:t>s</w:t>
      </w:r>
      <w:r w:rsidR="002E23BE" w:rsidRPr="00821AF6">
        <w:rPr>
          <w:color w:val="000000"/>
          <w:sz w:val="22"/>
          <w:szCs w:val="22"/>
        </w:rPr>
        <w:t>p. z o.o.</w:t>
      </w:r>
      <w:r w:rsidRPr="00821AF6">
        <w:rPr>
          <w:color w:val="000000"/>
          <w:sz w:val="22"/>
          <w:szCs w:val="22"/>
        </w:rPr>
        <w:t xml:space="preserve"> </w:t>
      </w:r>
      <w:r w:rsidR="00A4294F" w:rsidRPr="00821AF6">
        <w:rPr>
          <w:color w:val="000000"/>
          <w:sz w:val="22"/>
          <w:szCs w:val="22"/>
        </w:rPr>
        <w:t xml:space="preserve">w </w:t>
      </w:r>
      <w:r w:rsidR="005A0FBA" w:rsidRPr="00821AF6">
        <w:rPr>
          <w:color w:val="000000"/>
          <w:sz w:val="22"/>
          <w:szCs w:val="22"/>
        </w:rPr>
        <w:t>2021</w:t>
      </w:r>
      <w:r w:rsidR="00806D9F" w:rsidRPr="00821AF6">
        <w:rPr>
          <w:color w:val="000000"/>
          <w:sz w:val="22"/>
          <w:szCs w:val="22"/>
        </w:rPr>
        <w:t xml:space="preserve"> r. </w:t>
      </w:r>
      <w:r w:rsidRPr="00821AF6">
        <w:rPr>
          <w:color w:val="000000"/>
          <w:sz w:val="22"/>
          <w:szCs w:val="22"/>
        </w:rPr>
        <w:t>[tys. zł]</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804"/>
        <w:gridCol w:w="3268"/>
      </w:tblGrid>
      <w:tr w:rsidR="00A4294F" w:rsidRPr="006A3FFB" w14:paraId="40B509DA" w14:textId="77777777" w:rsidTr="00D84A0E">
        <w:trPr>
          <w:cantSplit/>
          <w:trHeight w:val="192"/>
          <w:tblHeader/>
          <w:jc w:val="center"/>
        </w:trPr>
        <w:tc>
          <w:tcPr>
            <w:tcW w:w="5804" w:type="dxa"/>
            <w:shd w:val="clear" w:color="auto" w:fill="FFFF99"/>
            <w:vAlign w:val="center"/>
          </w:tcPr>
          <w:p w14:paraId="0CA6A93D" w14:textId="77777777" w:rsidR="00A4294F" w:rsidRPr="006A3FFB" w:rsidRDefault="00A4294F" w:rsidP="006A3FFB">
            <w:pPr>
              <w:spacing w:before="60" w:after="40" w:line="288" w:lineRule="auto"/>
              <w:ind w:firstLine="0"/>
              <w:jc w:val="center"/>
              <w:rPr>
                <w:rFonts w:cs="Tahoma"/>
                <w:b/>
                <w:sz w:val="20"/>
                <w:szCs w:val="20"/>
              </w:rPr>
            </w:pPr>
            <w:r w:rsidRPr="006A3FFB">
              <w:rPr>
                <w:rFonts w:cs="Tahoma"/>
                <w:b/>
                <w:sz w:val="20"/>
                <w:szCs w:val="20"/>
              </w:rPr>
              <w:t>Kategoria kosztu</w:t>
            </w:r>
          </w:p>
        </w:tc>
        <w:tc>
          <w:tcPr>
            <w:tcW w:w="3268" w:type="dxa"/>
            <w:shd w:val="clear" w:color="auto" w:fill="FFFF99"/>
            <w:vAlign w:val="center"/>
          </w:tcPr>
          <w:p w14:paraId="43C94191" w14:textId="3F88E676" w:rsidR="00A4294F" w:rsidRPr="006A3FFB" w:rsidRDefault="00A4294F" w:rsidP="006A3FFB">
            <w:pPr>
              <w:spacing w:before="60" w:after="40" w:line="288" w:lineRule="auto"/>
              <w:ind w:firstLine="0"/>
              <w:jc w:val="center"/>
              <w:rPr>
                <w:rFonts w:cs="Tahoma"/>
                <w:b/>
                <w:sz w:val="20"/>
                <w:szCs w:val="20"/>
              </w:rPr>
            </w:pPr>
            <w:r w:rsidRPr="006A3FFB">
              <w:rPr>
                <w:rFonts w:cs="Tahoma"/>
                <w:b/>
                <w:sz w:val="20"/>
                <w:szCs w:val="20"/>
              </w:rPr>
              <w:t>Wartość</w:t>
            </w:r>
          </w:p>
        </w:tc>
      </w:tr>
      <w:tr w:rsidR="00D75402" w:rsidRPr="006A3FFB" w14:paraId="517F0B63" w14:textId="77777777" w:rsidTr="00D84A0E">
        <w:trPr>
          <w:cantSplit/>
          <w:jc w:val="center"/>
        </w:trPr>
        <w:tc>
          <w:tcPr>
            <w:tcW w:w="5804" w:type="dxa"/>
            <w:tcBorders>
              <w:top w:val="single" w:sz="4" w:space="0" w:color="auto"/>
              <w:left w:val="single" w:sz="4" w:space="0" w:color="auto"/>
              <w:bottom w:val="single" w:sz="4" w:space="0" w:color="auto"/>
              <w:right w:val="single" w:sz="4" w:space="0" w:color="auto"/>
            </w:tcBorders>
          </w:tcPr>
          <w:p w14:paraId="01110162" w14:textId="77777777" w:rsidR="00D75402" w:rsidRPr="00821AF6" w:rsidRDefault="00D75402" w:rsidP="006A3FFB">
            <w:pPr>
              <w:spacing w:before="60" w:after="40" w:line="288" w:lineRule="auto"/>
              <w:ind w:firstLine="0"/>
              <w:jc w:val="left"/>
              <w:rPr>
                <w:rFonts w:cs="Tahoma"/>
                <w:sz w:val="20"/>
                <w:szCs w:val="20"/>
              </w:rPr>
            </w:pPr>
            <w:r w:rsidRPr="00821AF6">
              <w:rPr>
                <w:rFonts w:cs="Tahoma"/>
                <w:sz w:val="20"/>
                <w:szCs w:val="20"/>
              </w:rPr>
              <w:t>Amortyzacja</w:t>
            </w:r>
          </w:p>
        </w:tc>
        <w:tc>
          <w:tcPr>
            <w:tcW w:w="3268" w:type="dxa"/>
            <w:tcBorders>
              <w:top w:val="single" w:sz="4" w:space="0" w:color="auto"/>
              <w:left w:val="single" w:sz="4" w:space="0" w:color="auto"/>
              <w:bottom w:val="single" w:sz="4" w:space="0" w:color="auto"/>
              <w:right w:val="single" w:sz="4" w:space="0" w:color="auto"/>
            </w:tcBorders>
            <w:vAlign w:val="center"/>
          </w:tcPr>
          <w:p w14:paraId="29A2FBBB" w14:textId="1A509FD8" w:rsidR="00D75402" w:rsidRPr="006A3FFB" w:rsidRDefault="006A3FFB" w:rsidP="006A3FFB">
            <w:pPr>
              <w:spacing w:before="60" w:after="40" w:line="288" w:lineRule="auto"/>
              <w:ind w:firstLine="0"/>
              <w:jc w:val="right"/>
              <w:rPr>
                <w:rFonts w:cs="Tahoma"/>
                <w:sz w:val="20"/>
                <w:szCs w:val="20"/>
              </w:rPr>
            </w:pPr>
            <w:r>
              <w:rPr>
                <w:rFonts w:cs="Tahoma"/>
                <w:sz w:val="20"/>
                <w:szCs w:val="20"/>
              </w:rPr>
              <w:t>1 326,7</w:t>
            </w:r>
          </w:p>
        </w:tc>
      </w:tr>
      <w:tr w:rsidR="00D75402" w:rsidRPr="00821AF6" w14:paraId="2336D2B0" w14:textId="77777777" w:rsidTr="00D84A0E">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11E4B134" w14:textId="3B937BC4" w:rsidR="00D75402" w:rsidRPr="00821AF6" w:rsidRDefault="00D75402" w:rsidP="006A3FFB">
            <w:pPr>
              <w:spacing w:before="60" w:after="40" w:line="288" w:lineRule="auto"/>
              <w:ind w:firstLine="0"/>
              <w:jc w:val="left"/>
              <w:rPr>
                <w:rFonts w:cs="Tahoma"/>
                <w:sz w:val="20"/>
                <w:szCs w:val="20"/>
              </w:rPr>
            </w:pPr>
            <w:r w:rsidRPr="00821AF6">
              <w:rPr>
                <w:rFonts w:cs="Tahoma"/>
                <w:sz w:val="20"/>
                <w:szCs w:val="20"/>
              </w:rPr>
              <w:t>Zużycie paliwa</w:t>
            </w:r>
            <w:r w:rsidR="00282292">
              <w:rPr>
                <w:rFonts w:cs="Tahoma"/>
                <w:sz w:val="20"/>
                <w:szCs w:val="20"/>
              </w:rPr>
              <w:t xml:space="preserve"> i smarów</w:t>
            </w:r>
          </w:p>
        </w:tc>
        <w:tc>
          <w:tcPr>
            <w:tcW w:w="3268" w:type="dxa"/>
            <w:tcBorders>
              <w:top w:val="single" w:sz="4" w:space="0" w:color="auto"/>
              <w:left w:val="single" w:sz="4" w:space="0" w:color="auto"/>
              <w:bottom w:val="single" w:sz="4" w:space="0" w:color="auto"/>
              <w:right w:val="single" w:sz="4" w:space="0" w:color="auto"/>
            </w:tcBorders>
            <w:vAlign w:val="center"/>
          </w:tcPr>
          <w:p w14:paraId="71EF1F1D" w14:textId="6C5E30F7" w:rsidR="00D75402" w:rsidRPr="006A3FFB" w:rsidRDefault="006A3FFB" w:rsidP="006A3FFB">
            <w:pPr>
              <w:spacing w:before="60" w:after="40" w:line="288" w:lineRule="auto"/>
              <w:ind w:firstLine="0"/>
              <w:jc w:val="right"/>
              <w:rPr>
                <w:rFonts w:cs="Tahoma"/>
                <w:sz w:val="20"/>
                <w:szCs w:val="20"/>
              </w:rPr>
            </w:pPr>
            <w:r>
              <w:rPr>
                <w:rFonts w:cs="Tahoma"/>
                <w:sz w:val="20"/>
                <w:szCs w:val="20"/>
              </w:rPr>
              <w:t>20 656,4</w:t>
            </w:r>
          </w:p>
        </w:tc>
      </w:tr>
      <w:tr w:rsidR="006A3FFB" w:rsidRPr="00821AF6" w14:paraId="28911E6D" w14:textId="77777777" w:rsidTr="00D84A0E">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43A04C77" w14:textId="600CA868" w:rsidR="006A3FFB" w:rsidRPr="00821AF6" w:rsidRDefault="006A3FFB" w:rsidP="006A3FFB">
            <w:pPr>
              <w:spacing w:before="60" w:after="40" w:line="288" w:lineRule="auto"/>
              <w:ind w:firstLine="0"/>
              <w:jc w:val="left"/>
              <w:rPr>
                <w:rFonts w:cs="Tahoma"/>
                <w:sz w:val="20"/>
                <w:szCs w:val="20"/>
              </w:rPr>
            </w:pPr>
            <w:r>
              <w:rPr>
                <w:rFonts w:cs="Tahoma"/>
                <w:sz w:val="20"/>
                <w:szCs w:val="20"/>
              </w:rPr>
              <w:t>Zużycie energii trakcyjnej</w:t>
            </w:r>
          </w:p>
        </w:tc>
        <w:tc>
          <w:tcPr>
            <w:tcW w:w="3268" w:type="dxa"/>
            <w:tcBorders>
              <w:top w:val="single" w:sz="4" w:space="0" w:color="auto"/>
              <w:left w:val="single" w:sz="4" w:space="0" w:color="auto"/>
              <w:bottom w:val="single" w:sz="4" w:space="0" w:color="auto"/>
              <w:right w:val="single" w:sz="4" w:space="0" w:color="auto"/>
            </w:tcBorders>
            <w:vAlign w:val="center"/>
          </w:tcPr>
          <w:p w14:paraId="77A24DD7" w14:textId="7809E6FA" w:rsidR="006A3FFB" w:rsidRPr="006A3FFB" w:rsidRDefault="006A3FFB" w:rsidP="006A3FFB">
            <w:pPr>
              <w:spacing w:before="60" w:after="40" w:line="288" w:lineRule="auto"/>
              <w:ind w:firstLine="0"/>
              <w:jc w:val="right"/>
              <w:rPr>
                <w:rFonts w:cs="Tahoma"/>
                <w:sz w:val="20"/>
                <w:szCs w:val="20"/>
              </w:rPr>
            </w:pPr>
            <w:r>
              <w:rPr>
                <w:rFonts w:cs="Tahoma"/>
                <w:sz w:val="20"/>
                <w:szCs w:val="20"/>
              </w:rPr>
              <w:t>1 035,8</w:t>
            </w:r>
          </w:p>
        </w:tc>
      </w:tr>
      <w:tr w:rsidR="00F662B8" w:rsidRPr="00821AF6" w14:paraId="606F1F89" w14:textId="77777777" w:rsidTr="007C6BBF">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564A9437" w14:textId="2219B326" w:rsidR="00F662B8" w:rsidRPr="00821AF6" w:rsidRDefault="00F662B8" w:rsidP="006A3FFB">
            <w:pPr>
              <w:spacing w:before="60" w:after="40" w:line="288" w:lineRule="auto"/>
              <w:ind w:firstLine="0"/>
              <w:jc w:val="left"/>
              <w:rPr>
                <w:rFonts w:cs="Tahoma"/>
                <w:sz w:val="20"/>
                <w:szCs w:val="20"/>
              </w:rPr>
            </w:pPr>
            <w:r w:rsidRPr="00821AF6">
              <w:rPr>
                <w:rFonts w:cs="Tahoma"/>
                <w:sz w:val="20"/>
                <w:szCs w:val="20"/>
              </w:rPr>
              <w:t>Ogumienie</w:t>
            </w:r>
          </w:p>
        </w:tc>
        <w:tc>
          <w:tcPr>
            <w:tcW w:w="3268" w:type="dxa"/>
            <w:tcBorders>
              <w:top w:val="single" w:sz="4" w:space="0" w:color="auto"/>
              <w:left w:val="single" w:sz="4" w:space="0" w:color="auto"/>
              <w:bottom w:val="single" w:sz="4" w:space="0" w:color="auto"/>
              <w:right w:val="single" w:sz="4" w:space="0" w:color="auto"/>
            </w:tcBorders>
            <w:vAlign w:val="center"/>
          </w:tcPr>
          <w:p w14:paraId="534D8834" w14:textId="7489629F" w:rsidR="00F662B8" w:rsidRPr="006A3FFB" w:rsidRDefault="006A3FFB" w:rsidP="006A3FFB">
            <w:pPr>
              <w:spacing w:before="60" w:after="40" w:line="288" w:lineRule="auto"/>
              <w:ind w:firstLine="0"/>
              <w:jc w:val="right"/>
              <w:rPr>
                <w:rFonts w:cs="Tahoma"/>
                <w:sz w:val="20"/>
                <w:szCs w:val="20"/>
              </w:rPr>
            </w:pPr>
            <w:r>
              <w:rPr>
                <w:rFonts w:cs="Tahoma"/>
                <w:sz w:val="20"/>
                <w:szCs w:val="20"/>
              </w:rPr>
              <w:t>138,7</w:t>
            </w:r>
          </w:p>
        </w:tc>
      </w:tr>
      <w:tr w:rsidR="00F662B8" w:rsidRPr="00821AF6" w14:paraId="0F71CEE5" w14:textId="77777777" w:rsidTr="007C6BBF">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4D654D3A" w14:textId="1C1AD653" w:rsidR="00F662B8" w:rsidRPr="00821AF6" w:rsidRDefault="00F662B8" w:rsidP="006A3FFB">
            <w:pPr>
              <w:spacing w:before="60" w:after="40" w:line="288" w:lineRule="auto"/>
              <w:ind w:firstLine="0"/>
              <w:jc w:val="left"/>
              <w:rPr>
                <w:rFonts w:cs="Tahoma"/>
                <w:sz w:val="20"/>
                <w:szCs w:val="20"/>
              </w:rPr>
            </w:pPr>
            <w:r w:rsidRPr="00821AF6">
              <w:rPr>
                <w:rFonts w:cs="Tahoma"/>
                <w:sz w:val="20"/>
                <w:szCs w:val="20"/>
              </w:rPr>
              <w:t>Części zamienne</w:t>
            </w:r>
          </w:p>
        </w:tc>
        <w:tc>
          <w:tcPr>
            <w:tcW w:w="3268" w:type="dxa"/>
            <w:tcBorders>
              <w:top w:val="single" w:sz="4" w:space="0" w:color="auto"/>
              <w:left w:val="single" w:sz="4" w:space="0" w:color="auto"/>
              <w:bottom w:val="single" w:sz="4" w:space="0" w:color="auto"/>
              <w:right w:val="single" w:sz="4" w:space="0" w:color="auto"/>
            </w:tcBorders>
            <w:vAlign w:val="center"/>
          </w:tcPr>
          <w:p w14:paraId="24F2BE0D" w14:textId="62B5319F" w:rsidR="00F662B8" w:rsidRPr="006A3FFB" w:rsidRDefault="006A3FFB" w:rsidP="006A3FFB">
            <w:pPr>
              <w:spacing w:before="60" w:after="40" w:line="288" w:lineRule="auto"/>
              <w:ind w:firstLine="0"/>
              <w:jc w:val="right"/>
              <w:rPr>
                <w:rFonts w:cs="Tahoma"/>
                <w:sz w:val="20"/>
                <w:szCs w:val="20"/>
              </w:rPr>
            </w:pPr>
            <w:r>
              <w:rPr>
                <w:rFonts w:cs="Tahoma"/>
                <w:sz w:val="20"/>
                <w:szCs w:val="20"/>
              </w:rPr>
              <w:t>2 940,6</w:t>
            </w:r>
          </w:p>
        </w:tc>
      </w:tr>
      <w:tr w:rsidR="002C3031" w:rsidRPr="00821AF6" w14:paraId="23F04D97" w14:textId="77777777" w:rsidTr="007C6BBF">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116AF981" w14:textId="6A494013" w:rsidR="002C3031" w:rsidRPr="00821AF6" w:rsidRDefault="002C3031" w:rsidP="006A3FFB">
            <w:pPr>
              <w:spacing w:before="60" w:after="40" w:line="288" w:lineRule="auto"/>
              <w:ind w:firstLine="0"/>
              <w:jc w:val="left"/>
              <w:rPr>
                <w:rFonts w:cs="Tahoma"/>
                <w:sz w:val="20"/>
                <w:szCs w:val="20"/>
              </w:rPr>
            </w:pPr>
            <w:r>
              <w:rPr>
                <w:rFonts w:cs="Tahoma"/>
                <w:sz w:val="20"/>
                <w:szCs w:val="20"/>
              </w:rPr>
              <w:t>Pozostałe materiały</w:t>
            </w:r>
          </w:p>
        </w:tc>
        <w:tc>
          <w:tcPr>
            <w:tcW w:w="3268" w:type="dxa"/>
            <w:tcBorders>
              <w:top w:val="single" w:sz="4" w:space="0" w:color="auto"/>
              <w:left w:val="single" w:sz="4" w:space="0" w:color="auto"/>
              <w:bottom w:val="single" w:sz="4" w:space="0" w:color="auto"/>
              <w:right w:val="single" w:sz="4" w:space="0" w:color="auto"/>
            </w:tcBorders>
            <w:vAlign w:val="center"/>
          </w:tcPr>
          <w:p w14:paraId="4FF277F2" w14:textId="5C3D7DD2" w:rsidR="002C3031" w:rsidRPr="006A3FFB" w:rsidRDefault="006A3FFB" w:rsidP="006A3FFB">
            <w:pPr>
              <w:spacing w:before="60" w:after="40" w:line="288" w:lineRule="auto"/>
              <w:ind w:firstLine="0"/>
              <w:jc w:val="right"/>
              <w:rPr>
                <w:rFonts w:cs="Tahoma"/>
                <w:sz w:val="20"/>
                <w:szCs w:val="20"/>
              </w:rPr>
            </w:pPr>
            <w:r>
              <w:rPr>
                <w:rFonts w:cs="Tahoma"/>
                <w:sz w:val="20"/>
                <w:szCs w:val="20"/>
              </w:rPr>
              <w:t>600,4</w:t>
            </w:r>
          </w:p>
        </w:tc>
      </w:tr>
      <w:tr w:rsidR="006A3FFB" w:rsidRPr="00821AF6" w14:paraId="0028CAB5" w14:textId="77777777" w:rsidTr="007C6BBF">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7DE86953" w14:textId="52FFA184" w:rsidR="006A3FFB" w:rsidRDefault="006A3FFB" w:rsidP="006A3FFB">
            <w:pPr>
              <w:spacing w:before="60" w:after="40" w:line="288" w:lineRule="auto"/>
              <w:ind w:firstLine="0"/>
              <w:jc w:val="left"/>
              <w:rPr>
                <w:rFonts w:cs="Tahoma"/>
                <w:sz w:val="20"/>
                <w:szCs w:val="20"/>
              </w:rPr>
            </w:pPr>
            <w:r>
              <w:rPr>
                <w:rFonts w:cs="Tahoma"/>
                <w:sz w:val="20"/>
                <w:szCs w:val="20"/>
              </w:rPr>
              <w:t>Remonty</w:t>
            </w:r>
          </w:p>
        </w:tc>
        <w:tc>
          <w:tcPr>
            <w:tcW w:w="3268" w:type="dxa"/>
            <w:tcBorders>
              <w:top w:val="single" w:sz="4" w:space="0" w:color="auto"/>
              <w:left w:val="single" w:sz="4" w:space="0" w:color="auto"/>
              <w:bottom w:val="single" w:sz="4" w:space="0" w:color="auto"/>
              <w:right w:val="single" w:sz="4" w:space="0" w:color="auto"/>
            </w:tcBorders>
            <w:vAlign w:val="center"/>
          </w:tcPr>
          <w:p w14:paraId="581D894A" w14:textId="33E41760" w:rsidR="006A3FFB" w:rsidRDefault="006A3FFB" w:rsidP="006A3FFB">
            <w:pPr>
              <w:spacing w:before="60" w:after="40" w:line="288" w:lineRule="auto"/>
              <w:ind w:firstLine="0"/>
              <w:jc w:val="right"/>
              <w:rPr>
                <w:rFonts w:cs="Tahoma"/>
                <w:sz w:val="20"/>
                <w:szCs w:val="20"/>
              </w:rPr>
            </w:pPr>
            <w:r>
              <w:rPr>
                <w:rFonts w:cs="Tahoma"/>
                <w:sz w:val="20"/>
                <w:szCs w:val="20"/>
              </w:rPr>
              <w:t>154,5</w:t>
            </w:r>
          </w:p>
        </w:tc>
      </w:tr>
      <w:tr w:rsidR="00771349" w:rsidRPr="00821AF6" w14:paraId="300665D8" w14:textId="77777777" w:rsidTr="008B1906">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093D6ECD" w14:textId="6CDB9F31" w:rsidR="00771349" w:rsidRPr="00821AF6" w:rsidRDefault="00771349" w:rsidP="006A3FFB">
            <w:pPr>
              <w:spacing w:before="60" w:after="40" w:line="288" w:lineRule="auto"/>
              <w:ind w:firstLine="0"/>
              <w:jc w:val="left"/>
              <w:rPr>
                <w:rFonts w:cs="Tahoma"/>
                <w:sz w:val="20"/>
                <w:szCs w:val="20"/>
              </w:rPr>
            </w:pPr>
            <w:r>
              <w:rPr>
                <w:rFonts w:cs="Tahoma"/>
                <w:sz w:val="20"/>
                <w:szCs w:val="20"/>
              </w:rPr>
              <w:t>Usługi obce</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14:paraId="18E01DBD" w14:textId="7CA1D5E5" w:rsidR="00771349" w:rsidRPr="006A3FFB" w:rsidRDefault="006A3FFB" w:rsidP="006A3FFB">
            <w:pPr>
              <w:spacing w:before="60" w:after="40" w:line="288" w:lineRule="auto"/>
              <w:ind w:firstLine="0"/>
              <w:jc w:val="right"/>
              <w:rPr>
                <w:rFonts w:cs="Tahoma"/>
                <w:sz w:val="20"/>
                <w:szCs w:val="20"/>
              </w:rPr>
            </w:pPr>
            <w:r>
              <w:rPr>
                <w:rFonts w:cs="Tahoma"/>
                <w:sz w:val="20"/>
                <w:szCs w:val="20"/>
              </w:rPr>
              <w:t>1 032,3</w:t>
            </w:r>
          </w:p>
        </w:tc>
      </w:tr>
      <w:tr w:rsidR="00771349" w:rsidRPr="00821AF6" w14:paraId="70E75F46" w14:textId="77777777" w:rsidTr="008B1906">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46441C4E" w14:textId="5311A080" w:rsidR="00771349" w:rsidRPr="00821AF6" w:rsidRDefault="00771349" w:rsidP="006A3FFB">
            <w:pPr>
              <w:spacing w:before="60" w:after="40" w:line="288" w:lineRule="auto"/>
              <w:ind w:firstLine="0"/>
              <w:jc w:val="left"/>
              <w:rPr>
                <w:rFonts w:cs="Tahoma"/>
                <w:sz w:val="20"/>
                <w:szCs w:val="20"/>
              </w:rPr>
            </w:pPr>
            <w:r w:rsidRPr="00821AF6">
              <w:rPr>
                <w:rFonts w:cs="Tahoma"/>
                <w:sz w:val="20"/>
                <w:szCs w:val="20"/>
              </w:rPr>
              <w:t xml:space="preserve">Wynagrodzenia </w:t>
            </w:r>
          </w:p>
        </w:tc>
        <w:tc>
          <w:tcPr>
            <w:tcW w:w="3268" w:type="dxa"/>
            <w:tcBorders>
              <w:top w:val="single" w:sz="4" w:space="0" w:color="auto"/>
              <w:left w:val="single" w:sz="4" w:space="0" w:color="auto"/>
              <w:bottom w:val="single" w:sz="4" w:space="0" w:color="auto"/>
              <w:right w:val="single" w:sz="4" w:space="0" w:color="auto"/>
            </w:tcBorders>
            <w:vAlign w:val="center"/>
          </w:tcPr>
          <w:p w14:paraId="3DFEBEB8" w14:textId="792431DB" w:rsidR="00771349" w:rsidRPr="006A3FFB" w:rsidRDefault="006A3FFB" w:rsidP="00995669">
            <w:pPr>
              <w:spacing w:before="60" w:after="40" w:line="288" w:lineRule="auto"/>
              <w:ind w:firstLine="0"/>
              <w:jc w:val="right"/>
              <w:rPr>
                <w:rFonts w:cs="Tahoma"/>
                <w:sz w:val="20"/>
                <w:szCs w:val="20"/>
              </w:rPr>
            </w:pPr>
            <w:r w:rsidRPr="006A3FFB">
              <w:rPr>
                <w:rFonts w:cs="Tahoma"/>
                <w:sz w:val="20"/>
                <w:szCs w:val="20"/>
              </w:rPr>
              <w:t>41 </w:t>
            </w:r>
            <w:r w:rsidR="00995669">
              <w:rPr>
                <w:rFonts w:cs="Tahoma"/>
                <w:sz w:val="20"/>
                <w:szCs w:val="20"/>
              </w:rPr>
              <w:t>939</w:t>
            </w:r>
            <w:r w:rsidRPr="006A3FFB">
              <w:rPr>
                <w:rFonts w:cs="Tahoma"/>
                <w:sz w:val="20"/>
                <w:szCs w:val="20"/>
              </w:rPr>
              <w:t>,0</w:t>
            </w:r>
          </w:p>
        </w:tc>
      </w:tr>
      <w:tr w:rsidR="00771349" w:rsidRPr="00821AF6" w14:paraId="6D49A256" w14:textId="77777777" w:rsidTr="008B1906">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004E95E8" w14:textId="0F514A43" w:rsidR="00771349" w:rsidRPr="00821AF6" w:rsidRDefault="00771349" w:rsidP="006A3FFB">
            <w:pPr>
              <w:spacing w:before="60" w:after="40" w:line="288" w:lineRule="auto"/>
              <w:ind w:firstLine="0"/>
              <w:jc w:val="left"/>
              <w:rPr>
                <w:rFonts w:cs="Tahoma"/>
                <w:sz w:val="20"/>
                <w:szCs w:val="20"/>
              </w:rPr>
            </w:pPr>
            <w:r w:rsidRPr="00821AF6">
              <w:rPr>
                <w:rFonts w:cs="Tahoma"/>
                <w:sz w:val="20"/>
                <w:szCs w:val="20"/>
              </w:rPr>
              <w:t>Narzuty na wynagrodzenia</w:t>
            </w:r>
          </w:p>
        </w:tc>
        <w:tc>
          <w:tcPr>
            <w:tcW w:w="3268" w:type="dxa"/>
            <w:tcBorders>
              <w:top w:val="single" w:sz="4" w:space="0" w:color="auto"/>
              <w:left w:val="single" w:sz="4" w:space="0" w:color="auto"/>
              <w:bottom w:val="single" w:sz="4" w:space="0" w:color="auto"/>
              <w:right w:val="single" w:sz="4" w:space="0" w:color="auto"/>
            </w:tcBorders>
            <w:vAlign w:val="center"/>
          </w:tcPr>
          <w:p w14:paraId="7070628F" w14:textId="20759BF5" w:rsidR="00771349" w:rsidRPr="006A3FFB" w:rsidRDefault="006A3FFB" w:rsidP="006A3FFB">
            <w:pPr>
              <w:spacing w:before="60" w:after="40" w:line="288" w:lineRule="auto"/>
              <w:ind w:right="-6" w:firstLine="0"/>
              <w:jc w:val="right"/>
              <w:rPr>
                <w:rFonts w:cs="Tahoma"/>
                <w:sz w:val="20"/>
                <w:szCs w:val="20"/>
              </w:rPr>
            </w:pPr>
            <w:r>
              <w:rPr>
                <w:rFonts w:cs="Tahoma"/>
                <w:sz w:val="20"/>
                <w:szCs w:val="20"/>
              </w:rPr>
              <w:t>10 070,9</w:t>
            </w:r>
          </w:p>
        </w:tc>
      </w:tr>
      <w:tr w:rsidR="00771349" w:rsidRPr="00821AF6" w14:paraId="78C8591B" w14:textId="77777777" w:rsidTr="008B1906">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4964746F" w14:textId="263F3022" w:rsidR="00771349" w:rsidRPr="00821AF6" w:rsidRDefault="00771349" w:rsidP="006A3FFB">
            <w:pPr>
              <w:spacing w:before="60" w:after="40" w:line="288" w:lineRule="auto"/>
              <w:ind w:firstLine="0"/>
              <w:jc w:val="left"/>
              <w:rPr>
                <w:rFonts w:cs="Tahoma"/>
                <w:sz w:val="20"/>
                <w:szCs w:val="20"/>
              </w:rPr>
            </w:pPr>
            <w:r w:rsidRPr="00821AF6">
              <w:rPr>
                <w:rFonts w:cs="Tahoma"/>
                <w:sz w:val="20"/>
                <w:szCs w:val="20"/>
              </w:rPr>
              <w:t>Podatki i opłaty</w:t>
            </w:r>
          </w:p>
        </w:tc>
        <w:tc>
          <w:tcPr>
            <w:tcW w:w="3268" w:type="dxa"/>
            <w:tcBorders>
              <w:top w:val="single" w:sz="4" w:space="0" w:color="auto"/>
              <w:left w:val="single" w:sz="4" w:space="0" w:color="auto"/>
              <w:bottom w:val="single" w:sz="4" w:space="0" w:color="auto"/>
              <w:right w:val="single" w:sz="4" w:space="0" w:color="auto"/>
            </w:tcBorders>
            <w:vAlign w:val="center"/>
          </w:tcPr>
          <w:p w14:paraId="2D0A2208" w14:textId="1C1B3888" w:rsidR="00771349" w:rsidRPr="006A3FFB" w:rsidRDefault="00995669" w:rsidP="006A3FFB">
            <w:pPr>
              <w:spacing w:before="60" w:after="40" w:line="288" w:lineRule="auto"/>
              <w:ind w:right="-6" w:firstLine="0"/>
              <w:jc w:val="right"/>
              <w:rPr>
                <w:rFonts w:cs="Tahoma"/>
                <w:sz w:val="20"/>
                <w:szCs w:val="20"/>
              </w:rPr>
            </w:pPr>
            <w:r>
              <w:rPr>
                <w:rFonts w:cs="Tahoma"/>
                <w:sz w:val="20"/>
                <w:szCs w:val="20"/>
              </w:rPr>
              <w:t>922,0</w:t>
            </w:r>
          </w:p>
        </w:tc>
      </w:tr>
      <w:tr w:rsidR="00771349" w:rsidRPr="00821AF6" w14:paraId="218668F9" w14:textId="77777777" w:rsidTr="008B1906">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5B1F2A97" w14:textId="38335CEC" w:rsidR="00771349" w:rsidRPr="00821AF6" w:rsidRDefault="00771349" w:rsidP="006A3FFB">
            <w:pPr>
              <w:spacing w:before="60" w:after="40" w:line="288" w:lineRule="auto"/>
              <w:ind w:firstLine="0"/>
              <w:jc w:val="left"/>
              <w:rPr>
                <w:rFonts w:cs="Tahoma"/>
                <w:sz w:val="20"/>
                <w:szCs w:val="20"/>
              </w:rPr>
            </w:pPr>
            <w:r>
              <w:rPr>
                <w:rFonts w:cs="Tahoma"/>
                <w:sz w:val="20"/>
                <w:szCs w:val="20"/>
              </w:rPr>
              <w:t>Ubezpieczenia</w:t>
            </w:r>
          </w:p>
        </w:tc>
        <w:tc>
          <w:tcPr>
            <w:tcW w:w="3268" w:type="dxa"/>
            <w:tcBorders>
              <w:top w:val="single" w:sz="4" w:space="0" w:color="auto"/>
              <w:left w:val="single" w:sz="4" w:space="0" w:color="auto"/>
              <w:bottom w:val="single" w:sz="4" w:space="0" w:color="auto"/>
              <w:right w:val="single" w:sz="4" w:space="0" w:color="auto"/>
            </w:tcBorders>
            <w:vAlign w:val="center"/>
          </w:tcPr>
          <w:p w14:paraId="55B1D006" w14:textId="3E7E68CF" w:rsidR="00771349" w:rsidRPr="006A3FFB" w:rsidRDefault="00995669" w:rsidP="006A3FFB">
            <w:pPr>
              <w:spacing w:before="60" w:after="40" w:line="288" w:lineRule="auto"/>
              <w:ind w:right="-6" w:firstLine="0"/>
              <w:jc w:val="right"/>
              <w:rPr>
                <w:rFonts w:cs="Tahoma"/>
                <w:sz w:val="20"/>
                <w:szCs w:val="20"/>
              </w:rPr>
            </w:pPr>
            <w:r>
              <w:rPr>
                <w:rFonts w:cs="Tahoma"/>
                <w:sz w:val="20"/>
                <w:szCs w:val="20"/>
              </w:rPr>
              <w:t>1 263,3</w:t>
            </w:r>
          </w:p>
        </w:tc>
      </w:tr>
      <w:tr w:rsidR="00771349" w:rsidRPr="00821AF6" w14:paraId="2D55E1CE" w14:textId="77777777" w:rsidTr="008B1906">
        <w:trPr>
          <w:cantSplit/>
          <w:jc w:val="center"/>
        </w:trPr>
        <w:tc>
          <w:tcPr>
            <w:tcW w:w="5804" w:type="dxa"/>
            <w:tcBorders>
              <w:top w:val="single" w:sz="4" w:space="0" w:color="auto"/>
              <w:left w:val="single" w:sz="4" w:space="0" w:color="auto"/>
              <w:bottom w:val="single" w:sz="4" w:space="0" w:color="auto"/>
              <w:right w:val="single" w:sz="4" w:space="0" w:color="auto"/>
            </w:tcBorders>
            <w:vAlign w:val="center"/>
          </w:tcPr>
          <w:p w14:paraId="522654D9" w14:textId="755BA910" w:rsidR="00771349" w:rsidRPr="00821AF6" w:rsidRDefault="00771349" w:rsidP="006A3FFB">
            <w:pPr>
              <w:spacing w:before="60" w:after="40" w:line="288" w:lineRule="auto"/>
              <w:ind w:firstLine="0"/>
              <w:jc w:val="left"/>
              <w:rPr>
                <w:rFonts w:cs="Tahoma"/>
                <w:sz w:val="20"/>
                <w:szCs w:val="20"/>
              </w:rPr>
            </w:pPr>
            <w:r w:rsidRPr="00821AF6">
              <w:rPr>
                <w:rFonts w:cs="Tahoma"/>
                <w:sz w:val="20"/>
                <w:szCs w:val="20"/>
              </w:rPr>
              <w:t>Pozostałe koszty</w:t>
            </w:r>
          </w:p>
        </w:tc>
        <w:tc>
          <w:tcPr>
            <w:tcW w:w="3268" w:type="dxa"/>
            <w:tcBorders>
              <w:top w:val="single" w:sz="4" w:space="0" w:color="auto"/>
              <w:left w:val="single" w:sz="4" w:space="0" w:color="auto"/>
              <w:bottom w:val="single" w:sz="4" w:space="0" w:color="auto"/>
              <w:right w:val="single" w:sz="4" w:space="0" w:color="auto"/>
            </w:tcBorders>
            <w:vAlign w:val="center"/>
          </w:tcPr>
          <w:p w14:paraId="2391D99B" w14:textId="1287979B" w:rsidR="00771349" w:rsidRPr="006A3FFB" w:rsidRDefault="00995669" w:rsidP="006A3FFB">
            <w:pPr>
              <w:spacing w:before="60" w:after="40" w:line="288" w:lineRule="auto"/>
              <w:ind w:right="-6" w:firstLine="0"/>
              <w:jc w:val="right"/>
              <w:rPr>
                <w:rFonts w:cs="Tahoma"/>
                <w:sz w:val="20"/>
                <w:szCs w:val="20"/>
              </w:rPr>
            </w:pPr>
            <w:r>
              <w:rPr>
                <w:rFonts w:cs="Tahoma"/>
                <w:sz w:val="20"/>
                <w:szCs w:val="20"/>
              </w:rPr>
              <w:t>43,2</w:t>
            </w:r>
          </w:p>
        </w:tc>
      </w:tr>
      <w:tr w:rsidR="00771349" w:rsidRPr="00821AF6" w14:paraId="5FA6639B" w14:textId="77777777" w:rsidTr="008B1906">
        <w:trPr>
          <w:cantSplit/>
          <w:jc w:val="center"/>
        </w:trPr>
        <w:tc>
          <w:tcPr>
            <w:tcW w:w="58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EA422E" w14:textId="3E0F074E" w:rsidR="00771349" w:rsidRPr="00821AF6" w:rsidRDefault="00771349" w:rsidP="006A3FFB">
            <w:pPr>
              <w:spacing w:before="60" w:after="40" w:line="288" w:lineRule="auto"/>
              <w:ind w:firstLine="0"/>
              <w:jc w:val="left"/>
              <w:rPr>
                <w:rFonts w:cs="Tahoma"/>
                <w:sz w:val="20"/>
                <w:szCs w:val="20"/>
              </w:rPr>
            </w:pPr>
            <w:r w:rsidRPr="00821AF6">
              <w:rPr>
                <w:rFonts w:cs="Tahoma"/>
                <w:b/>
                <w:sz w:val="20"/>
                <w:szCs w:val="20"/>
              </w:rPr>
              <w:t>Razem koszty eksploatacji</w:t>
            </w:r>
          </w:p>
        </w:tc>
        <w:tc>
          <w:tcPr>
            <w:tcW w:w="3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9171BF" w14:textId="37D1C4AE" w:rsidR="00771349" w:rsidRPr="00995669" w:rsidRDefault="00995669" w:rsidP="006A3FFB">
            <w:pPr>
              <w:spacing w:before="60" w:after="40" w:line="288" w:lineRule="auto"/>
              <w:ind w:firstLine="0"/>
              <w:jc w:val="right"/>
              <w:rPr>
                <w:rFonts w:cs="Tahoma"/>
                <w:b/>
                <w:sz w:val="20"/>
                <w:szCs w:val="20"/>
              </w:rPr>
            </w:pPr>
            <w:r>
              <w:rPr>
                <w:rFonts w:cs="Tahoma"/>
                <w:b/>
                <w:sz w:val="20"/>
                <w:szCs w:val="20"/>
              </w:rPr>
              <w:t>82 132,8</w:t>
            </w:r>
          </w:p>
        </w:tc>
      </w:tr>
    </w:tbl>
    <w:p w14:paraId="1E1A4E01" w14:textId="6273D825" w:rsidR="000C512A" w:rsidRPr="00821AF6" w:rsidRDefault="000C512A" w:rsidP="006A3FFB">
      <w:pPr>
        <w:spacing w:before="120" w:after="240"/>
        <w:ind w:firstLine="0"/>
        <w:rPr>
          <w:rFonts w:cs="Tahoma"/>
          <w:sz w:val="20"/>
          <w:szCs w:val="20"/>
        </w:rPr>
      </w:pPr>
      <w:r w:rsidRPr="00821AF6">
        <w:rPr>
          <w:rFonts w:cs="Tahoma"/>
          <w:sz w:val="20"/>
          <w:szCs w:val="20"/>
        </w:rPr>
        <w:t xml:space="preserve">Źródło: </w:t>
      </w:r>
      <w:r w:rsidR="007F019A">
        <w:rPr>
          <w:rFonts w:cs="Tahoma"/>
          <w:sz w:val="20"/>
          <w:szCs w:val="20"/>
        </w:rPr>
        <w:t>d</w:t>
      </w:r>
      <w:r w:rsidR="00AC2342">
        <w:rPr>
          <w:rFonts w:cs="Tahoma"/>
          <w:sz w:val="20"/>
          <w:szCs w:val="20"/>
        </w:rPr>
        <w:t xml:space="preserve">ane </w:t>
      </w:r>
      <w:r w:rsidR="00C73F5E">
        <w:rPr>
          <w:rFonts w:cs="Tahoma"/>
          <w:sz w:val="20"/>
          <w:szCs w:val="20"/>
        </w:rPr>
        <w:t>MPK</w:t>
      </w:r>
      <w:r w:rsidR="006A3FFB">
        <w:rPr>
          <w:rFonts w:cs="Tahoma"/>
          <w:sz w:val="20"/>
          <w:szCs w:val="20"/>
        </w:rPr>
        <w:t>-Rzeszów</w:t>
      </w:r>
      <w:r w:rsidR="00C73F5E">
        <w:rPr>
          <w:rFonts w:cs="Tahoma"/>
          <w:sz w:val="20"/>
          <w:szCs w:val="20"/>
        </w:rPr>
        <w:t xml:space="preserve"> </w:t>
      </w:r>
      <w:r w:rsidR="00AC2342">
        <w:rPr>
          <w:rFonts w:cs="Tahoma"/>
          <w:sz w:val="20"/>
          <w:szCs w:val="20"/>
        </w:rPr>
        <w:t>sp. z o.o.</w:t>
      </w:r>
    </w:p>
    <w:p w14:paraId="24EB3894" w14:textId="0DB45C3B" w:rsidR="00FB15F3" w:rsidRPr="00821AF6" w:rsidRDefault="00FB15F3" w:rsidP="00C06367">
      <w:pPr>
        <w:rPr>
          <w:rFonts w:cs="Tahoma"/>
          <w:color w:val="000000"/>
        </w:rPr>
      </w:pPr>
      <w:r w:rsidRPr="00821AF6">
        <w:rPr>
          <w:rFonts w:cs="Tahoma"/>
          <w:color w:val="000000"/>
        </w:rPr>
        <w:t>Inwestycje odtworzeniowe ujęto na podstawie przewidywanych okresów użytkowania autobusów. W przypadku autobusów elektrycznych wzięto również pod uwagę wymianę baterii po 8 latach eksploatacji.</w:t>
      </w:r>
    </w:p>
    <w:p w14:paraId="1474F3ED" w14:textId="77777777" w:rsidR="00C94484" w:rsidRPr="00821AF6" w:rsidRDefault="00C94484" w:rsidP="00C06367">
      <w:pPr>
        <w:rPr>
          <w:rFonts w:cs="Tahoma"/>
          <w:color w:val="000000"/>
        </w:rPr>
      </w:pPr>
      <w:r w:rsidRPr="00821AF6">
        <w:rPr>
          <w:rFonts w:cs="Tahoma"/>
          <w:color w:val="000000"/>
        </w:rPr>
        <w:lastRenderedPageBreak/>
        <w:t>W analizie finansowej nie ujęto ewentualnych kosztów finansowania zakupu jednostek taborowych.</w:t>
      </w:r>
    </w:p>
    <w:p w14:paraId="1BF4071C" w14:textId="4B1EEBFC" w:rsidR="000C512A" w:rsidRPr="00821AF6" w:rsidRDefault="000C512A" w:rsidP="00C06367">
      <w:pPr>
        <w:pStyle w:val="Legenda"/>
        <w:keepNext/>
        <w:spacing w:before="240" w:after="0"/>
        <w:ind w:firstLine="0"/>
        <w:jc w:val="left"/>
        <w:rPr>
          <w:color w:val="000000"/>
          <w:sz w:val="22"/>
          <w:szCs w:val="22"/>
        </w:rPr>
      </w:pPr>
      <w:r w:rsidRPr="00821AF6">
        <w:rPr>
          <w:color w:val="000000"/>
          <w:sz w:val="22"/>
          <w:szCs w:val="22"/>
        </w:rPr>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12</w:t>
      </w:r>
      <w:r w:rsidR="00B60ABE" w:rsidRPr="00821AF6">
        <w:rPr>
          <w:color w:val="000000"/>
          <w:sz w:val="22"/>
          <w:szCs w:val="22"/>
        </w:rPr>
        <w:fldChar w:fldCharType="end"/>
      </w:r>
      <w:r w:rsidRPr="00821AF6">
        <w:rPr>
          <w:color w:val="000000"/>
          <w:sz w:val="22"/>
          <w:szCs w:val="22"/>
        </w:rPr>
        <w:t>. Wskaźniki kosztów eksploatacyjnych przyjęte do analizy</w:t>
      </w:r>
    </w:p>
    <w:tbl>
      <w:tblPr>
        <w:tblpPr w:leftFromText="141" w:rightFromText="141" w:vertAnchor="text" w:tblpY="1"/>
        <w:tblOverlap w:val="nev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812"/>
        <w:gridCol w:w="1417"/>
        <w:gridCol w:w="1701"/>
        <w:gridCol w:w="1142"/>
      </w:tblGrid>
      <w:tr w:rsidR="00596BE2" w:rsidRPr="00821AF6" w14:paraId="18E2090A" w14:textId="77777777" w:rsidTr="00145DBA">
        <w:trPr>
          <w:cantSplit/>
          <w:tblHeader/>
        </w:trPr>
        <w:tc>
          <w:tcPr>
            <w:tcW w:w="4812" w:type="dxa"/>
            <w:shd w:val="clear" w:color="auto" w:fill="FFFF99"/>
            <w:vAlign w:val="center"/>
          </w:tcPr>
          <w:p w14:paraId="496706D1" w14:textId="77777777" w:rsidR="00596BE2" w:rsidRPr="00821AF6" w:rsidRDefault="00596BE2" w:rsidP="00C06367">
            <w:pPr>
              <w:keepNext/>
              <w:spacing w:before="60" w:after="40" w:line="288" w:lineRule="auto"/>
              <w:ind w:right="57" w:firstLine="0"/>
              <w:jc w:val="center"/>
              <w:rPr>
                <w:rFonts w:cs="Tahoma"/>
                <w:b/>
                <w:sz w:val="20"/>
                <w:szCs w:val="20"/>
              </w:rPr>
            </w:pPr>
            <w:r w:rsidRPr="00821AF6">
              <w:rPr>
                <w:rFonts w:cs="Tahoma"/>
                <w:b/>
                <w:sz w:val="20"/>
                <w:szCs w:val="20"/>
              </w:rPr>
              <w:t>Kategoria</w:t>
            </w:r>
          </w:p>
        </w:tc>
        <w:tc>
          <w:tcPr>
            <w:tcW w:w="1417" w:type="dxa"/>
            <w:shd w:val="clear" w:color="auto" w:fill="FFFF99"/>
            <w:vAlign w:val="center"/>
          </w:tcPr>
          <w:p w14:paraId="107D6A41" w14:textId="77777777" w:rsidR="00596BE2" w:rsidRPr="00821AF6" w:rsidRDefault="00596BE2" w:rsidP="00C06367">
            <w:pPr>
              <w:keepNext/>
              <w:spacing w:before="60" w:after="40" w:line="288" w:lineRule="auto"/>
              <w:ind w:right="57" w:firstLine="0"/>
              <w:jc w:val="center"/>
              <w:rPr>
                <w:rFonts w:cs="Tahoma"/>
                <w:b/>
                <w:sz w:val="20"/>
                <w:szCs w:val="20"/>
              </w:rPr>
            </w:pPr>
            <w:r w:rsidRPr="00821AF6">
              <w:rPr>
                <w:rFonts w:cs="Tahoma"/>
                <w:b/>
                <w:sz w:val="20"/>
                <w:szCs w:val="20"/>
              </w:rPr>
              <w:t>Jednostka</w:t>
            </w:r>
          </w:p>
        </w:tc>
        <w:tc>
          <w:tcPr>
            <w:tcW w:w="1701" w:type="dxa"/>
            <w:shd w:val="clear" w:color="auto" w:fill="FFFF99"/>
            <w:vAlign w:val="center"/>
          </w:tcPr>
          <w:p w14:paraId="3661E96D" w14:textId="77777777" w:rsidR="00596BE2" w:rsidRPr="00821AF6" w:rsidRDefault="00596BE2" w:rsidP="00C06367">
            <w:pPr>
              <w:keepNext/>
              <w:spacing w:before="60" w:after="40" w:line="288" w:lineRule="auto"/>
              <w:ind w:right="57" w:firstLine="0"/>
              <w:jc w:val="center"/>
              <w:rPr>
                <w:rFonts w:cs="Tahoma"/>
                <w:b/>
                <w:sz w:val="20"/>
                <w:szCs w:val="20"/>
              </w:rPr>
            </w:pPr>
            <w:r w:rsidRPr="00821AF6">
              <w:rPr>
                <w:rFonts w:cs="Tahoma"/>
                <w:b/>
                <w:sz w:val="20"/>
                <w:szCs w:val="20"/>
              </w:rPr>
              <w:t>Podstawa</w:t>
            </w:r>
          </w:p>
        </w:tc>
        <w:tc>
          <w:tcPr>
            <w:tcW w:w="1142" w:type="dxa"/>
            <w:shd w:val="clear" w:color="auto" w:fill="FFFF99"/>
            <w:vAlign w:val="center"/>
          </w:tcPr>
          <w:p w14:paraId="6544BBB5" w14:textId="77777777" w:rsidR="00596BE2" w:rsidRPr="00821AF6" w:rsidRDefault="00596BE2" w:rsidP="00C06367">
            <w:pPr>
              <w:keepNext/>
              <w:spacing w:before="60" w:after="40" w:line="288" w:lineRule="auto"/>
              <w:ind w:right="57" w:firstLine="0"/>
              <w:jc w:val="center"/>
              <w:rPr>
                <w:rFonts w:cs="Tahoma"/>
                <w:b/>
                <w:sz w:val="20"/>
                <w:szCs w:val="20"/>
              </w:rPr>
            </w:pPr>
            <w:r w:rsidRPr="00821AF6">
              <w:rPr>
                <w:rFonts w:cs="Tahoma"/>
                <w:b/>
                <w:sz w:val="20"/>
                <w:szCs w:val="20"/>
              </w:rPr>
              <w:t>Wartość</w:t>
            </w:r>
          </w:p>
        </w:tc>
      </w:tr>
      <w:tr w:rsidR="00596BE2" w:rsidRPr="00821AF6" w14:paraId="4BEF41F8" w14:textId="77777777" w:rsidTr="00145DBA">
        <w:trPr>
          <w:cantSplit/>
        </w:trPr>
        <w:tc>
          <w:tcPr>
            <w:tcW w:w="4812" w:type="dxa"/>
            <w:tcBorders>
              <w:top w:val="single" w:sz="4" w:space="0" w:color="auto"/>
              <w:left w:val="single" w:sz="4" w:space="0" w:color="auto"/>
              <w:bottom w:val="single" w:sz="4" w:space="0" w:color="auto"/>
              <w:right w:val="single" w:sz="4" w:space="0" w:color="auto"/>
            </w:tcBorders>
            <w:vAlign w:val="center"/>
          </w:tcPr>
          <w:p w14:paraId="4DA4FC87" w14:textId="77777777" w:rsidR="00740DAA" w:rsidRDefault="00596BE2" w:rsidP="00740DAA">
            <w:pPr>
              <w:keepNext/>
              <w:spacing w:before="60" w:after="40" w:line="288" w:lineRule="auto"/>
              <w:ind w:firstLine="0"/>
              <w:jc w:val="left"/>
              <w:rPr>
                <w:rFonts w:cs="Tahoma"/>
                <w:sz w:val="20"/>
                <w:szCs w:val="20"/>
              </w:rPr>
            </w:pPr>
            <w:r w:rsidRPr="00821AF6">
              <w:rPr>
                <w:rFonts w:cs="Tahoma"/>
                <w:sz w:val="20"/>
                <w:szCs w:val="20"/>
              </w:rPr>
              <w:t xml:space="preserve">Średnioroczne spalanie autobusu z silnikiem </w:t>
            </w:r>
            <w:r w:rsidR="00835504" w:rsidRPr="00821AF6">
              <w:rPr>
                <w:rFonts w:cs="Tahoma"/>
                <w:sz w:val="20"/>
                <w:szCs w:val="20"/>
              </w:rPr>
              <w:t>na olej napędowy</w:t>
            </w:r>
            <w:r w:rsidR="00A54002" w:rsidRPr="00821AF6">
              <w:rPr>
                <w:rFonts w:cs="Tahoma"/>
                <w:sz w:val="20"/>
                <w:szCs w:val="20"/>
              </w:rPr>
              <w:t xml:space="preserve"> o </w:t>
            </w:r>
            <w:r w:rsidR="002E23F6">
              <w:rPr>
                <w:rFonts w:cs="Tahoma"/>
                <w:sz w:val="20"/>
                <w:szCs w:val="20"/>
              </w:rPr>
              <w:t>normie czystości spalin</w:t>
            </w:r>
            <w:r w:rsidR="00A54002" w:rsidRPr="00821AF6">
              <w:rPr>
                <w:rFonts w:cs="Tahoma"/>
                <w:sz w:val="20"/>
                <w:szCs w:val="20"/>
              </w:rPr>
              <w:t>:</w:t>
            </w:r>
            <w:r w:rsidR="00A54002" w:rsidRPr="00821AF6">
              <w:rPr>
                <w:rFonts w:cs="Tahoma"/>
                <w:sz w:val="20"/>
                <w:szCs w:val="20"/>
              </w:rPr>
              <w:br/>
            </w:r>
            <w:r w:rsidR="00A54002" w:rsidRPr="00821AF6">
              <w:rPr>
                <w:rFonts w:cs="Tahoma"/>
                <w:sz w:val="20"/>
                <w:szCs w:val="20"/>
              </w:rPr>
              <w:softHyphen/>
            </w:r>
            <w:r w:rsidR="00751507" w:rsidRPr="00821AF6">
              <w:rPr>
                <w:rFonts w:cs="Tahoma"/>
                <w:sz w:val="20"/>
                <w:szCs w:val="20"/>
              </w:rPr>
              <w:t>–</w:t>
            </w:r>
            <w:r w:rsidR="00A54002" w:rsidRPr="00821AF6">
              <w:rPr>
                <w:rFonts w:cs="Tahoma"/>
                <w:sz w:val="20"/>
                <w:szCs w:val="20"/>
              </w:rPr>
              <w:t xml:space="preserve"> </w:t>
            </w:r>
            <w:r w:rsidR="00C06367">
              <w:rPr>
                <w:rFonts w:cs="Tahoma"/>
                <w:sz w:val="20"/>
                <w:szCs w:val="20"/>
              </w:rPr>
              <w:t>EURO II</w:t>
            </w:r>
            <w:r w:rsidR="0047292B">
              <w:rPr>
                <w:rFonts w:cs="Tahoma"/>
                <w:sz w:val="20"/>
                <w:szCs w:val="20"/>
              </w:rPr>
              <w:t xml:space="preserve"> – </w:t>
            </w:r>
            <w:r w:rsidR="00740DAA">
              <w:rPr>
                <w:rFonts w:cs="Tahoma"/>
                <w:sz w:val="20"/>
                <w:szCs w:val="20"/>
              </w:rPr>
              <w:t xml:space="preserve">do </w:t>
            </w:r>
            <w:r w:rsidR="0047292B">
              <w:rPr>
                <w:rFonts w:cs="Tahoma"/>
                <w:sz w:val="20"/>
                <w:szCs w:val="20"/>
              </w:rPr>
              <w:t>1</w:t>
            </w:r>
            <w:r w:rsidR="00740DAA">
              <w:rPr>
                <w:rFonts w:cs="Tahoma"/>
                <w:sz w:val="20"/>
                <w:szCs w:val="20"/>
              </w:rPr>
              <w:t>2</w:t>
            </w:r>
            <w:r w:rsidR="0047292B">
              <w:rPr>
                <w:rFonts w:cs="Tahoma"/>
                <w:sz w:val="20"/>
                <w:szCs w:val="20"/>
              </w:rPr>
              <w:t xml:space="preserve"> m</w:t>
            </w:r>
            <w:r w:rsidR="00AD2135" w:rsidRPr="00821AF6">
              <w:rPr>
                <w:rFonts w:cs="Tahoma"/>
                <w:sz w:val="20"/>
                <w:szCs w:val="20"/>
              </w:rPr>
              <w:br/>
            </w:r>
            <w:r w:rsidR="00AD2135" w:rsidRPr="00821AF6">
              <w:rPr>
                <w:rFonts w:cs="Tahoma"/>
                <w:sz w:val="20"/>
                <w:szCs w:val="20"/>
              </w:rPr>
              <w:softHyphen/>
            </w:r>
            <w:r w:rsidR="00751507" w:rsidRPr="00821AF6">
              <w:rPr>
                <w:rFonts w:cs="Tahoma"/>
                <w:sz w:val="20"/>
                <w:szCs w:val="20"/>
              </w:rPr>
              <w:t xml:space="preserve">– </w:t>
            </w:r>
            <w:r w:rsidR="00740DAA">
              <w:rPr>
                <w:rFonts w:cs="Tahoma"/>
                <w:sz w:val="20"/>
                <w:szCs w:val="20"/>
              </w:rPr>
              <w:t>EURO III</w:t>
            </w:r>
            <w:r w:rsidR="0047292B">
              <w:rPr>
                <w:rFonts w:cs="Tahoma"/>
                <w:sz w:val="20"/>
                <w:szCs w:val="20"/>
              </w:rPr>
              <w:t xml:space="preserve"> – </w:t>
            </w:r>
            <w:r w:rsidR="00740DAA">
              <w:rPr>
                <w:rFonts w:cs="Tahoma"/>
                <w:sz w:val="20"/>
                <w:szCs w:val="20"/>
              </w:rPr>
              <w:t>do</w:t>
            </w:r>
            <w:r w:rsidR="0047292B">
              <w:rPr>
                <w:rFonts w:cs="Tahoma"/>
                <w:sz w:val="20"/>
                <w:szCs w:val="20"/>
              </w:rPr>
              <w:t xml:space="preserve"> 12 m</w:t>
            </w:r>
          </w:p>
          <w:p w14:paraId="2E6D7EE0" w14:textId="770D42BE" w:rsidR="00596BE2" w:rsidRPr="00821AF6" w:rsidRDefault="00740DAA" w:rsidP="00740DAA">
            <w:pPr>
              <w:keepNext/>
              <w:spacing w:before="60" w:after="40" w:line="288" w:lineRule="auto"/>
              <w:ind w:firstLine="0"/>
              <w:jc w:val="left"/>
              <w:rPr>
                <w:rFonts w:cs="Tahoma"/>
                <w:sz w:val="20"/>
                <w:szCs w:val="20"/>
              </w:rPr>
            </w:pPr>
            <w:r>
              <w:rPr>
                <w:rFonts w:cs="Tahoma"/>
                <w:sz w:val="20"/>
                <w:szCs w:val="20"/>
              </w:rPr>
              <w:softHyphen/>
              <w:t>– EURO V – do 12 m</w:t>
            </w:r>
            <w:r w:rsidR="0047292B">
              <w:rPr>
                <w:rFonts w:cs="Tahoma"/>
                <w:sz w:val="20"/>
                <w:szCs w:val="20"/>
              </w:rPr>
              <w:br/>
            </w:r>
            <w:r w:rsidR="0047292B" w:rsidRPr="00821AF6">
              <w:rPr>
                <w:rFonts w:cs="Tahoma"/>
                <w:sz w:val="20"/>
                <w:szCs w:val="20"/>
              </w:rPr>
              <w:softHyphen/>
              <w:t xml:space="preserve">– </w:t>
            </w:r>
            <w:r>
              <w:rPr>
                <w:rFonts w:cs="Tahoma"/>
                <w:sz w:val="20"/>
                <w:szCs w:val="20"/>
              </w:rPr>
              <w:t>EURO VI – do 12</w:t>
            </w:r>
            <w:r w:rsidR="0047292B">
              <w:rPr>
                <w:rFonts w:cs="Tahoma"/>
                <w:sz w:val="20"/>
                <w:szCs w:val="20"/>
              </w:rPr>
              <w:t xml:space="preserve"> m</w:t>
            </w:r>
            <w:r>
              <w:rPr>
                <w:rFonts w:cs="Tahoma"/>
                <w:sz w:val="20"/>
                <w:szCs w:val="20"/>
              </w:rPr>
              <w:br/>
            </w:r>
            <w:r>
              <w:rPr>
                <w:rFonts w:cs="Tahoma"/>
                <w:sz w:val="20"/>
                <w:szCs w:val="20"/>
              </w:rPr>
              <w:softHyphen/>
              <w:t>– EURO VI – 18 m</w:t>
            </w:r>
            <w:r w:rsidR="0047292B">
              <w:rPr>
                <w:rFonts w:cs="Tahoma"/>
                <w:sz w:val="20"/>
                <w:szCs w:val="20"/>
              </w:rPr>
              <w:br/>
            </w:r>
            <w:r w:rsidR="0047292B" w:rsidRPr="0047292B">
              <w:rPr>
                <w:rFonts w:cs="Tahoma"/>
                <w:sz w:val="20"/>
                <w:szCs w:val="20"/>
              </w:rPr>
              <w:t>Średnioroczne spalanie autobusu z silnikiem na</w:t>
            </w:r>
            <w:r w:rsidR="00145DBA">
              <w:rPr>
                <w:rFonts w:cs="Tahoma"/>
                <w:sz w:val="20"/>
                <w:szCs w:val="20"/>
              </w:rPr>
              <w:t> </w:t>
            </w:r>
            <w:r w:rsidR="0047292B">
              <w:rPr>
                <w:rFonts w:cs="Tahoma"/>
                <w:sz w:val="20"/>
                <w:szCs w:val="20"/>
              </w:rPr>
              <w:t>CNG</w:t>
            </w:r>
            <w:r w:rsidR="0047292B" w:rsidRPr="0047292B">
              <w:rPr>
                <w:rFonts w:cs="Tahoma"/>
                <w:sz w:val="20"/>
                <w:szCs w:val="20"/>
              </w:rPr>
              <w:t xml:space="preserve"> </w:t>
            </w:r>
            <w:r w:rsidR="00145DBA">
              <w:rPr>
                <w:rFonts w:cs="Tahoma"/>
                <w:sz w:val="20"/>
                <w:szCs w:val="20"/>
              </w:rPr>
              <w:t xml:space="preserve">o normie </w:t>
            </w:r>
            <w:r w:rsidR="0047292B" w:rsidRPr="0047292B">
              <w:rPr>
                <w:rFonts w:cs="Tahoma"/>
                <w:sz w:val="20"/>
                <w:szCs w:val="20"/>
              </w:rPr>
              <w:t>czystości spalin</w:t>
            </w:r>
            <w:r w:rsidR="00145DBA">
              <w:rPr>
                <w:rFonts w:cs="Tahoma"/>
                <w:sz w:val="20"/>
                <w:szCs w:val="20"/>
              </w:rPr>
              <w:t>:</w:t>
            </w:r>
            <w:r w:rsidR="002E23F6">
              <w:rPr>
                <w:rFonts w:cs="Tahoma"/>
                <w:sz w:val="20"/>
                <w:szCs w:val="20"/>
              </w:rPr>
              <w:br/>
            </w:r>
            <w:r w:rsidR="002E23F6">
              <w:rPr>
                <w:rFonts w:cs="Tahoma"/>
                <w:sz w:val="20"/>
                <w:szCs w:val="20"/>
              </w:rPr>
              <w:softHyphen/>
            </w:r>
            <w:r w:rsidR="002E23F6">
              <w:rPr>
                <w:rFonts w:cs="Tahoma"/>
                <w:sz w:val="20"/>
                <w:szCs w:val="20"/>
              </w:rPr>
              <w:softHyphen/>
            </w:r>
            <w:r w:rsidR="00BC6681">
              <w:rPr>
                <w:rFonts w:cs="Tahoma"/>
                <w:sz w:val="20"/>
                <w:szCs w:val="20"/>
              </w:rPr>
              <w:t xml:space="preserve">– </w:t>
            </w:r>
            <w:r>
              <w:rPr>
                <w:rFonts w:cs="Tahoma"/>
                <w:sz w:val="20"/>
                <w:szCs w:val="20"/>
              </w:rPr>
              <w:t xml:space="preserve">EURO III – </w:t>
            </w:r>
            <w:r w:rsidR="0047292B">
              <w:rPr>
                <w:rFonts w:cs="Tahoma"/>
                <w:sz w:val="20"/>
                <w:szCs w:val="20"/>
              </w:rPr>
              <w:t>12 m</w:t>
            </w:r>
            <w:r w:rsidR="0047292B">
              <w:rPr>
                <w:rFonts w:cs="Tahoma"/>
                <w:sz w:val="20"/>
                <w:szCs w:val="20"/>
              </w:rPr>
              <w:br/>
            </w:r>
            <w:r w:rsidR="0047292B">
              <w:rPr>
                <w:rFonts w:cs="Tahoma"/>
                <w:sz w:val="20"/>
                <w:szCs w:val="20"/>
              </w:rPr>
              <w:softHyphen/>
            </w:r>
            <w:r w:rsidR="0047292B">
              <w:rPr>
                <w:rFonts w:cs="Tahoma"/>
                <w:sz w:val="20"/>
                <w:szCs w:val="20"/>
              </w:rPr>
              <w:softHyphen/>
              <w:t xml:space="preserve">– </w:t>
            </w:r>
            <w:r>
              <w:rPr>
                <w:rFonts w:cs="Tahoma"/>
                <w:sz w:val="20"/>
                <w:szCs w:val="20"/>
              </w:rPr>
              <w:t>EURO V – 12 m</w:t>
            </w:r>
            <w:r>
              <w:rPr>
                <w:rFonts w:cs="Tahoma"/>
                <w:sz w:val="20"/>
                <w:szCs w:val="20"/>
              </w:rPr>
              <w:br/>
            </w:r>
            <w:r>
              <w:rPr>
                <w:rFonts w:cs="Tahoma"/>
                <w:sz w:val="20"/>
                <w:szCs w:val="20"/>
              </w:rPr>
              <w:softHyphen/>
            </w:r>
            <w:r>
              <w:rPr>
                <w:rFonts w:cs="Tahoma"/>
                <w:sz w:val="20"/>
                <w:szCs w:val="20"/>
              </w:rPr>
              <w:softHyphen/>
              <w:t>– EURO VI – 12 m</w:t>
            </w:r>
            <w:r>
              <w:rPr>
                <w:rFonts w:cs="Tahoma"/>
                <w:sz w:val="20"/>
                <w:szCs w:val="20"/>
              </w:rPr>
              <w:br/>
            </w:r>
            <w:r>
              <w:rPr>
                <w:rFonts w:cs="Tahoma"/>
                <w:sz w:val="20"/>
                <w:szCs w:val="20"/>
              </w:rPr>
              <w:softHyphen/>
            </w:r>
            <w:r>
              <w:rPr>
                <w:rFonts w:cs="Tahoma"/>
                <w:sz w:val="20"/>
                <w:szCs w:val="20"/>
              </w:rPr>
              <w:softHyphen/>
              <w:t>– EURO V i VI – 18 m</w:t>
            </w:r>
          </w:p>
        </w:tc>
        <w:tc>
          <w:tcPr>
            <w:tcW w:w="1417" w:type="dxa"/>
            <w:tcBorders>
              <w:top w:val="single" w:sz="4" w:space="0" w:color="auto"/>
              <w:left w:val="single" w:sz="4" w:space="0" w:color="auto"/>
              <w:bottom w:val="single" w:sz="4" w:space="0" w:color="auto"/>
              <w:right w:val="single" w:sz="4" w:space="0" w:color="auto"/>
            </w:tcBorders>
            <w:vAlign w:val="center"/>
          </w:tcPr>
          <w:p w14:paraId="6F83D5DF" w14:textId="77777777" w:rsidR="00740DAA" w:rsidRDefault="0047292B" w:rsidP="00740DAA">
            <w:pPr>
              <w:keepNext/>
              <w:spacing w:before="60" w:after="40" w:line="288" w:lineRule="auto"/>
              <w:ind w:firstLine="0"/>
              <w:jc w:val="center"/>
              <w:rPr>
                <w:rFonts w:cs="Tahoma"/>
                <w:sz w:val="20"/>
                <w:szCs w:val="20"/>
              </w:rPr>
            </w:pPr>
            <w:r>
              <w:rPr>
                <w:rFonts w:cs="Tahoma"/>
                <w:sz w:val="20"/>
                <w:szCs w:val="20"/>
              </w:rPr>
              <w:br/>
            </w:r>
            <w:r>
              <w:rPr>
                <w:rFonts w:cs="Tahoma"/>
                <w:sz w:val="20"/>
                <w:szCs w:val="20"/>
              </w:rPr>
              <w:br/>
            </w:r>
            <w:r w:rsidR="00596BE2" w:rsidRPr="00821AF6">
              <w:rPr>
                <w:rFonts w:cs="Tahoma"/>
                <w:sz w:val="20"/>
                <w:szCs w:val="20"/>
              </w:rPr>
              <w:t>dm</w:t>
            </w:r>
            <w:r w:rsidR="00596BE2" w:rsidRPr="00821AF6">
              <w:rPr>
                <w:rFonts w:cs="Tahoma"/>
                <w:sz w:val="20"/>
                <w:szCs w:val="20"/>
                <w:vertAlign w:val="superscript"/>
              </w:rPr>
              <w:t>3</w:t>
            </w:r>
            <w:r w:rsidR="00596BE2" w:rsidRPr="00821AF6">
              <w:rPr>
                <w:rFonts w:cs="Tahoma"/>
                <w:sz w:val="20"/>
                <w:szCs w:val="20"/>
              </w:rPr>
              <w:t>/100 km</w:t>
            </w:r>
            <w:r>
              <w:rPr>
                <w:rFonts w:cs="Tahoma"/>
                <w:sz w:val="20"/>
                <w:szCs w:val="20"/>
              </w:rPr>
              <w:br/>
            </w:r>
            <w:r>
              <w:rPr>
                <w:rFonts w:cs="Tahoma"/>
                <w:sz w:val="20"/>
                <w:szCs w:val="20"/>
              </w:rPr>
              <w:br/>
            </w:r>
            <w:r>
              <w:rPr>
                <w:rFonts w:cs="Tahoma"/>
                <w:sz w:val="20"/>
                <w:szCs w:val="20"/>
              </w:rPr>
              <w:br/>
            </w:r>
            <w:r>
              <w:rPr>
                <w:rFonts w:cs="Tahoma"/>
                <w:sz w:val="20"/>
                <w:szCs w:val="20"/>
              </w:rPr>
              <w:br/>
            </w:r>
            <w:r w:rsidR="00740DAA">
              <w:rPr>
                <w:rFonts w:cs="Tahoma"/>
                <w:sz w:val="20"/>
                <w:szCs w:val="20"/>
              </w:rPr>
              <w:br/>
            </w:r>
            <w:r w:rsidR="00740DAA">
              <w:rPr>
                <w:rFonts w:cs="Tahoma"/>
                <w:sz w:val="20"/>
                <w:szCs w:val="20"/>
              </w:rPr>
              <w:br/>
            </w:r>
            <w:r w:rsidR="00740DAA">
              <w:rPr>
                <w:rFonts w:cs="Tahoma"/>
                <w:sz w:val="20"/>
                <w:szCs w:val="20"/>
              </w:rPr>
              <w:br/>
            </w:r>
          </w:p>
          <w:p w14:paraId="39A92E5E" w14:textId="7D078112" w:rsidR="00740DAA" w:rsidRPr="00821AF6" w:rsidRDefault="00740DAA" w:rsidP="00740DAA">
            <w:pPr>
              <w:keepNext/>
              <w:spacing w:before="60" w:after="40" w:line="288" w:lineRule="auto"/>
              <w:ind w:firstLine="0"/>
              <w:jc w:val="center"/>
              <w:rPr>
                <w:rFonts w:cs="Tahoma"/>
                <w:sz w:val="20"/>
                <w:szCs w:val="20"/>
              </w:rPr>
            </w:pPr>
            <w:r>
              <w:rPr>
                <w:rFonts w:cs="Tahoma"/>
                <w:sz w:val="20"/>
                <w:szCs w:val="20"/>
              </w:rPr>
              <w:br/>
            </w:r>
            <w:r w:rsidR="0047292B">
              <w:rPr>
                <w:rFonts w:cs="Tahoma"/>
                <w:sz w:val="20"/>
                <w:szCs w:val="20"/>
              </w:rPr>
              <w:t>m</w:t>
            </w:r>
            <w:r w:rsidR="0047292B">
              <w:rPr>
                <w:rFonts w:cs="Tahoma"/>
                <w:sz w:val="20"/>
                <w:szCs w:val="20"/>
                <w:vertAlign w:val="superscript"/>
              </w:rPr>
              <w:t>3</w:t>
            </w:r>
            <w:r w:rsidR="0047292B">
              <w:rPr>
                <w:rFonts w:cs="Tahoma"/>
                <w:sz w:val="20"/>
                <w:szCs w:val="20"/>
              </w:rPr>
              <w:t>/100 km</w:t>
            </w:r>
            <w:r w:rsidR="0047292B">
              <w:rPr>
                <w:rFonts w:cs="Tahoma"/>
                <w:sz w:val="20"/>
                <w:szCs w:val="20"/>
              </w:rPr>
              <w:br/>
            </w:r>
          </w:p>
        </w:tc>
        <w:tc>
          <w:tcPr>
            <w:tcW w:w="1701" w:type="dxa"/>
            <w:tcBorders>
              <w:top w:val="single" w:sz="4" w:space="0" w:color="auto"/>
              <w:left w:val="single" w:sz="4" w:space="0" w:color="auto"/>
              <w:bottom w:val="single" w:sz="4" w:space="0" w:color="auto"/>
              <w:right w:val="single" w:sz="4" w:space="0" w:color="auto"/>
            </w:tcBorders>
            <w:vAlign w:val="center"/>
          </w:tcPr>
          <w:p w14:paraId="2A64A191" w14:textId="6C919808" w:rsidR="00596BE2" w:rsidRPr="00821AF6" w:rsidRDefault="00596BE2" w:rsidP="00C06367">
            <w:pPr>
              <w:keepNext/>
              <w:spacing w:before="60" w:after="40" w:line="288" w:lineRule="auto"/>
              <w:ind w:firstLine="0"/>
              <w:jc w:val="center"/>
              <w:rPr>
                <w:rFonts w:cs="Tahoma"/>
                <w:sz w:val="20"/>
                <w:szCs w:val="20"/>
              </w:rPr>
            </w:pPr>
            <w:r w:rsidRPr="00821AF6">
              <w:rPr>
                <w:rFonts w:cs="Tahoma"/>
                <w:sz w:val="20"/>
                <w:szCs w:val="20"/>
              </w:rPr>
              <w:t xml:space="preserve">dane </w:t>
            </w:r>
            <w:r w:rsidR="00C73F5E">
              <w:rPr>
                <w:rFonts w:cs="Tahoma"/>
                <w:sz w:val="20"/>
                <w:szCs w:val="20"/>
              </w:rPr>
              <w:t xml:space="preserve">MPK </w:t>
            </w:r>
          </w:p>
        </w:tc>
        <w:tc>
          <w:tcPr>
            <w:tcW w:w="1142" w:type="dxa"/>
            <w:tcBorders>
              <w:top w:val="single" w:sz="4" w:space="0" w:color="auto"/>
              <w:left w:val="single" w:sz="4" w:space="0" w:color="auto"/>
              <w:bottom w:val="single" w:sz="4" w:space="0" w:color="auto"/>
              <w:right w:val="single" w:sz="4" w:space="0" w:color="auto"/>
            </w:tcBorders>
            <w:vAlign w:val="center"/>
          </w:tcPr>
          <w:p w14:paraId="71971436" w14:textId="51BF327E" w:rsidR="00596BE2" w:rsidRPr="00821AF6" w:rsidRDefault="00BE0813" w:rsidP="00740DAA">
            <w:pPr>
              <w:keepNext/>
              <w:spacing w:before="60" w:after="40" w:line="288" w:lineRule="auto"/>
              <w:ind w:firstLine="0"/>
              <w:jc w:val="right"/>
              <w:rPr>
                <w:rFonts w:cs="Tahoma"/>
                <w:sz w:val="20"/>
                <w:szCs w:val="20"/>
              </w:rPr>
            </w:pPr>
            <w:r>
              <w:rPr>
                <w:rFonts w:cs="Tahoma"/>
                <w:sz w:val="20"/>
                <w:szCs w:val="20"/>
              </w:rPr>
              <w:br/>
            </w:r>
            <w:r w:rsidR="00A54002" w:rsidRPr="00821AF6">
              <w:rPr>
                <w:rFonts w:cs="Tahoma"/>
                <w:sz w:val="20"/>
                <w:szCs w:val="20"/>
              </w:rPr>
              <w:br/>
            </w:r>
            <w:r w:rsidR="00740DAA">
              <w:rPr>
                <w:rFonts w:cs="Tahoma"/>
                <w:sz w:val="20"/>
                <w:szCs w:val="20"/>
              </w:rPr>
              <w:t>41,91</w:t>
            </w:r>
            <w:r w:rsidR="004B2B89" w:rsidRPr="00821AF6">
              <w:rPr>
                <w:rFonts w:cs="Tahoma"/>
                <w:sz w:val="20"/>
                <w:szCs w:val="20"/>
              </w:rPr>
              <w:br/>
            </w:r>
            <w:r w:rsidR="00740DAA">
              <w:rPr>
                <w:rFonts w:cs="Tahoma"/>
                <w:sz w:val="20"/>
                <w:szCs w:val="20"/>
              </w:rPr>
              <w:t>33,15</w:t>
            </w:r>
            <w:r w:rsidR="0047292B">
              <w:rPr>
                <w:rFonts w:cs="Tahoma"/>
                <w:sz w:val="20"/>
                <w:szCs w:val="20"/>
              </w:rPr>
              <w:br/>
              <w:t>49,13</w:t>
            </w:r>
            <w:r w:rsidR="0047292B">
              <w:rPr>
                <w:rFonts w:cs="Tahoma"/>
                <w:sz w:val="20"/>
                <w:szCs w:val="20"/>
              </w:rPr>
              <w:br/>
            </w:r>
            <w:r w:rsidR="00740DAA">
              <w:rPr>
                <w:rFonts w:cs="Tahoma"/>
                <w:sz w:val="20"/>
                <w:szCs w:val="20"/>
              </w:rPr>
              <w:t>42,39</w:t>
            </w:r>
            <w:r w:rsidR="00740DAA">
              <w:rPr>
                <w:rFonts w:cs="Tahoma"/>
                <w:sz w:val="20"/>
                <w:szCs w:val="20"/>
              </w:rPr>
              <w:br/>
              <w:t>43,26</w:t>
            </w:r>
            <w:r w:rsidR="00740DAA">
              <w:rPr>
                <w:rFonts w:cs="Tahoma"/>
                <w:sz w:val="20"/>
                <w:szCs w:val="20"/>
              </w:rPr>
              <w:br/>
              <w:t>59,94</w:t>
            </w:r>
            <w:r w:rsidR="00740DAA">
              <w:rPr>
                <w:rFonts w:cs="Tahoma"/>
                <w:sz w:val="20"/>
                <w:szCs w:val="20"/>
              </w:rPr>
              <w:br/>
            </w:r>
            <w:r w:rsidR="00740DAA">
              <w:rPr>
                <w:rFonts w:cs="Tahoma"/>
                <w:sz w:val="20"/>
                <w:szCs w:val="20"/>
              </w:rPr>
              <w:br/>
            </w:r>
            <w:r w:rsidR="00740DAA">
              <w:rPr>
                <w:rFonts w:cs="Tahoma"/>
                <w:sz w:val="20"/>
                <w:szCs w:val="20"/>
              </w:rPr>
              <w:br/>
              <w:t>59,56</w:t>
            </w:r>
            <w:r w:rsidR="002E23F6">
              <w:rPr>
                <w:rFonts w:cs="Tahoma"/>
                <w:sz w:val="20"/>
                <w:szCs w:val="20"/>
              </w:rPr>
              <w:br/>
            </w:r>
            <w:r w:rsidR="00740DAA">
              <w:rPr>
                <w:rFonts w:cs="Tahoma"/>
                <w:sz w:val="20"/>
                <w:szCs w:val="20"/>
              </w:rPr>
              <w:t>62,75</w:t>
            </w:r>
            <w:r w:rsidR="00740DAA">
              <w:rPr>
                <w:rFonts w:cs="Tahoma"/>
                <w:sz w:val="20"/>
                <w:szCs w:val="20"/>
              </w:rPr>
              <w:br/>
              <w:t>63,04</w:t>
            </w:r>
            <w:r w:rsidR="00740DAA">
              <w:rPr>
                <w:rFonts w:cs="Tahoma"/>
                <w:sz w:val="20"/>
                <w:szCs w:val="20"/>
              </w:rPr>
              <w:br/>
              <w:t>62,75</w:t>
            </w:r>
          </w:p>
        </w:tc>
      </w:tr>
      <w:tr w:rsidR="00835504" w:rsidRPr="00821AF6" w14:paraId="3F113733" w14:textId="77777777" w:rsidTr="00145DBA">
        <w:trPr>
          <w:cantSplit/>
        </w:trPr>
        <w:tc>
          <w:tcPr>
            <w:tcW w:w="4812" w:type="dxa"/>
            <w:tcBorders>
              <w:top w:val="single" w:sz="4" w:space="0" w:color="auto"/>
              <w:left w:val="single" w:sz="4" w:space="0" w:color="auto"/>
              <w:bottom w:val="single" w:sz="4" w:space="0" w:color="auto"/>
              <w:right w:val="single" w:sz="4" w:space="0" w:color="auto"/>
            </w:tcBorders>
            <w:vAlign w:val="center"/>
          </w:tcPr>
          <w:p w14:paraId="3FFC5D17" w14:textId="77777777" w:rsidR="00835504" w:rsidRPr="00821AF6" w:rsidRDefault="00835504" w:rsidP="00C06367">
            <w:pPr>
              <w:keepNext/>
              <w:spacing w:before="60" w:after="40" w:line="288" w:lineRule="auto"/>
              <w:ind w:firstLine="0"/>
              <w:jc w:val="left"/>
              <w:rPr>
                <w:rFonts w:cs="Tahoma"/>
                <w:sz w:val="20"/>
                <w:szCs w:val="20"/>
              </w:rPr>
            </w:pPr>
            <w:r w:rsidRPr="00821AF6">
              <w:rPr>
                <w:rFonts w:cs="Tahoma"/>
                <w:sz w:val="20"/>
                <w:szCs w:val="20"/>
              </w:rPr>
              <w:t xml:space="preserve">Średnia cena oleju napędowego </w:t>
            </w:r>
          </w:p>
        </w:tc>
        <w:tc>
          <w:tcPr>
            <w:tcW w:w="1417" w:type="dxa"/>
            <w:tcBorders>
              <w:top w:val="single" w:sz="4" w:space="0" w:color="auto"/>
              <w:left w:val="single" w:sz="4" w:space="0" w:color="auto"/>
              <w:bottom w:val="single" w:sz="4" w:space="0" w:color="auto"/>
              <w:right w:val="single" w:sz="4" w:space="0" w:color="auto"/>
            </w:tcBorders>
            <w:vAlign w:val="center"/>
          </w:tcPr>
          <w:p w14:paraId="4F8C15CB" w14:textId="77777777" w:rsidR="00835504" w:rsidRPr="00821AF6" w:rsidRDefault="00835504" w:rsidP="00C06367">
            <w:pPr>
              <w:keepNext/>
              <w:spacing w:before="60" w:after="40" w:line="288" w:lineRule="auto"/>
              <w:ind w:firstLine="0"/>
              <w:jc w:val="center"/>
              <w:rPr>
                <w:rFonts w:cs="Tahoma"/>
                <w:sz w:val="20"/>
                <w:szCs w:val="20"/>
              </w:rPr>
            </w:pPr>
            <w:r w:rsidRPr="00821AF6">
              <w:rPr>
                <w:rFonts w:cs="Tahoma"/>
                <w:sz w:val="20"/>
                <w:szCs w:val="20"/>
              </w:rPr>
              <w:t>zł/dm</w:t>
            </w:r>
            <w:r w:rsidRPr="00821AF6">
              <w:rPr>
                <w:rFonts w:cs="Tahoma"/>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4C2CEFCD" w14:textId="52CA1059" w:rsidR="00835504" w:rsidRPr="00821AF6" w:rsidRDefault="00835504" w:rsidP="00C06367">
            <w:pPr>
              <w:keepNext/>
              <w:spacing w:before="60" w:after="40" w:line="288" w:lineRule="auto"/>
              <w:ind w:firstLine="0"/>
              <w:jc w:val="center"/>
              <w:rPr>
                <w:rFonts w:cs="Tahoma"/>
                <w:sz w:val="20"/>
                <w:szCs w:val="20"/>
              </w:rPr>
            </w:pPr>
            <w:r w:rsidRPr="00821AF6">
              <w:rPr>
                <w:rFonts w:cs="Tahoma"/>
                <w:sz w:val="20"/>
                <w:szCs w:val="20"/>
              </w:rPr>
              <w:t xml:space="preserve">dane </w:t>
            </w:r>
            <w:r w:rsidR="00C73F5E">
              <w:rPr>
                <w:rFonts w:cs="Tahoma"/>
                <w:sz w:val="20"/>
                <w:szCs w:val="20"/>
              </w:rPr>
              <w:t xml:space="preserve">MPK </w:t>
            </w:r>
          </w:p>
        </w:tc>
        <w:tc>
          <w:tcPr>
            <w:tcW w:w="1142" w:type="dxa"/>
            <w:tcBorders>
              <w:top w:val="single" w:sz="4" w:space="0" w:color="auto"/>
              <w:left w:val="single" w:sz="4" w:space="0" w:color="auto"/>
              <w:bottom w:val="single" w:sz="4" w:space="0" w:color="auto"/>
              <w:right w:val="single" w:sz="4" w:space="0" w:color="auto"/>
            </w:tcBorders>
            <w:vAlign w:val="center"/>
          </w:tcPr>
          <w:p w14:paraId="72F86A41" w14:textId="0B46DE67" w:rsidR="00835504" w:rsidRPr="00821AF6" w:rsidRDefault="00835504" w:rsidP="00C06367">
            <w:pPr>
              <w:keepNext/>
              <w:spacing w:before="60" w:after="40" w:line="288" w:lineRule="auto"/>
              <w:ind w:firstLine="0"/>
              <w:jc w:val="right"/>
              <w:rPr>
                <w:rFonts w:cs="Tahoma"/>
                <w:sz w:val="20"/>
                <w:szCs w:val="20"/>
              </w:rPr>
            </w:pPr>
            <w:r w:rsidRPr="00821AF6">
              <w:rPr>
                <w:rFonts w:cs="Tahoma"/>
                <w:sz w:val="20"/>
                <w:szCs w:val="20"/>
              </w:rPr>
              <w:t>3,</w:t>
            </w:r>
            <w:r w:rsidR="00C06367">
              <w:rPr>
                <w:rFonts w:cs="Tahoma"/>
                <w:sz w:val="20"/>
                <w:szCs w:val="20"/>
              </w:rPr>
              <w:t>87</w:t>
            </w:r>
          </w:p>
        </w:tc>
      </w:tr>
      <w:tr w:rsidR="00835504" w:rsidRPr="00821AF6" w14:paraId="419EC1E5" w14:textId="77777777" w:rsidTr="00145DBA">
        <w:trPr>
          <w:cantSplit/>
        </w:trPr>
        <w:tc>
          <w:tcPr>
            <w:tcW w:w="4812" w:type="dxa"/>
            <w:tcBorders>
              <w:top w:val="single" w:sz="4" w:space="0" w:color="auto"/>
              <w:left w:val="single" w:sz="4" w:space="0" w:color="auto"/>
              <w:bottom w:val="single" w:sz="4" w:space="0" w:color="auto"/>
              <w:right w:val="single" w:sz="4" w:space="0" w:color="auto"/>
            </w:tcBorders>
            <w:vAlign w:val="center"/>
          </w:tcPr>
          <w:p w14:paraId="3ECA638C" w14:textId="77777777" w:rsidR="00835504" w:rsidRPr="00821AF6" w:rsidRDefault="00835504" w:rsidP="00C06367">
            <w:pPr>
              <w:keepNext/>
              <w:spacing w:before="60" w:after="40" w:line="288" w:lineRule="auto"/>
              <w:ind w:firstLine="0"/>
              <w:jc w:val="left"/>
              <w:rPr>
                <w:rFonts w:cs="Tahoma"/>
                <w:sz w:val="20"/>
                <w:szCs w:val="20"/>
              </w:rPr>
            </w:pPr>
            <w:r w:rsidRPr="00821AF6">
              <w:rPr>
                <w:rFonts w:cs="Tahoma"/>
                <w:sz w:val="20"/>
                <w:szCs w:val="20"/>
              </w:rPr>
              <w:t>Cena energii elektrycznej</w:t>
            </w:r>
          </w:p>
        </w:tc>
        <w:tc>
          <w:tcPr>
            <w:tcW w:w="1417" w:type="dxa"/>
            <w:tcBorders>
              <w:top w:val="single" w:sz="4" w:space="0" w:color="auto"/>
              <w:left w:val="single" w:sz="4" w:space="0" w:color="auto"/>
              <w:bottom w:val="single" w:sz="4" w:space="0" w:color="auto"/>
              <w:right w:val="single" w:sz="4" w:space="0" w:color="auto"/>
            </w:tcBorders>
            <w:vAlign w:val="center"/>
          </w:tcPr>
          <w:p w14:paraId="7559BB5C" w14:textId="77777777" w:rsidR="00835504" w:rsidRPr="00821AF6" w:rsidRDefault="00835504" w:rsidP="00C06367">
            <w:pPr>
              <w:keepNext/>
              <w:spacing w:before="60" w:after="40" w:line="288" w:lineRule="auto"/>
              <w:ind w:firstLine="0"/>
              <w:jc w:val="center"/>
              <w:rPr>
                <w:rFonts w:cs="Tahoma"/>
                <w:sz w:val="20"/>
                <w:szCs w:val="20"/>
              </w:rPr>
            </w:pPr>
            <w:r w:rsidRPr="00821AF6">
              <w:rPr>
                <w:rFonts w:cs="Tahoma"/>
                <w:sz w:val="20"/>
                <w:szCs w:val="20"/>
              </w:rPr>
              <w:t>zł/kWh</w:t>
            </w:r>
          </w:p>
        </w:tc>
        <w:tc>
          <w:tcPr>
            <w:tcW w:w="1701" w:type="dxa"/>
            <w:tcBorders>
              <w:top w:val="single" w:sz="4" w:space="0" w:color="auto"/>
              <w:left w:val="single" w:sz="4" w:space="0" w:color="auto"/>
              <w:bottom w:val="single" w:sz="4" w:space="0" w:color="auto"/>
              <w:right w:val="single" w:sz="4" w:space="0" w:color="auto"/>
            </w:tcBorders>
          </w:tcPr>
          <w:p w14:paraId="0E75BFE5" w14:textId="73BD9FBD" w:rsidR="00835504" w:rsidRPr="00821AF6" w:rsidRDefault="00835504" w:rsidP="00C06367">
            <w:pPr>
              <w:keepNext/>
              <w:spacing w:before="60" w:after="40" w:line="288" w:lineRule="auto"/>
              <w:ind w:firstLine="0"/>
              <w:jc w:val="center"/>
              <w:rPr>
                <w:rFonts w:cs="Tahoma"/>
                <w:sz w:val="20"/>
                <w:szCs w:val="20"/>
              </w:rPr>
            </w:pPr>
            <w:r w:rsidRPr="00821AF6">
              <w:rPr>
                <w:rFonts w:cs="Tahoma"/>
                <w:sz w:val="20"/>
                <w:szCs w:val="20"/>
              </w:rPr>
              <w:t xml:space="preserve">dane </w:t>
            </w:r>
            <w:r w:rsidR="00C73F5E">
              <w:rPr>
                <w:rFonts w:cs="Tahoma"/>
                <w:sz w:val="20"/>
                <w:szCs w:val="20"/>
              </w:rPr>
              <w:t xml:space="preserve">MPK </w:t>
            </w:r>
          </w:p>
        </w:tc>
        <w:tc>
          <w:tcPr>
            <w:tcW w:w="1142" w:type="dxa"/>
            <w:tcBorders>
              <w:top w:val="single" w:sz="4" w:space="0" w:color="auto"/>
              <w:left w:val="single" w:sz="4" w:space="0" w:color="auto"/>
              <w:bottom w:val="single" w:sz="4" w:space="0" w:color="auto"/>
              <w:right w:val="single" w:sz="4" w:space="0" w:color="auto"/>
            </w:tcBorders>
            <w:vAlign w:val="center"/>
          </w:tcPr>
          <w:p w14:paraId="564F7740" w14:textId="77CCDB00" w:rsidR="00835504" w:rsidRPr="00821AF6" w:rsidRDefault="00835504" w:rsidP="00C06367">
            <w:pPr>
              <w:keepNext/>
              <w:spacing w:before="60" w:after="40" w:line="288" w:lineRule="auto"/>
              <w:ind w:firstLine="0"/>
              <w:jc w:val="right"/>
              <w:rPr>
                <w:rFonts w:cs="Tahoma"/>
                <w:sz w:val="20"/>
                <w:szCs w:val="20"/>
              </w:rPr>
            </w:pPr>
            <w:r w:rsidRPr="00821AF6">
              <w:rPr>
                <w:rFonts w:cs="Tahoma"/>
                <w:sz w:val="20"/>
                <w:szCs w:val="20"/>
              </w:rPr>
              <w:t>0,</w:t>
            </w:r>
            <w:r w:rsidR="00C06367">
              <w:rPr>
                <w:rFonts w:cs="Tahoma"/>
                <w:sz w:val="20"/>
                <w:szCs w:val="20"/>
              </w:rPr>
              <w:t>751</w:t>
            </w:r>
          </w:p>
        </w:tc>
      </w:tr>
      <w:tr w:rsidR="00282292" w:rsidRPr="00821AF6" w14:paraId="4365C6F3" w14:textId="77777777" w:rsidTr="00145DBA">
        <w:trPr>
          <w:cantSplit/>
        </w:trPr>
        <w:tc>
          <w:tcPr>
            <w:tcW w:w="4812" w:type="dxa"/>
            <w:tcBorders>
              <w:top w:val="single" w:sz="4" w:space="0" w:color="auto"/>
              <w:left w:val="single" w:sz="4" w:space="0" w:color="auto"/>
              <w:bottom w:val="single" w:sz="4" w:space="0" w:color="auto"/>
              <w:right w:val="single" w:sz="4" w:space="0" w:color="auto"/>
            </w:tcBorders>
            <w:vAlign w:val="center"/>
          </w:tcPr>
          <w:p w14:paraId="3A413872" w14:textId="0618487D" w:rsidR="00282292" w:rsidRPr="00821AF6" w:rsidRDefault="00C06367" w:rsidP="00C06367">
            <w:pPr>
              <w:keepNext/>
              <w:spacing w:before="60" w:after="40" w:line="288" w:lineRule="auto"/>
              <w:ind w:firstLine="0"/>
              <w:jc w:val="left"/>
              <w:rPr>
                <w:rFonts w:cs="Tahoma"/>
                <w:sz w:val="20"/>
                <w:szCs w:val="20"/>
              </w:rPr>
            </w:pPr>
            <w:r>
              <w:rPr>
                <w:rFonts w:cs="Tahoma"/>
                <w:sz w:val="20"/>
                <w:szCs w:val="20"/>
              </w:rPr>
              <w:t>Cena CNG</w:t>
            </w:r>
            <w:r w:rsidR="00282292">
              <w:rPr>
                <w:rFonts w:cs="Tahoma"/>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31F4CDF" w14:textId="4BFBAEE1" w:rsidR="00282292" w:rsidRPr="00282292" w:rsidRDefault="00282292" w:rsidP="00C06367">
            <w:pPr>
              <w:keepNext/>
              <w:spacing w:before="60" w:after="40" w:line="288" w:lineRule="auto"/>
              <w:ind w:firstLine="0"/>
              <w:jc w:val="center"/>
              <w:rPr>
                <w:rFonts w:cs="Tahoma"/>
                <w:sz w:val="20"/>
                <w:szCs w:val="20"/>
                <w:vertAlign w:val="superscript"/>
              </w:rPr>
            </w:pPr>
            <w:r>
              <w:rPr>
                <w:rFonts w:cs="Tahoma"/>
                <w:sz w:val="20"/>
                <w:szCs w:val="20"/>
              </w:rPr>
              <w:t>zł/m</w:t>
            </w:r>
            <w:r>
              <w:rPr>
                <w:rFonts w:cs="Tahoma"/>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12D4F097" w14:textId="397A82C0" w:rsidR="00282292" w:rsidRPr="00821AF6" w:rsidRDefault="00C06367" w:rsidP="00C06367">
            <w:pPr>
              <w:keepNext/>
              <w:spacing w:before="60" w:after="40" w:line="288" w:lineRule="auto"/>
              <w:ind w:firstLine="0"/>
              <w:jc w:val="center"/>
              <w:rPr>
                <w:rFonts w:cs="Tahoma"/>
                <w:sz w:val="20"/>
                <w:szCs w:val="20"/>
              </w:rPr>
            </w:pPr>
            <w:r>
              <w:rPr>
                <w:rFonts w:cs="Tahoma"/>
                <w:sz w:val="20"/>
                <w:szCs w:val="20"/>
              </w:rPr>
              <w:t>D</w:t>
            </w:r>
            <w:r w:rsidR="00282292">
              <w:rPr>
                <w:rFonts w:cs="Tahoma"/>
                <w:sz w:val="20"/>
                <w:szCs w:val="20"/>
              </w:rPr>
              <w:t>ane</w:t>
            </w:r>
            <w:r>
              <w:rPr>
                <w:rFonts w:cs="Tahoma"/>
                <w:sz w:val="20"/>
                <w:szCs w:val="20"/>
              </w:rPr>
              <w:t xml:space="preserve"> </w:t>
            </w:r>
            <w:r w:rsidR="00C73F5E">
              <w:rPr>
                <w:rFonts w:cs="Tahoma"/>
                <w:sz w:val="20"/>
                <w:szCs w:val="20"/>
              </w:rPr>
              <w:t xml:space="preserve">MPK </w:t>
            </w:r>
          </w:p>
        </w:tc>
        <w:tc>
          <w:tcPr>
            <w:tcW w:w="1142" w:type="dxa"/>
            <w:tcBorders>
              <w:top w:val="single" w:sz="4" w:space="0" w:color="auto"/>
              <w:left w:val="single" w:sz="4" w:space="0" w:color="auto"/>
              <w:bottom w:val="single" w:sz="4" w:space="0" w:color="auto"/>
              <w:right w:val="single" w:sz="4" w:space="0" w:color="auto"/>
            </w:tcBorders>
            <w:vAlign w:val="center"/>
          </w:tcPr>
          <w:p w14:paraId="0E1E81C9" w14:textId="4A84E5AE" w:rsidR="00282292" w:rsidRPr="00821AF6" w:rsidRDefault="00282292" w:rsidP="00C06367">
            <w:pPr>
              <w:keepNext/>
              <w:spacing w:before="60" w:after="40" w:line="288" w:lineRule="auto"/>
              <w:ind w:firstLine="0"/>
              <w:jc w:val="right"/>
              <w:rPr>
                <w:rFonts w:cs="Tahoma"/>
                <w:sz w:val="20"/>
                <w:szCs w:val="20"/>
              </w:rPr>
            </w:pPr>
            <w:r>
              <w:rPr>
                <w:rFonts w:cs="Tahoma"/>
                <w:sz w:val="20"/>
                <w:szCs w:val="20"/>
              </w:rPr>
              <w:br/>
            </w:r>
            <w:r w:rsidR="00C06367">
              <w:rPr>
                <w:rFonts w:cs="Tahoma"/>
                <w:sz w:val="20"/>
                <w:szCs w:val="20"/>
              </w:rPr>
              <w:t>2,61</w:t>
            </w:r>
          </w:p>
        </w:tc>
      </w:tr>
      <w:tr w:rsidR="00835504" w:rsidRPr="00821AF6" w14:paraId="631EEFDF" w14:textId="77777777" w:rsidTr="00145DBA">
        <w:trPr>
          <w:cantSplit/>
        </w:trPr>
        <w:tc>
          <w:tcPr>
            <w:tcW w:w="4812" w:type="dxa"/>
            <w:tcBorders>
              <w:top w:val="single" w:sz="4" w:space="0" w:color="auto"/>
              <w:left w:val="single" w:sz="4" w:space="0" w:color="auto"/>
              <w:bottom w:val="single" w:sz="4" w:space="0" w:color="auto"/>
              <w:right w:val="single" w:sz="4" w:space="0" w:color="auto"/>
            </w:tcBorders>
            <w:vAlign w:val="center"/>
          </w:tcPr>
          <w:p w14:paraId="32AA041E" w14:textId="77777777" w:rsidR="00835504" w:rsidRPr="00821AF6" w:rsidRDefault="00835504" w:rsidP="00C06367">
            <w:pPr>
              <w:keepNext/>
              <w:spacing w:before="60" w:after="40" w:line="288" w:lineRule="auto"/>
              <w:ind w:firstLine="0"/>
              <w:jc w:val="left"/>
              <w:rPr>
                <w:rFonts w:cs="Tahoma"/>
                <w:sz w:val="20"/>
                <w:szCs w:val="20"/>
              </w:rPr>
            </w:pPr>
            <w:r w:rsidRPr="00821AF6">
              <w:rPr>
                <w:rFonts w:cs="Tahoma"/>
                <w:sz w:val="20"/>
                <w:szCs w:val="20"/>
              </w:rPr>
              <w:t>Koszty eksploatacji autobusów</w:t>
            </w:r>
            <w:r w:rsidRPr="00821AF6">
              <w:rPr>
                <w:rFonts w:cs="Tahoma"/>
                <w:sz w:val="20"/>
                <w:szCs w:val="20"/>
              </w:rPr>
              <w:br/>
              <w:t>– zużycie materiałów</w:t>
            </w:r>
          </w:p>
        </w:tc>
        <w:tc>
          <w:tcPr>
            <w:tcW w:w="1417" w:type="dxa"/>
            <w:tcBorders>
              <w:top w:val="single" w:sz="4" w:space="0" w:color="auto"/>
              <w:left w:val="single" w:sz="4" w:space="0" w:color="auto"/>
              <w:bottom w:val="single" w:sz="4" w:space="0" w:color="auto"/>
              <w:right w:val="single" w:sz="4" w:space="0" w:color="auto"/>
            </w:tcBorders>
            <w:vAlign w:val="center"/>
          </w:tcPr>
          <w:p w14:paraId="3F6CBB0F" w14:textId="77777777" w:rsidR="00835504" w:rsidRPr="00821AF6" w:rsidRDefault="00835504" w:rsidP="00C06367">
            <w:pPr>
              <w:keepNext/>
              <w:spacing w:before="60" w:after="40" w:line="288" w:lineRule="auto"/>
              <w:ind w:firstLine="0"/>
              <w:jc w:val="center"/>
              <w:rPr>
                <w:rFonts w:cs="Tahoma"/>
                <w:sz w:val="20"/>
                <w:szCs w:val="20"/>
                <w:vertAlign w:val="superscript"/>
              </w:rPr>
            </w:pPr>
            <w:r w:rsidRPr="00821AF6">
              <w:rPr>
                <w:rFonts w:cs="Tahoma"/>
                <w:sz w:val="20"/>
                <w:szCs w:val="20"/>
              </w:rPr>
              <w:t>zł/km</w:t>
            </w:r>
          </w:p>
        </w:tc>
        <w:tc>
          <w:tcPr>
            <w:tcW w:w="1701" w:type="dxa"/>
            <w:tcBorders>
              <w:top w:val="single" w:sz="4" w:space="0" w:color="auto"/>
              <w:left w:val="single" w:sz="4" w:space="0" w:color="auto"/>
              <w:bottom w:val="single" w:sz="4" w:space="0" w:color="auto"/>
              <w:right w:val="single" w:sz="4" w:space="0" w:color="auto"/>
            </w:tcBorders>
          </w:tcPr>
          <w:p w14:paraId="4950F5DB" w14:textId="6E4F1F7F" w:rsidR="00835504" w:rsidRPr="00821AF6" w:rsidRDefault="00835504" w:rsidP="00C06367">
            <w:pPr>
              <w:keepNext/>
              <w:spacing w:before="60" w:after="40" w:line="288" w:lineRule="auto"/>
              <w:ind w:firstLine="0"/>
              <w:jc w:val="center"/>
              <w:rPr>
                <w:rFonts w:cs="Tahoma"/>
                <w:sz w:val="20"/>
                <w:szCs w:val="20"/>
              </w:rPr>
            </w:pPr>
            <w:r w:rsidRPr="00821AF6">
              <w:rPr>
                <w:rFonts w:cs="Tahoma"/>
                <w:sz w:val="20"/>
                <w:szCs w:val="20"/>
              </w:rPr>
              <w:t xml:space="preserve">dane </w:t>
            </w:r>
            <w:r w:rsidR="00C73F5E">
              <w:rPr>
                <w:rFonts w:cs="Tahoma"/>
                <w:sz w:val="20"/>
                <w:szCs w:val="20"/>
              </w:rPr>
              <w:t xml:space="preserve">MPK </w:t>
            </w:r>
          </w:p>
        </w:tc>
        <w:tc>
          <w:tcPr>
            <w:tcW w:w="1142" w:type="dxa"/>
            <w:tcBorders>
              <w:top w:val="single" w:sz="4" w:space="0" w:color="auto"/>
              <w:left w:val="single" w:sz="4" w:space="0" w:color="auto"/>
              <w:bottom w:val="single" w:sz="4" w:space="0" w:color="auto"/>
              <w:right w:val="single" w:sz="4" w:space="0" w:color="auto"/>
            </w:tcBorders>
            <w:vAlign w:val="center"/>
          </w:tcPr>
          <w:p w14:paraId="41F4B05E" w14:textId="2B43F944" w:rsidR="00835504" w:rsidRPr="00821AF6" w:rsidRDefault="00835504" w:rsidP="00C06367">
            <w:pPr>
              <w:keepNext/>
              <w:spacing w:before="60" w:after="40" w:line="288" w:lineRule="auto"/>
              <w:ind w:firstLine="0"/>
              <w:jc w:val="right"/>
              <w:rPr>
                <w:rFonts w:cs="Tahoma"/>
                <w:sz w:val="20"/>
                <w:szCs w:val="20"/>
              </w:rPr>
            </w:pPr>
            <w:r w:rsidRPr="00821AF6">
              <w:rPr>
                <w:rFonts w:cs="Tahoma"/>
                <w:sz w:val="20"/>
                <w:szCs w:val="20"/>
              </w:rPr>
              <w:t>0,</w:t>
            </w:r>
            <w:r w:rsidR="00C06367">
              <w:rPr>
                <w:rFonts w:cs="Tahoma"/>
                <w:sz w:val="20"/>
                <w:szCs w:val="20"/>
              </w:rPr>
              <w:t>32</w:t>
            </w:r>
          </w:p>
        </w:tc>
      </w:tr>
      <w:tr w:rsidR="00835504" w:rsidRPr="00821AF6" w14:paraId="577498B2" w14:textId="77777777" w:rsidTr="00145DBA">
        <w:trPr>
          <w:cantSplit/>
        </w:trPr>
        <w:tc>
          <w:tcPr>
            <w:tcW w:w="4812" w:type="dxa"/>
            <w:tcBorders>
              <w:top w:val="single" w:sz="4" w:space="0" w:color="auto"/>
              <w:left w:val="single" w:sz="4" w:space="0" w:color="auto"/>
              <w:bottom w:val="single" w:sz="4" w:space="0" w:color="auto"/>
              <w:right w:val="single" w:sz="4" w:space="0" w:color="auto"/>
            </w:tcBorders>
            <w:vAlign w:val="center"/>
          </w:tcPr>
          <w:p w14:paraId="5582E457" w14:textId="77777777" w:rsidR="00835504" w:rsidRPr="00821AF6" w:rsidRDefault="00835504" w:rsidP="00C06367">
            <w:pPr>
              <w:keepNext/>
              <w:spacing w:before="60" w:after="40" w:line="288" w:lineRule="auto"/>
              <w:ind w:firstLine="0"/>
              <w:jc w:val="left"/>
              <w:rPr>
                <w:rFonts w:cs="Tahoma"/>
                <w:sz w:val="20"/>
                <w:szCs w:val="20"/>
              </w:rPr>
            </w:pPr>
            <w:r w:rsidRPr="00821AF6">
              <w:rPr>
                <w:rFonts w:cs="Tahoma"/>
                <w:sz w:val="20"/>
                <w:szCs w:val="20"/>
              </w:rPr>
              <w:t>Koszty eksploatacji autobusów</w:t>
            </w:r>
            <w:r w:rsidRPr="00821AF6">
              <w:rPr>
                <w:rFonts w:cs="Tahoma"/>
                <w:sz w:val="20"/>
                <w:szCs w:val="20"/>
              </w:rPr>
              <w:br/>
              <w:t xml:space="preserve"> – naprawy i usługi obce</w:t>
            </w:r>
          </w:p>
        </w:tc>
        <w:tc>
          <w:tcPr>
            <w:tcW w:w="1417" w:type="dxa"/>
            <w:tcBorders>
              <w:top w:val="single" w:sz="4" w:space="0" w:color="auto"/>
              <w:left w:val="single" w:sz="4" w:space="0" w:color="auto"/>
              <w:bottom w:val="single" w:sz="4" w:space="0" w:color="auto"/>
              <w:right w:val="single" w:sz="4" w:space="0" w:color="auto"/>
            </w:tcBorders>
            <w:vAlign w:val="center"/>
          </w:tcPr>
          <w:p w14:paraId="197EAE88" w14:textId="77777777" w:rsidR="00835504" w:rsidRPr="00821AF6" w:rsidRDefault="00835504" w:rsidP="00C06367">
            <w:pPr>
              <w:keepNext/>
              <w:spacing w:before="60" w:after="40" w:line="288" w:lineRule="auto"/>
              <w:ind w:firstLine="0"/>
              <w:jc w:val="center"/>
              <w:rPr>
                <w:rFonts w:cs="Tahoma"/>
                <w:sz w:val="20"/>
                <w:szCs w:val="20"/>
              </w:rPr>
            </w:pPr>
            <w:r w:rsidRPr="00821AF6">
              <w:rPr>
                <w:rFonts w:cs="Tahoma"/>
                <w:sz w:val="20"/>
                <w:szCs w:val="20"/>
              </w:rPr>
              <w:t>zł/km</w:t>
            </w:r>
          </w:p>
        </w:tc>
        <w:tc>
          <w:tcPr>
            <w:tcW w:w="1701" w:type="dxa"/>
            <w:tcBorders>
              <w:top w:val="single" w:sz="4" w:space="0" w:color="auto"/>
              <w:left w:val="single" w:sz="4" w:space="0" w:color="auto"/>
              <w:bottom w:val="single" w:sz="4" w:space="0" w:color="auto"/>
              <w:right w:val="single" w:sz="4" w:space="0" w:color="auto"/>
            </w:tcBorders>
          </w:tcPr>
          <w:p w14:paraId="2BFA517A" w14:textId="4C2C9671" w:rsidR="00835504" w:rsidRPr="00821AF6" w:rsidRDefault="00835504" w:rsidP="00C06367">
            <w:pPr>
              <w:keepNext/>
              <w:spacing w:before="60" w:after="40" w:line="288" w:lineRule="auto"/>
              <w:ind w:firstLine="0"/>
              <w:jc w:val="center"/>
              <w:rPr>
                <w:rFonts w:cs="Tahoma"/>
                <w:sz w:val="20"/>
                <w:szCs w:val="20"/>
              </w:rPr>
            </w:pPr>
            <w:r w:rsidRPr="00821AF6">
              <w:rPr>
                <w:rFonts w:cs="Tahoma"/>
                <w:sz w:val="20"/>
                <w:szCs w:val="20"/>
              </w:rPr>
              <w:t xml:space="preserve">dane </w:t>
            </w:r>
            <w:r w:rsidR="00C73F5E">
              <w:rPr>
                <w:rFonts w:cs="Tahoma"/>
                <w:sz w:val="20"/>
                <w:szCs w:val="20"/>
              </w:rPr>
              <w:t xml:space="preserve">MPK </w:t>
            </w:r>
          </w:p>
        </w:tc>
        <w:tc>
          <w:tcPr>
            <w:tcW w:w="1142" w:type="dxa"/>
            <w:tcBorders>
              <w:top w:val="single" w:sz="4" w:space="0" w:color="auto"/>
              <w:left w:val="single" w:sz="4" w:space="0" w:color="auto"/>
              <w:bottom w:val="single" w:sz="4" w:space="0" w:color="auto"/>
              <w:right w:val="single" w:sz="4" w:space="0" w:color="auto"/>
            </w:tcBorders>
            <w:vAlign w:val="center"/>
          </w:tcPr>
          <w:p w14:paraId="3D148665" w14:textId="47F419EC" w:rsidR="00835504" w:rsidRPr="00821AF6" w:rsidRDefault="00835504" w:rsidP="00C06367">
            <w:pPr>
              <w:keepNext/>
              <w:spacing w:before="60" w:after="40" w:line="288" w:lineRule="auto"/>
              <w:ind w:firstLine="0"/>
              <w:jc w:val="right"/>
              <w:rPr>
                <w:rFonts w:cs="Tahoma"/>
                <w:sz w:val="20"/>
                <w:szCs w:val="20"/>
              </w:rPr>
            </w:pPr>
            <w:r w:rsidRPr="00821AF6">
              <w:rPr>
                <w:rFonts w:cs="Tahoma"/>
                <w:sz w:val="20"/>
                <w:szCs w:val="20"/>
              </w:rPr>
              <w:t>0,</w:t>
            </w:r>
            <w:r w:rsidR="00C06367">
              <w:rPr>
                <w:rFonts w:cs="Tahoma"/>
                <w:sz w:val="20"/>
                <w:szCs w:val="20"/>
              </w:rPr>
              <w:t>10</w:t>
            </w:r>
          </w:p>
        </w:tc>
      </w:tr>
      <w:tr w:rsidR="00596BE2" w:rsidRPr="00821AF6" w14:paraId="0E4AB9FD" w14:textId="77777777" w:rsidTr="00145DBA">
        <w:trPr>
          <w:cantSplit/>
        </w:trPr>
        <w:tc>
          <w:tcPr>
            <w:tcW w:w="4812" w:type="dxa"/>
            <w:tcBorders>
              <w:top w:val="single" w:sz="4" w:space="0" w:color="auto"/>
              <w:left w:val="single" w:sz="4" w:space="0" w:color="auto"/>
              <w:bottom w:val="single" w:sz="4" w:space="0" w:color="auto"/>
              <w:right w:val="single" w:sz="4" w:space="0" w:color="auto"/>
            </w:tcBorders>
            <w:vAlign w:val="center"/>
          </w:tcPr>
          <w:p w14:paraId="005667AE" w14:textId="6A582EA4" w:rsidR="00596BE2" w:rsidRPr="00821AF6" w:rsidRDefault="00596BE2" w:rsidP="00C06367">
            <w:pPr>
              <w:keepNext/>
              <w:spacing w:before="60" w:after="40" w:line="288" w:lineRule="auto"/>
              <w:ind w:firstLine="0"/>
              <w:jc w:val="left"/>
              <w:rPr>
                <w:rFonts w:cs="Tahoma"/>
                <w:sz w:val="20"/>
                <w:szCs w:val="20"/>
              </w:rPr>
            </w:pPr>
            <w:r w:rsidRPr="00821AF6">
              <w:rPr>
                <w:rFonts w:cs="Tahoma"/>
                <w:sz w:val="20"/>
                <w:szCs w:val="20"/>
              </w:rPr>
              <w:t>Współczynnik kosztów eksploatacji autobusów</w:t>
            </w:r>
            <w:r w:rsidR="00854C8D" w:rsidRPr="00821AF6">
              <w:rPr>
                <w:rFonts w:cs="Tahoma"/>
                <w:sz w:val="20"/>
                <w:szCs w:val="20"/>
              </w:rPr>
              <w:br/>
            </w:r>
            <w:r w:rsidRPr="00821AF6">
              <w:rPr>
                <w:rFonts w:cs="Tahoma"/>
                <w:sz w:val="20"/>
                <w:szCs w:val="20"/>
              </w:rPr>
              <w:t>elektrycznych do autobusów z silnikiem Diesla</w:t>
            </w:r>
            <w:r w:rsidR="00854C8D" w:rsidRPr="00821AF6">
              <w:rPr>
                <w:rFonts w:cs="Tahoma"/>
                <w:sz w:val="20"/>
                <w:szCs w:val="20"/>
              </w:rPr>
              <w:br/>
            </w:r>
            <w:r w:rsidRPr="00821AF6">
              <w:rPr>
                <w:rFonts w:cs="Tahoma"/>
                <w:sz w:val="20"/>
                <w:szCs w:val="20"/>
              </w:rPr>
              <w:t>(materiały i usługi)</w:t>
            </w:r>
          </w:p>
        </w:tc>
        <w:tc>
          <w:tcPr>
            <w:tcW w:w="1417" w:type="dxa"/>
            <w:tcBorders>
              <w:top w:val="single" w:sz="4" w:space="0" w:color="auto"/>
              <w:left w:val="single" w:sz="4" w:space="0" w:color="auto"/>
              <w:bottom w:val="single" w:sz="4" w:space="0" w:color="auto"/>
              <w:right w:val="single" w:sz="4" w:space="0" w:color="auto"/>
            </w:tcBorders>
            <w:vAlign w:val="center"/>
          </w:tcPr>
          <w:p w14:paraId="0DD44000" w14:textId="77777777" w:rsidR="00596BE2" w:rsidRPr="00821AF6" w:rsidRDefault="00596BE2" w:rsidP="00C06367">
            <w:pPr>
              <w:keepNext/>
              <w:spacing w:before="60" w:after="40" w:line="288" w:lineRule="auto"/>
              <w:ind w:firstLine="0"/>
              <w:jc w:val="center"/>
              <w:rPr>
                <w:rFonts w:cs="Tahoma"/>
                <w:sz w:val="20"/>
                <w:szCs w:val="20"/>
                <w:vertAlign w:val="superscript"/>
              </w:rPr>
            </w:pPr>
            <w:r w:rsidRPr="00821AF6">
              <w:rPr>
                <w:rFonts w:cs="Tahoma"/>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2A805E9" w14:textId="77777777" w:rsidR="00596BE2" w:rsidRPr="00821AF6" w:rsidRDefault="00596BE2" w:rsidP="00C06367">
            <w:pPr>
              <w:keepNext/>
              <w:spacing w:before="60" w:after="40" w:line="288" w:lineRule="auto"/>
              <w:ind w:firstLine="0"/>
              <w:jc w:val="center"/>
              <w:rPr>
                <w:rFonts w:cs="Tahoma"/>
                <w:sz w:val="20"/>
                <w:szCs w:val="20"/>
              </w:rPr>
            </w:pPr>
            <w:r w:rsidRPr="00821AF6">
              <w:rPr>
                <w:rFonts w:cs="Tahoma"/>
                <w:sz w:val="20"/>
                <w:szCs w:val="20"/>
              </w:rPr>
              <w:t>dane</w:t>
            </w:r>
            <w:r w:rsidRPr="00821AF6">
              <w:rPr>
                <w:rFonts w:cs="Tahoma"/>
                <w:sz w:val="20"/>
                <w:szCs w:val="20"/>
              </w:rPr>
              <w:br/>
              <w:t>producentów</w:t>
            </w:r>
          </w:p>
        </w:tc>
        <w:tc>
          <w:tcPr>
            <w:tcW w:w="1142" w:type="dxa"/>
            <w:tcBorders>
              <w:top w:val="single" w:sz="4" w:space="0" w:color="auto"/>
              <w:left w:val="single" w:sz="4" w:space="0" w:color="auto"/>
              <w:bottom w:val="single" w:sz="4" w:space="0" w:color="auto"/>
              <w:right w:val="single" w:sz="4" w:space="0" w:color="auto"/>
            </w:tcBorders>
            <w:vAlign w:val="center"/>
          </w:tcPr>
          <w:p w14:paraId="22F78F8C" w14:textId="77777777" w:rsidR="00596BE2" w:rsidRPr="00821AF6" w:rsidRDefault="00596BE2" w:rsidP="00C06367">
            <w:pPr>
              <w:keepNext/>
              <w:spacing w:before="60" w:after="40" w:line="288" w:lineRule="auto"/>
              <w:ind w:firstLine="0"/>
              <w:jc w:val="right"/>
              <w:rPr>
                <w:rFonts w:cs="Tahoma"/>
                <w:sz w:val="20"/>
                <w:szCs w:val="20"/>
              </w:rPr>
            </w:pPr>
            <w:r w:rsidRPr="00821AF6">
              <w:rPr>
                <w:rFonts w:cs="Tahoma"/>
                <w:sz w:val="20"/>
                <w:szCs w:val="20"/>
              </w:rPr>
              <w:t>0,70</w:t>
            </w:r>
          </w:p>
        </w:tc>
      </w:tr>
      <w:tr w:rsidR="00596BE2" w:rsidRPr="00821AF6" w14:paraId="29D2065A" w14:textId="77777777" w:rsidTr="00145DBA">
        <w:trPr>
          <w:cantSplit/>
        </w:trPr>
        <w:tc>
          <w:tcPr>
            <w:tcW w:w="4812" w:type="dxa"/>
            <w:tcBorders>
              <w:top w:val="single" w:sz="4" w:space="0" w:color="auto"/>
              <w:left w:val="single" w:sz="4" w:space="0" w:color="auto"/>
              <w:bottom w:val="single" w:sz="4" w:space="0" w:color="auto"/>
              <w:right w:val="single" w:sz="4" w:space="0" w:color="auto"/>
            </w:tcBorders>
            <w:vAlign w:val="center"/>
          </w:tcPr>
          <w:p w14:paraId="6D31CD6C" w14:textId="66F59F16" w:rsidR="00596BE2" w:rsidRPr="00821AF6" w:rsidRDefault="00596BE2" w:rsidP="00C06367">
            <w:pPr>
              <w:spacing w:before="60" w:after="40" w:line="288" w:lineRule="auto"/>
              <w:ind w:firstLine="0"/>
              <w:jc w:val="left"/>
              <w:rPr>
                <w:rFonts w:cs="Tahoma"/>
                <w:sz w:val="20"/>
                <w:szCs w:val="20"/>
              </w:rPr>
            </w:pPr>
            <w:r w:rsidRPr="00821AF6">
              <w:rPr>
                <w:rFonts w:cs="Tahoma"/>
                <w:sz w:val="20"/>
                <w:szCs w:val="20"/>
              </w:rPr>
              <w:t xml:space="preserve">Współczynnik kosztów eksploatacji </w:t>
            </w:r>
            <w:r w:rsidR="00282292">
              <w:rPr>
                <w:rFonts w:cs="Tahoma"/>
                <w:sz w:val="20"/>
                <w:szCs w:val="20"/>
              </w:rPr>
              <w:t>nowych</w:t>
            </w:r>
            <w:r w:rsidR="00282292">
              <w:rPr>
                <w:rFonts w:cs="Tahoma"/>
                <w:sz w:val="20"/>
                <w:szCs w:val="20"/>
              </w:rPr>
              <w:br/>
            </w:r>
            <w:r w:rsidRPr="00821AF6">
              <w:rPr>
                <w:rFonts w:cs="Tahoma"/>
                <w:sz w:val="20"/>
                <w:szCs w:val="20"/>
              </w:rPr>
              <w:t>autobusów</w:t>
            </w:r>
            <w:r w:rsidR="00282292">
              <w:rPr>
                <w:rFonts w:cs="Tahoma"/>
                <w:sz w:val="20"/>
                <w:szCs w:val="20"/>
              </w:rPr>
              <w:t xml:space="preserve"> w stosunku do autobusów używanych</w:t>
            </w:r>
            <w:r w:rsidR="00C94484" w:rsidRPr="00821AF6">
              <w:rPr>
                <w:rFonts w:cs="Tahoma"/>
                <w:sz w:val="20"/>
                <w:szCs w:val="20"/>
              </w:rPr>
              <w:br/>
            </w:r>
            <w:r w:rsidRPr="00821AF6">
              <w:rPr>
                <w:rFonts w:cs="Tahoma"/>
                <w:sz w:val="20"/>
                <w:szCs w:val="20"/>
              </w:rPr>
              <w:t>(materiały i usługi)</w:t>
            </w:r>
          </w:p>
        </w:tc>
        <w:tc>
          <w:tcPr>
            <w:tcW w:w="1417" w:type="dxa"/>
            <w:tcBorders>
              <w:top w:val="single" w:sz="4" w:space="0" w:color="auto"/>
              <w:left w:val="single" w:sz="4" w:space="0" w:color="auto"/>
              <w:bottom w:val="single" w:sz="4" w:space="0" w:color="auto"/>
              <w:right w:val="single" w:sz="4" w:space="0" w:color="auto"/>
            </w:tcBorders>
            <w:vAlign w:val="center"/>
          </w:tcPr>
          <w:p w14:paraId="2AA2A4FE" w14:textId="77777777" w:rsidR="00596BE2" w:rsidRPr="00821AF6" w:rsidRDefault="00596BE2" w:rsidP="00C06367">
            <w:pPr>
              <w:spacing w:before="60" w:after="40" w:line="288" w:lineRule="auto"/>
              <w:ind w:firstLine="0"/>
              <w:jc w:val="center"/>
              <w:rPr>
                <w:rFonts w:cs="Tahoma"/>
                <w:sz w:val="20"/>
                <w:szCs w:val="20"/>
              </w:rPr>
            </w:pPr>
            <w:r w:rsidRPr="00821AF6">
              <w:rPr>
                <w:rFonts w:cs="Tahoma"/>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CA06862" w14:textId="77777777" w:rsidR="00596BE2" w:rsidRPr="00821AF6" w:rsidRDefault="00596BE2" w:rsidP="00C06367">
            <w:pPr>
              <w:spacing w:before="60" w:after="40" w:line="288" w:lineRule="auto"/>
              <w:ind w:firstLine="0"/>
              <w:jc w:val="center"/>
              <w:rPr>
                <w:rFonts w:cs="Tahoma"/>
                <w:sz w:val="20"/>
                <w:szCs w:val="20"/>
              </w:rPr>
            </w:pPr>
            <w:r w:rsidRPr="00821AF6">
              <w:rPr>
                <w:rFonts w:cs="Tahoma"/>
                <w:sz w:val="20"/>
                <w:szCs w:val="20"/>
              </w:rPr>
              <w:t>szacunek</w:t>
            </w:r>
            <w:r w:rsidRPr="00821AF6">
              <w:rPr>
                <w:rFonts w:cs="Tahoma"/>
                <w:sz w:val="20"/>
                <w:szCs w:val="20"/>
              </w:rPr>
              <w:br/>
              <w:t>własny</w:t>
            </w:r>
          </w:p>
        </w:tc>
        <w:tc>
          <w:tcPr>
            <w:tcW w:w="1142" w:type="dxa"/>
            <w:tcBorders>
              <w:top w:val="single" w:sz="4" w:space="0" w:color="auto"/>
              <w:left w:val="single" w:sz="4" w:space="0" w:color="auto"/>
              <w:bottom w:val="single" w:sz="4" w:space="0" w:color="auto"/>
              <w:right w:val="single" w:sz="4" w:space="0" w:color="auto"/>
            </w:tcBorders>
            <w:vAlign w:val="center"/>
          </w:tcPr>
          <w:p w14:paraId="70D155B5" w14:textId="77777777" w:rsidR="00596BE2" w:rsidRPr="00821AF6" w:rsidRDefault="00596BE2" w:rsidP="00C06367">
            <w:pPr>
              <w:spacing w:before="60" w:after="40" w:line="288" w:lineRule="auto"/>
              <w:ind w:firstLine="0"/>
              <w:jc w:val="right"/>
              <w:rPr>
                <w:rFonts w:cs="Tahoma"/>
                <w:sz w:val="20"/>
                <w:szCs w:val="20"/>
              </w:rPr>
            </w:pPr>
            <w:r w:rsidRPr="00821AF6">
              <w:rPr>
                <w:rFonts w:cs="Tahoma"/>
                <w:sz w:val="20"/>
                <w:szCs w:val="20"/>
              </w:rPr>
              <w:t>0,85</w:t>
            </w:r>
          </w:p>
        </w:tc>
      </w:tr>
      <w:tr w:rsidR="00282292" w:rsidRPr="00821AF6" w14:paraId="0A3A1E9C" w14:textId="77777777" w:rsidTr="00145DBA">
        <w:trPr>
          <w:cantSplit/>
          <w:trHeight w:val="1229"/>
        </w:trPr>
        <w:tc>
          <w:tcPr>
            <w:tcW w:w="4812" w:type="dxa"/>
            <w:tcBorders>
              <w:top w:val="single" w:sz="4" w:space="0" w:color="auto"/>
              <w:left w:val="single" w:sz="4" w:space="0" w:color="auto"/>
              <w:right w:val="single" w:sz="4" w:space="0" w:color="auto"/>
            </w:tcBorders>
            <w:vAlign w:val="center"/>
          </w:tcPr>
          <w:p w14:paraId="3A07D63C" w14:textId="76F41656" w:rsidR="00282292" w:rsidRPr="00821AF6" w:rsidRDefault="00282292" w:rsidP="00C06367">
            <w:pPr>
              <w:spacing w:before="60" w:after="40" w:line="288" w:lineRule="auto"/>
              <w:ind w:right="57" w:firstLine="0"/>
              <w:jc w:val="left"/>
              <w:rPr>
                <w:rFonts w:cs="Tahoma"/>
                <w:sz w:val="20"/>
                <w:szCs w:val="20"/>
              </w:rPr>
            </w:pPr>
            <w:r w:rsidRPr="00821AF6">
              <w:rPr>
                <w:rFonts w:cs="Tahoma"/>
                <w:sz w:val="20"/>
                <w:szCs w:val="20"/>
              </w:rPr>
              <w:t>Średnie zużycie energii przez autobus elektryczny</w:t>
            </w:r>
            <w:r>
              <w:rPr>
                <w:rFonts w:cs="Tahoma"/>
                <w:sz w:val="20"/>
                <w:szCs w:val="20"/>
              </w:rPr>
              <w:t>:</w:t>
            </w:r>
            <w:r w:rsidR="00C06367">
              <w:rPr>
                <w:rFonts w:cs="Tahoma"/>
                <w:sz w:val="20"/>
                <w:szCs w:val="20"/>
              </w:rPr>
              <w:br/>
              <w:t xml:space="preserve"> –</w:t>
            </w:r>
            <w:r w:rsidR="00C06367" w:rsidRPr="00821AF6">
              <w:rPr>
                <w:rFonts w:cs="Tahoma"/>
                <w:sz w:val="20"/>
                <w:szCs w:val="20"/>
              </w:rPr>
              <w:t xml:space="preserve"> </w:t>
            </w:r>
            <w:r w:rsidR="00C06367">
              <w:rPr>
                <w:rFonts w:cs="Tahoma"/>
                <w:sz w:val="20"/>
                <w:szCs w:val="20"/>
              </w:rPr>
              <w:t>o długości 8-10</w:t>
            </w:r>
            <w:r w:rsidR="00C06367" w:rsidRPr="00821AF6">
              <w:rPr>
                <w:rFonts w:cs="Tahoma"/>
                <w:sz w:val="20"/>
                <w:szCs w:val="20"/>
              </w:rPr>
              <w:t xml:space="preserve"> m</w:t>
            </w:r>
            <w:r>
              <w:rPr>
                <w:rFonts w:cs="Tahoma"/>
                <w:sz w:val="20"/>
                <w:szCs w:val="20"/>
              </w:rPr>
              <w:br/>
              <w:t xml:space="preserve"> – </w:t>
            </w:r>
            <w:r w:rsidR="00C06367" w:rsidRPr="00821AF6">
              <w:rPr>
                <w:rFonts w:cs="Tahoma"/>
                <w:sz w:val="20"/>
                <w:szCs w:val="20"/>
              </w:rPr>
              <w:t>o długości 12 m</w:t>
            </w:r>
            <w:r w:rsidR="00C06367">
              <w:rPr>
                <w:rFonts w:cs="Tahoma"/>
                <w:sz w:val="20"/>
                <w:szCs w:val="20"/>
              </w:rPr>
              <w:t xml:space="preserve"> </w:t>
            </w:r>
            <w:r>
              <w:rPr>
                <w:rFonts w:cs="Tahoma"/>
                <w:sz w:val="20"/>
                <w:szCs w:val="20"/>
              </w:rPr>
              <w:br/>
              <w:t xml:space="preserve"> – </w:t>
            </w:r>
            <w:r w:rsidR="00C06367">
              <w:rPr>
                <w:rFonts w:cs="Tahoma"/>
                <w:sz w:val="20"/>
                <w:szCs w:val="20"/>
              </w:rPr>
              <w:t>o długości 18</w:t>
            </w:r>
            <w:r w:rsidR="00C06367" w:rsidRPr="00821AF6">
              <w:rPr>
                <w:rFonts w:cs="Tahoma"/>
                <w:sz w:val="20"/>
                <w:szCs w:val="20"/>
              </w:rPr>
              <w:t xml:space="preserve"> m</w:t>
            </w:r>
          </w:p>
        </w:tc>
        <w:tc>
          <w:tcPr>
            <w:tcW w:w="1417" w:type="dxa"/>
            <w:tcBorders>
              <w:top w:val="single" w:sz="4" w:space="0" w:color="auto"/>
              <w:left w:val="single" w:sz="4" w:space="0" w:color="auto"/>
              <w:right w:val="single" w:sz="4" w:space="0" w:color="auto"/>
            </w:tcBorders>
            <w:vAlign w:val="center"/>
          </w:tcPr>
          <w:p w14:paraId="59B2A106" w14:textId="5C835FB9" w:rsidR="00282292" w:rsidRPr="00821AF6" w:rsidRDefault="00282292" w:rsidP="00C06367">
            <w:pPr>
              <w:spacing w:before="60" w:after="40" w:line="288" w:lineRule="auto"/>
              <w:ind w:right="57" w:firstLine="0"/>
              <w:jc w:val="center"/>
              <w:rPr>
                <w:rFonts w:cs="Tahoma"/>
                <w:sz w:val="20"/>
                <w:szCs w:val="20"/>
              </w:rPr>
            </w:pPr>
            <w:r w:rsidRPr="00821AF6">
              <w:rPr>
                <w:rFonts w:cs="Tahoma"/>
                <w:sz w:val="20"/>
                <w:szCs w:val="20"/>
              </w:rPr>
              <w:t>kWh/km</w:t>
            </w:r>
          </w:p>
        </w:tc>
        <w:tc>
          <w:tcPr>
            <w:tcW w:w="1701" w:type="dxa"/>
            <w:tcBorders>
              <w:top w:val="single" w:sz="4" w:space="0" w:color="auto"/>
              <w:left w:val="single" w:sz="4" w:space="0" w:color="auto"/>
              <w:right w:val="single" w:sz="4" w:space="0" w:color="auto"/>
            </w:tcBorders>
            <w:vAlign w:val="center"/>
          </w:tcPr>
          <w:p w14:paraId="34D84C3B" w14:textId="4C31C7DD" w:rsidR="00282292" w:rsidRPr="00821AF6" w:rsidRDefault="00C06367" w:rsidP="00C06367">
            <w:pPr>
              <w:spacing w:before="60" w:after="40" w:line="288" w:lineRule="auto"/>
              <w:ind w:right="57" w:firstLine="0"/>
              <w:jc w:val="center"/>
              <w:rPr>
                <w:rFonts w:cs="Tahoma"/>
                <w:sz w:val="20"/>
                <w:szCs w:val="20"/>
              </w:rPr>
            </w:pPr>
            <w:r>
              <w:rPr>
                <w:rFonts w:cs="Tahoma"/>
                <w:sz w:val="20"/>
                <w:szCs w:val="20"/>
              </w:rPr>
              <w:t>d</w:t>
            </w:r>
            <w:r w:rsidR="00282292" w:rsidRPr="00821AF6">
              <w:rPr>
                <w:rFonts w:cs="Tahoma"/>
                <w:sz w:val="20"/>
                <w:szCs w:val="20"/>
              </w:rPr>
              <w:t>ane</w:t>
            </w:r>
            <w:r>
              <w:rPr>
                <w:rFonts w:cs="Tahoma"/>
                <w:sz w:val="20"/>
                <w:szCs w:val="20"/>
              </w:rPr>
              <w:t xml:space="preserve"> MPK</w:t>
            </w:r>
            <w:r>
              <w:rPr>
                <w:rFonts w:cs="Tahoma"/>
                <w:sz w:val="20"/>
                <w:szCs w:val="20"/>
              </w:rPr>
              <w:br/>
              <w:t xml:space="preserve">i </w:t>
            </w:r>
            <w:r w:rsidR="00282292" w:rsidRPr="00821AF6">
              <w:rPr>
                <w:rFonts w:cs="Tahoma"/>
                <w:sz w:val="20"/>
                <w:szCs w:val="20"/>
              </w:rPr>
              <w:t>operatorów</w:t>
            </w:r>
          </w:p>
        </w:tc>
        <w:tc>
          <w:tcPr>
            <w:tcW w:w="1142" w:type="dxa"/>
            <w:tcBorders>
              <w:top w:val="single" w:sz="4" w:space="0" w:color="auto"/>
              <w:left w:val="single" w:sz="4" w:space="0" w:color="auto"/>
              <w:right w:val="single" w:sz="4" w:space="0" w:color="auto"/>
            </w:tcBorders>
            <w:vAlign w:val="center"/>
          </w:tcPr>
          <w:p w14:paraId="68F1403C" w14:textId="0F8EDCBB" w:rsidR="00282292" w:rsidRPr="00821AF6" w:rsidRDefault="00282292" w:rsidP="00C06367">
            <w:pPr>
              <w:spacing w:before="60" w:after="40" w:line="288" w:lineRule="auto"/>
              <w:ind w:right="57" w:firstLine="0"/>
              <w:jc w:val="right"/>
              <w:rPr>
                <w:rFonts w:cs="Tahoma"/>
                <w:sz w:val="20"/>
                <w:szCs w:val="20"/>
              </w:rPr>
            </w:pPr>
            <w:r>
              <w:rPr>
                <w:rFonts w:cs="Tahoma"/>
                <w:sz w:val="20"/>
                <w:szCs w:val="20"/>
              </w:rPr>
              <w:br/>
            </w:r>
            <w:r w:rsidR="00C06367">
              <w:rPr>
                <w:rFonts w:cs="Tahoma"/>
                <w:sz w:val="20"/>
                <w:szCs w:val="20"/>
              </w:rPr>
              <w:t>1,15</w:t>
            </w:r>
            <w:r>
              <w:rPr>
                <w:rFonts w:cs="Tahoma"/>
                <w:sz w:val="20"/>
                <w:szCs w:val="20"/>
              </w:rPr>
              <w:br/>
            </w:r>
            <w:r w:rsidRPr="00821AF6">
              <w:rPr>
                <w:rFonts w:cs="Tahoma"/>
                <w:sz w:val="20"/>
                <w:szCs w:val="20"/>
              </w:rPr>
              <w:t>1,</w:t>
            </w:r>
            <w:r w:rsidR="00C06367">
              <w:rPr>
                <w:rFonts w:cs="Tahoma"/>
                <w:sz w:val="20"/>
                <w:szCs w:val="20"/>
              </w:rPr>
              <w:t>30</w:t>
            </w:r>
            <w:r w:rsidR="00C06367">
              <w:rPr>
                <w:rFonts w:cs="Tahoma"/>
                <w:sz w:val="20"/>
                <w:szCs w:val="20"/>
              </w:rPr>
              <w:br/>
              <w:t>1,5</w:t>
            </w:r>
            <w:r>
              <w:rPr>
                <w:rFonts w:cs="Tahoma"/>
                <w:sz w:val="20"/>
                <w:szCs w:val="20"/>
              </w:rPr>
              <w:t>0</w:t>
            </w:r>
          </w:p>
        </w:tc>
      </w:tr>
    </w:tbl>
    <w:p w14:paraId="48DE0466" w14:textId="1CD7CF64" w:rsidR="000C512A" w:rsidRPr="00821AF6" w:rsidRDefault="000C512A" w:rsidP="00C06367">
      <w:pPr>
        <w:spacing w:before="120" w:after="240"/>
        <w:ind w:firstLine="0"/>
        <w:jc w:val="left"/>
        <w:rPr>
          <w:rFonts w:cs="Tahoma"/>
          <w:sz w:val="20"/>
          <w:szCs w:val="20"/>
        </w:rPr>
      </w:pPr>
      <w:r w:rsidRPr="00821AF6">
        <w:rPr>
          <w:rFonts w:cs="Tahoma"/>
          <w:sz w:val="20"/>
          <w:szCs w:val="20"/>
        </w:rPr>
        <w:t xml:space="preserve">Źródło: obliczenia własne na podstawie danych </w:t>
      </w:r>
      <w:r w:rsidR="000E7555">
        <w:rPr>
          <w:rFonts w:cs="Tahoma"/>
          <w:sz w:val="20"/>
          <w:szCs w:val="20"/>
        </w:rPr>
        <w:t>rozproszonych</w:t>
      </w:r>
      <w:r w:rsidRPr="00821AF6">
        <w:rPr>
          <w:rFonts w:cs="Tahoma"/>
          <w:sz w:val="20"/>
          <w:szCs w:val="20"/>
        </w:rPr>
        <w:t>.</w:t>
      </w:r>
    </w:p>
    <w:p w14:paraId="4E44BD8A" w14:textId="3C29E102" w:rsidR="00C94484" w:rsidRPr="00821AF6" w:rsidRDefault="00C94484" w:rsidP="00740DAA">
      <w:pPr>
        <w:rPr>
          <w:rFonts w:cs="Tahoma"/>
          <w:color w:val="000000"/>
        </w:rPr>
      </w:pPr>
      <w:r w:rsidRPr="00821AF6">
        <w:rPr>
          <w:rFonts w:cs="Tahoma"/>
          <w:color w:val="000000"/>
        </w:rPr>
        <w:t xml:space="preserve">W przeciwieństwie do analizy finansowej, skupiającej się na przepływach finansowych, przedmiotem analizy społeczno-ekonomicznej jest kalkulacja </w:t>
      </w:r>
      <w:r w:rsidR="007F510B" w:rsidRPr="00821AF6">
        <w:rPr>
          <w:rFonts w:cs="Tahoma"/>
          <w:color w:val="000000"/>
        </w:rPr>
        <w:t>kosztów i korzyści dla społeczeń</w:t>
      </w:r>
      <w:r w:rsidRPr="00821AF6">
        <w:rPr>
          <w:rFonts w:cs="Tahoma"/>
          <w:color w:val="000000"/>
        </w:rPr>
        <w:t xml:space="preserve">stwa, wynikających z realizacji – a następnie z eksploatacji – ocenianego wariantu. </w:t>
      </w:r>
    </w:p>
    <w:p w14:paraId="3E284773" w14:textId="77777777" w:rsidR="00C94484" w:rsidRPr="00821AF6" w:rsidRDefault="00C94484" w:rsidP="00740DAA">
      <w:pPr>
        <w:rPr>
          <w:rFonts w:cs="Tahoma"/>
          <w:color w:val="000000"/>
        </w:rPr>
      </w:pPr>
      <w:r w:rsidRPr="00821AF6">
        <w:rPr>
          <w:rFonts w:cs="Tahoma"/>
          <w:color w:val="000000"/>
        </w:rPr>
        <w:lastRenderedPageBreak/>
        <w:t>Analiza została przygotowana według niżej przedstawionego schematu postępowania:</w:t>
      </w:r>
    </w:p>
    <w:p w14:paraId="2A49EB55" w14:textId="77777777" w:rsidR="00C94484" w:rsidRPr="00821AF6" w:rsidRDefault="00C94484" w:rsidP="00740DAA">
      <w:pPr>
        <w:pStyle w:val="Akapitzlist"/>
        <w:numPr>
          <w:ilvl w:val="0"/>
          <w:numId w:val="13"/>
        </w:numPr>
        <w:spacing w:after="0" w:line="360" w:lineRule="auto"/>
        <w:jc w:val="both"/>
        <w:rPr>
          <w:rFonts w:ascii="Tahoma" w:hAnsi="Tahoma" w:cs="Tahoma"/>
        </w:rPr>
      </w:pPr>
      <w:r w:rsidRPr="00821AF6">
        <w:rPr>
          <w:rFonts w:ascii="Tahoma" w:hAnsi="Tahoma" w:cs="Tahoma"/>
        </w:rPr>
        <w:t>przeprowadzenie analizy odchyleń cenowych, płacowych oraz aspektów podatkowych;</w:t>
      </w:r>
    </w:p>
    <w:p w14:paraId="70D5EC93" w14:textId="77777777" w:rsidR="00C94484" w:rsidRPr="00821AF6" w:rsidRDefault="00C94484" w:rsidP="00740DAA">
      <w:pPr>
        <w:pStyle w:val="Akapitzlist"/>
        <w:numPr>
          <w:ilvl w:val="0"/>
          <w:numId w:val="13"/>
        </w:numPr>
        <w:spacing w:after="0" w:line="360" w:lineRule="auto"/>
        <w:jc w:val="both"/>
        <w:rPr>
          <w:rFonts w:ascii="Tahoma" w:hAnsi="Tahoma" w:cs="Tahoma"/>
        </w:rPr>
      </w:pPr>
      <w:r w:rsidRPr="00821AF6">
        <w:rPr>
          <w:rFonts w:ascii="Tahoma" w:hAnsi="Tahoma" w:cs="Tahoma"/>
        </w:rPr>
        <w:t>ocena wpływu na środowisko;</w:t>
      </w:r>
    </w:p>
    <w:p w14:paraId="59E1B54B" w14:textId="77777777" w:rsidR="00C94484" w:rsidRPr="00821AF6" w:rsidRDefault="00C94484" w:rsidP="00740DAA">
      <w:pPr>
        <w:pStyle w:val="Akapitzlist"/>
        <w:numPr>
          <w:ilvl w:val="0"/>
          <w:numId w:val="13"/>
        </w:numPr>
        <w:spacing w:after="0" w:line="360" w:lineRule="auto"/>
        <w:jc w:val="both"/>
        <w:rPr>
          <w:rFonts w:ascii="Tahoma" w:hAnsi="Tahoma" w:cs="Tahoma"/>
        </w:rPr>
      </w:pPr>
      <w:r w:rsidRPr="00821AF6">
        <w:rPr>
          <w:rFonts w:ascii="Tahoma" w:hAnsi="Tahoma" w:cs="Tahoma"/>
        </w:rPr>
        <w:t>ocena projektu z punktu widzenia mierzalnych i niemierzalnych efektów oddziaływania na środowisko.</w:t>
      </w:r>
    </w:p>
    <w:p w14:paraId="053AFB2F" w14:textId="2DA3CB11" w:rsidR="000C512A" w:rsidRPr="00821AF6" w:rsidRDefault="000C512A" w:rsidP="00BC2D12">
      <w:pPr>
        <w:rPr>
          <w:rFonts w:cs="Tahoma"/>
          <w:color w:val="000000"/>
        </w:rPr>
      </w:pPr>
      <w:r w:rsidRPr="00821AF6">
        <w:rPr>
          <w:rFonts w:cs="Tahoma"/>
          <w:color w:val="000000"/>
        </w:rPr>
        <w:t xml:space="preserve">Analiza korzyści użytkowników koncentruje się na efektach inwestycji z perspektywy dobrobytu społecznego, dlatego wyłączono z niej przychody </w:t>
      </w:r>
      <w:r w:rsidR="00C73F5E">
        <w:rPr>
          <w:rFonts w:cs="Tahoma"/>
          <w:color w:val="000000"/>
        </w:rPr>
        <w:t>MPK</w:t>
      </w:r>
      <w:r w:rsidR="00BC2D12">
        <w:rPr>
          <w:rFonts w:cs="Tahoma"/>
          <w:color w:val="000000"/>
        </w:rPr>
        <w:t>-Rzeszów</w:t>
      </w:r>
      <w:r w:rsidR="00C73F5E">
        <w:rPr>
          <w:rFonts w:cs="Tahoma"/>
          <w:color w:val="000000"/>
        </w:rPr>
        <w:t xml:space="preserve"> </w:t>
      </w:r>
      <w:r w:rsidR="0051619C" w:rsidRPr="00821AF6">
        <w:rPr>
          <w:rFonts w:cs="Tahoma"/>
          <w:color w:val="000000"/>
        </w:rPr>
        <w:t>sp</w:t>
      </w:r>
      <w:r w:rsidR="00DF7793" w:rsidRPr="00821AF6">
        <w:rPr>
          <w:rFonts w:cs="Tahoma"/>
          <w:color w:val="000000"/>
        </w:rPr>
        <w:t>. z o.o.</w:t>
      </w:r>
      <w:r w:rsidR="00BF0EDC" w:rsidRPr="00821AF6">
        <w:rPr>
          <w:rFonts w:cs="Tahoma"/>
          <w:color w:val="000000"/>
        </w:rPr>
        <w:t xml:space="preserve"> </w:t>
      </w:r>
      <w:r w:rsidRPr="00821AF6">
        <w:rPr>
          <w:rFonts w:cs="Tahoma"/>
          <w:color w:val="000000"/>
        </w:rPr>
        <w:t xml:space="preserve">i </w:t>
      </w:r>
      <w:r w:rsidR="00771FCF" w:rsidRPr="00821AF6">
        <w:rPr>
          <w:rFonts w:cs="Tahoma"/>
          <w:color w:val="000000"/>
        </w:rPr>
        <w:t xml:space="preserve">Miasta </w:t>
      </w:r>
      <w:r w:rsidR="00221687">
        <w:rPr>
          <w:rFonts w:cs="Tahoma"/>
          <w:color w:val="000000"/>
        </w:rPr>
        <w:t>Rzeszowa</w:t>
      </w:r>
      <w:r w:rsidR="00E366DC" w:rsidRPr="00821AF6">
        <w:rPr>
          <w:rFonts w:cs="Tahoma"/>
          <w:color w:val="000000"/>
        </w:rPr>
        <w:t>, w</w:t>
      </w:r>
      <w:r w:rsidR="00E4410E" w:rsidRPr="00821AF6">
        <w:rPr>
          <w:rFonts w:cs="Tahoma"/>
          <w:color w:val="000000"/>
        </w:rPr>
        <w:t> </w:t>
      </w:r>
      <w:r w:rsidRPr="00821AF6">
        <w:rPr>
          <w:rFonts w:cs="Tahoma"/>
          <w:color w:val="000000"/>
        </w:rPr>
        <w:t xml:space="preserve">szczególności wyeliminowano </w:t>
      </w:r>
      <w:r w:rsidR="00E366DC" w:rsidRPr="00821AF6">
        <w:rPr>
          <w:rFonts w:cs="Tahoma"/>
          <w:color w:val="000000"/>
        </w:rPr>
        <w:t>ich wzajemne</w:t>
      </w:r>
      <w:r w:rsidR="003500BD">
        <w:rPr>
          <w:rFonts w:cs="Tahoma"/>
          <w:color w:val="000000"/>
        </w:rPr>
        <w:t xml:space="preserve"> rozliczenia </w:t>
      </w:r>
      <w:r w:rsidR="00E366DC" w:rsidRPr="00821AF6">
        <w:rPr>
          <w:rFonts w:cs="Tahoma"/>
          <w:color w:val="000000"/>
        </w:rPr>
        <w:t xml:space="preserve">w zakresie </w:t>
      </w:r>
      <w:r w:rsidRPr="00821AF6">
        <w:rPr>
          <w:rFonts w:cs="Tahoma"/>
          <w:color w:val="000000"/>
        </w:rPr>
        <w:t>przekazywanej rekompensaty</w:t>
      </w:r>
      <w:r w:rsidR="00BC2D12">
        <w:rPr>
          <w:rFonts w:cs="Tahoma"/>
          <w:color w:val="000000"/>
        </w:rPr>
        <w:t xml:space="preserve"> i opłat za dzierżawę autobusów</w:t>
      </w:r>
      <w:r w:rsidRPr="00821AF6">
        <w:rPr>
          <w:rFonts w:cs="Tahoma"/>
          <w:color w:val="000000"/>
        </w:rPr>
        <w:t>. Uwzględniono natomiast korzyści w postaci oszczędności w kosztach eksploatacyjnych, które wystąpią w wyniku realizacji wybranego wariantu – zostały one przeniesione z</w:t>
      </w:r>
      <w:r w:rsidR="00E4410E" w:rsidRPr="00821AF6">
        <w:rPr>
          <w:rFonts w:cs="Tahoma"/>
          <w:color w:val="000000"/>
        </w:rPr>
        <w:t> </w:t>
      </w:r>
      <w:r w:rsidRPr="00821AF6">
        <w:rPr>
          <w:rFonts w:cs="Tahoma"/>
          <w:color w:val="000000"/>
        </w:rPr>
        <w:t>analizy finansowej do analizy społeczno-ekonomicznej.</w:t>
      </w:r>
    </w:p>
    <w:p w14:paraId="42C2E83B" w14:textId="77777777" w:rsidR="000C512A" w:rsidRPr="00821AF6" w:rsidRDefault="000C512A" w:rsidP="00BC2D12">
      <w:pPr>
        <w:rPr>
          <w:rFonts w:cs="Tahoma"/>
          <w:color w:val="000000"/>
        </w:rPr>
      </w:pPr>
      <w:r w:rsidRPr="00821AF6">
        <w:rPr>
          <w:rFonts w:cs="Tahoma"/>
          <w:color w:val="000000"/>
        </w:rPr>
        <w:t>Do analizy kosztów i korzyści społecznych włączono wyłącznie efekty bezpośrednio wynikające z danego wariantu. Analiza nie obejmuje zatem efektów rozproszonych w gospodarce, takich jak efekty mnożnikowe.</w:t>
      </w:r>
    </w:p>
    <w:p w14:paraId="4A53F514" w14:textId="130D4B56" w:rsidR="00E4410E" w:rsidRPr="00821AF6" w:rsidRDefault="00E4410E" w:rsidP="00BC2D12">
      <w:pPr>
        <w:rPr>
          <w:rFonts w:cs="Tahoma"/>
          <w:color w:val="000000"/>
        </w:rPr>
      </w:pPr>
      <w:r w:rsidRPr="00821AF6">
        <w:rPr>
          <w:rFonts w:cs="Tahoma"/>
          <w:color w:val="000000"/>
        </w:rPr>
        <w:t xml:space="preserve">Identyfikacji oraz </w:t>
      </w:r>
      <w:proofErr w:type="spellStart"/>
      <w:r w:rsidRPr="00821AF6">
        <w:rPr>
          <w:rFonts w:cs="Tahoma"/>
          <w:color w:val="000000"/>
        </w:rPr>
        <w:t>zmonetyzowaniu</w:t>
      </w:r>
      <w:proofErr w:type="spellEnd"/>
      <w:r w:rsidRPr="00821AF6">
        <w:rPr>
          <w:rFonts w:cs="Tahoma"/>
          <w:color w:val="000000"/>
        </w:rPr>
        <w:t xml:space="preserve"> poddano efekty zewnętrzne – zgodnie z katalogiem efektów zawartym w Załączniku III do Rozporządzenia </w:t>
      </w:r>
      <w:r w:rsidR="008C7F5B" w:rsidRPr="00821AF6">
        <w:rPr>
          <w:rFonts w:cs="Tahoma"/>
          <w:color w:val="000000"/>
        </w:rPr>
        <w:t xml:space="preserve">wykonawczego Komisji UE nr </w:t>
      </w:r>
      <w:r w:rsidRPr="00821AF6">
        <w:rPr>
          <w:rFonts w:cs="Tahoma"/>
          <w:color w:val="000000"/>
        </w:rPr>
        <w:t>207/2015</w:t>
      </w:r>
      <w:r w:rsidR="008C7F5B" w:rsidRPr="00821AF6">
        <w:rPr>
          <w:rFonts w:cs="Tahoma"/>
          <w:color w:val="000000"/>
        </w:rPr>
        <w:t xml:space="preserve"> z dnia 20 stycznia 2015 r</w:t>
      </w:r>
      <w:r w:rsidRPr="00821AF6">
        <w:rPr>
          <w:rFonts w:cs="Tahoma"/>
          <w:color w:val="000000"/>
        </w:rPr>
        <w:t>.</w:t>
      </w:r>
      <w:r w:rsidR="00145DBA">
        <w:rPr>
          <w:rFonts w:cs="Tahoma"/>
          <w:color w:val="000000"/>
        </w:rPr>
        <w:t>,</w:t>
      </w:r>
      <w:r w:rsidRPr="00821AF6">
        <w:rPr>
          <w:rFonts w:cs="Tahoma"/>
          <w:color w:val="000000"/>
        </w:rPr>
        <w:t xml:space="preserve"> </w:t>
      </w:r>
      <w:r w:rsidR="007F510B" w:rsidRPr="00821AF6">
        <w:rPr>
          <w:rFonts w:cs="Tahoma"/>
          <w:color w:val="000000"/>
        </w:rPr>
        <w:t xml:space="preserve">w wersji aktualnej na </w:t>
      </w:r>
      <w:r w:rsidR="00751507" w:rsidRPr="00821AF6">
        <w:rPr>
          <w:rFonts w:cs="Tahoma"/>
          <w:color w:val="000000"/>
        </w:rPr>
        <w:t xml:space="preserve">dzień </w:t>
      </w:r>
      <w:r w:rsidR="00145DBA">
        <w:rPr>
          <w:rFonts w:cs="Tahoma"/>
          <w:color w:val="000000"/>
        </w:rPr>
        <w:t xml:space="preserve">20 września </w:t>
      </w:r>
      <w:r w:rsidR="007F510B" w:rsidRPr="00821AF6">
        <w:rPr>
          <w:rFonts w:cs="Tahoma"/>
          <w:color w:val="000000"/>
        </w:rPr>
        <w:t xml:space="preserve">2021 r. </w:t>
      </w:r>
      <w:r w:rsidRPr="00821AF6">
        <w:rPr>
          <w:rFonts w:cs="Tahoma"/>
          <w:color w:val="000000"/>
        </w:rPr>
        <w:t>Ze względu na</w:t>
      </w:r>
      <w:r w:rsidR="00751507" w:rsidRPr="00821AF6">
        <w:rPr>
          <w:rFonts w:cs="Tahoma"/>
          <w:color w:val="000000"/>
        </w:rPr>
        <w:t> </w:t>
      </w:r>
      <w:r w:rsidRPr="00821AF6">
        <w:rPr>
          <w:rFonts w:cs="Tahoma"/>
          <w:color w:val="000000"/>
        </w:rPr>
        <w:t>specyfikę i charakter analizy, zgodnie z wymogami art. 37 ust. 2 pkt 3 ustawy o elektromobilności, ujęto w niej efekty zewnętrzne związane z</w:t>
      </w:r>
      <w:r w:rsidR="0071202E" w:rsidRPr="00821AF6">
        <w:rPr>
          <w:rFonts w:cs="Tahoma"/>
          <w:color w:val="000000"/>
        </w:rPr>
        <w:t> </w:t>
      </w:r>
      <w:r w:rsidRPr="00821AF6">
        <w:rPr>
          <w:rFonts w:cs="Tahoma"/>
          <w:color w:val="000000"/>
        </w:rPr>
        <w:t>emisją:</w:t>
      </w:r>
    </w:p>
    <w:p w14:paraId="11EDCB59" w14:textId="77777777" w:rsidR="000252BC" w:rsidRPr="00821AF6" w:rsidRDefault="00E4410E" w:rsidP="00BC2D12">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gazów cieplarnianych (CO</w:t>
      </w:r>
      <w:r w:rsidRPr="00821AF6">
        <w:rPr>
          <w:rFonts w:ascii="Tahoma" w:hAnsi="Tahoma" w:cs="Tahoma"/>
          <w:vertAlign w:val="subscript"/>
        </w:rPr>
        <w:t>2</w:t>
      </w:r>
      <w:r w:rsidRPr="00821AF6">
        <w:rPr>
          <w:rFonts w:ascii="Tahoma" w:hAnsi="Tahoma" w:cs="Tahoma"/>
        </w:rPr>
        <w:t>);</w:t>
      </w:r>
    </w:p>
    <w:p w14:paraId="6A9EC8F5" w14:textId="77777777" w:rsidR="000252BC" w:rsidRPr="00821AF6" w:rsidRDefault="00E4410E" w:rsidP="00BC2D12">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gazów innych niż cieplarniane (tj. lokalne skutki zanieczyszczenia powietrza);</w:t>
      </w:r>
    </w:p>
    <w:p w14:paraId="68903E9C" w14:textId="77777777" w:rsidR="000252BC" w:rsidRPr="00821AF6" w:rsidRDefault="00E4410E" w:rsidP="00BC2D12">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hałasu.</w:t>
      </w:r>
    </w:p>
    <w:p w14:paraId="355E800D" w14:textId="7C2E58CF" w:rsidR="00E4410E" w:rsidRPr="00821AF6" w:rsidRDefault="00E4410E" w:rsidP="00BC2D12">
      <w:pPr>
        <w:rPr>
          <w:rFonts w:cs="Tahoma"/>
          <w:color w:val="000000"/>
        </w:rPr>
      </w:pPr>
      <w:r w:rsidRPr="00821AF6">
        <w:rPr>
          <w:rFonts w:cs="Tahoma"/>
          <w:color w:val="000000"/>
        </w:rPr>
        <w:t xml:space="preserve">Dokonując wyceny efektów zewnętrznych zastosowano ogólne zasady metodyczne ilościowej analizy kosztów i korzyści, w tym monetyzacji efektów społeczno-ekonomicznych, które opisano w Przewodniku, Niebieskiej Księdze, a także w Vademecum Beneficjenta – wymienionych w </w:t>
      </w:r>
      <w:r w:rsidR="00017715" w:rsidRPr="00821AF6">
        <w:rPr>
          <w:rFonts w:cs="Tahoma"/>
          <w:color w:val="000000"/>
        </w:rPr>
        <w:t xml:space="preserve">rozdziale </w:t>
      </w:r>
      <w:r w:rsidR="002A5262">
        <w:rPr>
          <w:rFonts w:cs="Tahoma"/>
          <w:color w:val="000000"/>
        </w:rPr>
        <w:t>2</w:t>
      </w:r>
      <w:r w:rsidRPr="00821AF6">
        <w:rPr>
          <w:rFonts w:cs="Tahoma"/>
          <w:color w:val="000000"/>
        </w:rPr>
        <w:t>.</w:t>
      </w:r>
      <w:r w:rsidR="00017715" w:rsidRPr="00821AF6">
        <w:rPr>
          <w:rFonts w:cs="Tahoma"/>
          <w:color w:val="000000"/>
        </w:rPr>
        <w:t>1</w:t>
      </w:r>
      <w:r w:rsidRPr="00821AF6">
        <w:rPr>
          <w:rFonts w:cs="Tahoma"/>
          <w:color w:val="000000"/>
        </w:rPr>
        <w:t xml:space="preserve"> opracowania. W analizie pominięto korzyści wynikające ze zwiększenia liczby pasażerów – z uwagi na przyjęte założenie jednakowego wzrostu liczby pasażerów dla każdego z wariantów.</w:t>
      </w:r>
    </w:p>
    <w:p w14:paraId="05633770" w14:textId="2495D398" w:rsidR="00E4410E" w:rsidRPr="00821AF6" w:rsidRDefault="00E4410E" w:rsidP="00BC2D12">
      <w:pPr>
        <w:rPr>
          <w:rFonts w:cs="Tahoma"/>
          <w:color w:val="000000"/>
        </w:rPr>
      </w:pPr>
      <w:r w:rsidRPr="00821AF6">
        <w:rPr>
          <w:rFonts w:cs="Tahoma"/>
          <w:color w:val="000000"/>
        </w:rPr>
        <w:t>Analizę przeprowadzono metodą różnicową, polegającą na porównaniu przepływów danego wariantu z przepływami scenariusza bazowego, zakładającego kontynuację funkcjonowania transportu publicznego w podobnym jak obecnie kształcie</w:t>
      </w:r>
      <w:r w:rsidR="001064C8" w:rsidRPr="00821AF6">
        <w:rPr>
          <w:rFonts w:cs="Tahoma"/>
          <w:color w:val="000000"/>
        </w:rPr>
        <w:t>, lecz opóźnienie decyzji inwestycyjnych</w:t>
      </w:r>
      <w:r w:rsidR="003500BD">
        <w:rPr>
          <w:rFonts w:cs="Tahoma"/>
          <w:color w:val="000000"/>
        </w:rPr>
        <w:t xml:space="preserve"> i korzystanie z taboru używanego</w:t>
      </w:r>
      <w:r w:rsidR="001064C8" w:rsidRPr="00821AF6">
        <w:rPr>
          <w:rFonts w:cs="Tahoma"/>
          <w:color w:val="000000"/>
        </w:rPr>
        <w:t>.</w:t>
      </w:r>
    </w:p>
    <w:p w14:paraId="6B2FBFF1" w14:textId="77777777" w:rsidR="001122B6" w:rsidRPr="00821AF6" w:rsidRDefault="001122B6" w:rsidP="00BC2D12">
      <w:pPr>
        <w:rPr>
          <w:rFonts w:cs="Tahoma"/>
          <w:color w:val="000000"/>
        </w:rPr>
      </w:pPr>
      <w:r w:rsidRPr="00821AF6">
        <w:rPr>
          <w:rFonts w:cs="Tahoma"/>
          <w:color w:val="000000"/>
        </w:rPr>
        <w:t xml:space="preserve">Aspekty podatkowe uwzględniono w analizie społeczno-ekonomicznej, bowiem wielkości będące przedmiotem analizy finansowej wymagają korekty – w celu lepszego oddania rzeczywistych cen. Jest to niezbędne, jeśli wykorzystywane dobra i usługi, bądź produkty wynikające </w:t>
      </w:r>
      <w:r w:rsidRPr="00821AF6">
        <w:rPr>
          <w:rFonts w:cs="Tahoma"/>
          <w:color w:val="000000"/>
        </w:rPr>
        <w:lastRenderedPageBreak/>
        <w:t>z wariantu, zawierają podatek VAT lub inne podatki pośrednie albo zawierają ukryte subsydia (ewentualnie opłaty), mające na celu ograniczenie kosztów społecznych (np. w cenie energii zawarty jest pośredni podatek przeznaczony na pokrycie przyszłych kosztów ekologicznych – w takim przypadku należy uniknąć podwójnego naliczenia kosztów ekologicznych w analizie ekonomicznej).</w:t>
      </w:r>
    </w:p>
    <w:p w14:paraId="21E36110" w14:textId="77777777" w:rsidR="001122B6" w:rsidRPr="00821AF6" w:rsidRDefault="001122B6" w:rsidP="00BC2D12">
      <w:pPr>
        <w:rPr>
          <w:rFonts w:cs="Tahoma"/>
          <w:color w:val="000000"/>
        </w:rPr>
      </w:pPr>
      <w:r w:rsidRPr="00821AF6">
        <w:rPr>
          <w:rFonts w:cs="Tahoma"/>
          <w:color w:val="000000"/>
        </w:rPr>
        <w:t>Zgodnie z zaleceniami zawartymi w Niebieskiej Księdze, w analizie społeczno-ekonomicznej dokonano korekty cen rynkowych na ceny ukryte, które lepiej odwzorowują korzyści społeczne.</w:t>
      </w:r>
    </w:p>
    <w:p w14:paraId="49094549" w14:textId="77777777" w:rsidR="001122B6" w:rsidRPr="00821AF6" w:rsidRDefault="001122B6" w:rsidP="00BC2D12">
      <w:pPr>
        <w:rPr>
          <w:rFonts w:cs="Tahoma"/>
          <w:color w:val="000000"/>
        </w:rPr>
      </w:pPr>
      <w:r w:rsidRPr="00821AF6">
        <w:rPr>
          <w:rFonts w:cs="Tahoma"/>
          <w:color w:val="000000"/>
        </w:rPr>
        <w:t>W celu wyeliminowania zakłóceń (podatkowych i innych niedoskonałości rynku) na rynku energii i rynku pracy, zastosowano współczynniki konwersji CF, przedstawione w Vademecum Beneficjenta</w:t>
      </w:r>
      <w:r w:rsidRPr="00821AF6">
        <w:rPr>
          <w:rFonts w:cs="Tahoma"/>
          <w:i/>
          <w:color w:val="000000"/>
        </w:rPr>
        <w:t xml:space="preserve"> </w:t>
      </w:r>
      <w:r w:rsidRPr="00821AF6">
        <w:rPr>
          <w:rFonts w:cs="Tahoma"/>
          <w:color w:val="000000"/>
        </w:rPr>
        <w:t>(s. 27) – odpowiednio w wysokości:</w:t>
      </w:r>
    </w:p>
    <w:p w14:paraId="03B3ED92" w14:textId="77777777" w:rsidR="001122B6" w:rsidRPr="00821AF6" w:rsidRDefault="001122B6" w:rsidP="00BC2D12">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dla nakładów inwestycyjnych w zakresie infrastruktury – 0,83;</w:t>
      </w:r>
    </w:p>
    <w:p w14:paraId="28ADAAAB" w14:textId="77777777" w:rsidR="001122B6" w:rsidRPr="00821AF6" w:rsidRDefault="001122B6" w:rsidP="00BC2D12">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dla nakładów inwestycyjnych w zakresie taboru – 0,87;</w:t>
      </w:r>
    </w:p>
    <w:p w14:paraId="2979378B" w14:textId="77777777" w:rsidR="001122B6" w:rsidRPr="00821AF6" w:rsidRDefault="001122B6" w:rsidP="00BC2D12">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dla kosztów operacyjnych – 0,78.</w:t>
      </w:r>
    </w:p>
    <w:p w14:paraId="22F4AF72" w14:textId="77777777" w:rsidR="00C94484" w:rsidRPr="00821AF6" w:rsidRDefault="00C94484" w:rsidP="00BC2D12">
      <w:pPr>
        <w:rPr>
          <w:rFonts w:cs="Tahoma"/>
          <w:color w:val="000000"/>
        </w:rPr>
      </w:pPr>
      <w:r w:rsidRPr="00821AF6">
        <w:rPr>
          <w:rFonts w:cs="Tahoma"/>
          <w:color w:val="000000"/>
        </w:rPr>
        <w:t>Zastosowane w analizie finansowej kategorie kosztowe nie zawierają podatku VAT ani innych ukrytych opłat pośrednich, nie dokonywano zatem korekty o podatek VAT. Nie ma także konieczności ujmowania korekty podatku CIT w analizie kosztów i korzyści społecznych, ponieważ przepływy pieniężne w analizie finansowej projektu nie zawierają podatku CIT.</w:t>
      </w:r>
    </w:p>
    <w:p w14:paraId="1FFB66FB" w14:textId="77777777" w:rsidR="00C94484" w:rsidRPr="00821AF6" w:rsidRDefault="00C94484" w:rsidP="00BC2D12">
      <w:pPr>
        <w:rPr>
          <w:rFonts w:cs="Tahoma"/>
          <w:color w:val="000000"/>
        </w:rPr>
      </w:pPr>
      <w:r w:rsidRPr="00821AF6">
        <w:rPr>
          <w:rFonts w:cs="Tahoma"/>
          <w:color w:val="000000"/>
        </w:rPr>
        <w:t>Poniżej przedstawiono założenia i metodę kwantyfikacji poszczególnych kategorii efektów zewnętrznych, zidentyfikowanych dla poszczególnych wariantów.</w:t>
      </w:r>
    </w:p>
    <w:p w14:paraId="0AAA785D" w14:textId="77777777" w:rsidR="00C94484" w:rsidRPr="00821AF6" w:rsidRDefault="00C94484" w:rsidP="00BC2D12">
      <w:pPr>
        <w:keepNext/>
        <w:spacing w:before="120"/>
        <w:ind w:firstLine="0"/>
        <w:jc w:val="center"/>
        <w:rPr>
          <w:rFonts w:cs="Tahoma"/>
          <w:color w:val="000000"/>
          <w:u w:val="single"/>
        </w:rPr>
      </w:pPr>
      <w:r w:rsidRPr="00821AF6">
        <w:rPr>
          <w:rFonts w:cs="Tahoma"/>
          <w:color w:val="000000"/>
          <w:u w:val="single"/>
        </w:rPr>
        <w:t>Emisja gazów cieplarnianych</w:t>
      </w:r>
    </w:p>
    <w:p w14:paraId="48D83EB5" w14:textId="564E2B57" w:rsidR="00C94484" w:rsidRPr="00821AF6" w:rsidRDefault="00C94484" w:rsidP="00BC2D12">
      <w:pPr>
        <w:rPr>
          <w:rFonts w:cs="Tahoma"/>
          <w:color w:val="000000"/>
        </w:rPr>
      </w:pPr>
      <w:r w:rsidRPr="00821AF6">
        <w:rPr>
          <w:rFonts w:cs="Tahoma"/>
          <w:color w:val="000000"/>
        </w:rPr>
        <w:t>Ocena oddziaływań zmian klimatycznych umożliwia określenie wartości ekonomicznej przyrostowych oddziaływań emisji gazów cieplarnianych na zmiany klimatyczne, generowanych przez pojazdy wykorzystujące infrastrukturę transportową. Emisje gazów cieplarnianych są wyrażane jako ekwiwalent CO</w:t>
      </w:r>
      <w:r w:rsidRPr="00821AF6">
        <w:rPr>
          <w:rFonts w:cs="Tahoma"/>
          <w:color w:val="000000"/>
          <w:vertAlign w:val="subscript"/>
        </w:rPr>
        <w:t>2</w:t>
      </w:r>
      <w:r w:rsidRPr="00821AF6">
        <w:rPr>
          <w:rFonts w:cs="Tahoma"/>
          <w:color w:val="000000"/>
        </w:rPr>
        <w:t xml:space="preserve">, zgodnie z metodyką zawartą w opracowaniu pt. </w:t>
      </w:r>
      <w:r w:rsidRPr="00821AF6">
        <w:rPr>
          <w:rFonts w:cs="Tahoma"/>
          <w:i/>
          <w:color w:val="000000"/>
          <w:lang w:val="en-GB"/>
        </w:rPr>
        <w:t>„</w:t>
      </w:r>
      <w:r w:rsidRPr="00821AF6">
        <w:rPr>
          <w:rFonts w:cs="Tahoma"/>
          <w:color w:val="000000"/>
          <w:lang w:val="en-GB"/>
        </w:rPr>
        <w:t xml:space="preserve">European Investment Bank Induced GHG Footprint. </w:t>
      </w:r>
      <w:r w:rsidRPr="00821AF6">
        <w:rPr>
          <w:rFonts w:cs="Tahoma"/>
          <w:color w:val="000000"/>
          <w:lang w:val="en-US"/>
        </w:rPr>
        <w:t xml:space="preserve">The carbon footprint of projects financed by the Bank. Methodologies for the Assessment of Project GHG Emissions and Emission Variations. </w:t>
      </w:r>
      <w:r w:rsidRPr="00821AF6">
        <w:rPr>
          <w:rFonts w:cs="Tahoma"/>
          <w:color w:val="000000"/>
        </w:rPr>
        <w:t>Version 10.1”, kwiecień 2014 r.</w:t>
      </w:r>
    </w:p>
    <w:p w14:paraId="2AEA8510" w14:textId="77777777" w:rsidR="00C94484" w:rsidRPr="00821AF6" w:rsidRDefault="00C94484" w:rsidP="00BC2D12">
      <w:pPr>
        <w:rPr>
          <w:rFonts w:cs="Tahoma"/>
          <w:color w:val="000000"/>
        </w:rPr>
      </w:pPr>
      <w:r w:rsidRPr="00821AF6">
        <w:rPr>
          <w:rFonts w:cs="Tahoma"/>
          <w:color w:val="000000"/>
        </w:rPr>
        <w:t>Jednostkowe koszty emisji gazów cieplarnianych są wprost zależne od zużycia paliwa, przy czym wskaźnik przeliczeniowy wynosi: 1 litr oleju napędowego = 2,68 kg CO</w:t>
      </w:r>
      <w:r w:rsidRPr="00821AF6">
        <w:rPr>
          <w:rFonts w:cs="Tahoma"/>
          <w:color w:val="000000"/>
          <w:vertAlign w:val="subscript"/>
        </w:rPr>
        <w:t>2</w:t>
      </w:r>
      <w:r w:rsidRPr="00821AF6">
        <w:rPr>
          <w:rFonts w:cs="Tahoma"/>
          <w:color w:val="000000"/>
        </w:rPr>
        <w:t>. Wielkość emisji gazów została pomnożona przez współczynnik kosztu jednostkowego CO</w:t>
      </w:r>
      <w:r w:rsidRPr="00821AF6">
        <w:rPr>
          <w:rFonts w:cs="Tahoma"/>
          <w:color w:val="000000"/>
          <w:vertAlign w:val="subscript"/>
        </w:rPr>
        <w:t>2</w:t>
      </w:r>
      <w:r w:rsidRPr="00821AF6">
        <w:rPr>
          <w:rFonts w:cs="Tahoma"/>
          <w:color w:val="000000"/>
        </w:rPr>
        <w:t>, czego wynikiem jest całkowity koszt zmian klimatycznych.</w:t>
      </w:r>
    </w:p>
    <w:p w14:paraId="01FF9274" w14:textId="77777777" w:rsidR="00C94484" w:rsidRPr="00821AF6" w:rsidRDefault="00C94484" w:rsidP="00BC2D12">
      <w:pPr>
        <w:rPr>
          <w:rFonts w:cs="Tahoma"/>
          <w:color w:val="000000"/>
        </w:rPr>
      </w:pPr>
      <w:r w:rsidRPr="00821AF6">
        <w:rPr>
          <w:rFonts w:cs="Tahoma"/>
          <w:color w:val="000000"/>
        </w:rPr>
        <w:t>Koszt jednostkowy emisji CO</w:t>
      </w:r>
      <w:r w:rsidRPr="00821AF6">
        <w:rPr>
          <w:rFonts w:cs="Tahoma"/>
          <w:color w:val="000000"/>
          <w:vertAlign w:val="subscript"/>
        </w:rPr>
        <w:t xml:space="preserve">2 </w:t>
      </w:r>
      <w:r w:rsidRPr="00821AF6">
        <w:rPr>
          <w:rFonts w:cs="Tahoma"/>
          <w:color w:val="000000"/>
        </w:rPr>
        <w:t>został przyjęty w analizie na podstawie powyższej metodologii. Zgodnie z rekomendacjami CUPT, wykorzystano scenariusz średni z tego opracowania, w którym koszt klimatyczny emisji 1 tony CO</w:t>
      </w:r>
      <w:r w:rsidRPr="00821AF6">
        <w:rPr>
          <w:rFonts w:cs="Tahoma"/>
          <w:color w:val="000000"/>
          <w:vertAlign w:val="subscript"/>
        </w:rPr>
        <w:t>2</w:t>
      </w:r>
      <w:r w:rsidRPr="00821AF6">
        <w:rPr>
          <w:rFonts w:cs="Tahoma"/>
          <w:color w:val="000000"/>
        </w:rPr>
        <w:t xml:space="preserve"> oszacowano na 25 euro. Indeksacja tego kosztu </w:t>
      </w:r>
      <w:r w:rsidRPr="00821AF6">
        <w:rPr>
          <w:rFonts w:cs="Tahoma"/>
          <w:color w:val="000000"/>
        </w:rPr>
        <w:lastRenderedPageBreak/>
        <w:t>polega na dodaniu do wartości dla roku poprzedniego, wzrostu rocznego w wysokości 1 euro na 1 tonę CO</w:t>
      </w:r>
      <w:r w:rsidRPr="00821AF6">
        <w:rPr>
          <w:rFonts w:cs="Tahoma"/>
          <w:color w:val="000000"/>
          <w:vertAlign w:val="subscript"/>
        </w:rPr>
        <w:t>2</w:t>
      </w:r>
      <w:r w:rsidRPr="00821AF6">
        <w:rPr>
          <w:rFonts w:cs="Tahoma"/>
          <w:color w:val="000000"/>
        </w:rPr>
        <w:t xml:space="preserve"> (w cenach z 2006 r.). W celu przeliczenia na złote, w każdym roku analizy wykorzystano średni kurs roczny EUR/PLN, podawany przez Europejski Bank Centralny (EBC). Indeksacja kosztów zmian klimatycznych jest niezależna od dynamiki PKB </w:t>
      </w:r>
      <w:r w:rsidRPr="00821AF6">
        <w:rPr>
          <w:rFonts w:cs="Tahoma"/>
          <w:i/>
          <w:color w:val="000000"/>
        </w:rPr>
        <w:t>per capita</w:t>
      </w:r>
      <w:r w:rsidRPr="00821AF6">
        <w:rPr>
          <w:rFonts w:cs="Tahoma"/>
          <w:color w:val="000000"/>
        </w:rPr>
        <w:t>.</w:t>
      </w:r>
    </w:p>
    <w:p w14:paraId="44A2253C" w14:textId="270378C3" w:rsidR="00C94484" w:rsidRPr="00821AF6" w:rsidRDefault="00C94484" w:rsidP="007401F5">
      <w:pPr>
        <w:rPr>
          <w:rFonts w:cs="Tahoma"/>
          <w:color w:val="000000"/>
        </w:rPr>
      </w:pPr>
      <w:r w:rsidRPr="00821AF6">
        <w:rPr>
          <w:rFonts w:cs="Tahoma"/>
          <w:color w:val="000000"/>
        </w:rPr>
        <w:t xml:space="preserve">Do obliczeń przyjęto wartości jednostkowe uzyskane zgodnie z Kalkulatorem emisji zanieczyszczeń i kosztów klimatu dla środków transportu publicznego CUPT, dostępnym w serwisie internetowym tej instytucji </w:t>
      </w:r>
      <w:bookmarkStart w:id="89" w:name="_Hlk85149908"/>
      <w:r w:rsidRPr="00821AF6">
        <w:rPr>
          <w:rFonts w:cs="Tahoma"/>
          <w:color w:val="000000"/>
        </w:rPr>
        <w:t>(</w:t>
      </w:r>
      <w:r w:rsidR="007401F5" w:rsidRPr="007401F5">
        <w:rPr>
          <w:rFonts w:cs="Tahoma"/>
          <w:color w:val="000000"/>
        </w:rPr>
        <w:t>www.cupt.gov.pl/wdrazanie-projektow/analiza-kosztow-i-korzysci/narzedzia/tablice-kosztow-jednostkowych-do-wykorzystania-w-analizach-kosztow-i-korzysci</w:t>
      </w:r>
      <w:r w:rsidR="00F04EE1" w:rsidRPr="00821AF6">
        <w:rPr>
          <w:rFonts w:cs="Tahoma"/>
          <w:color w:val="000000"/>
        </w:rPr>
        <w:t xml:space="preserve">, </w:t>
      </w:r>
      <w:r w:rsidRPr="00821AF6">
        <w:rPr>
          <w:rFonts w:cs="Tahoma"/>
          <w:color w:val="000000"/>
        </w:rPr>
        <w:t xml:space="preserve">dostęp: </w:t>
      </w:r>
      <w:r w:rsidR="003A55FF" w:rsidRPr="00821AF6">
        <w:rPr>
          <w:rFonts w:cs="Tahoma"/>
          <w:color w:val="000000"/>
        </w:rPr>
        <w:t>20</w:t>
      </w:r>
      <w:r w:rsidR="007401F5">
        <w:rPr>
          <w:rFonts w:cs="Tahoma"/>
          <w:color w:val="000000"/>
        </w:rPr>
        <w:t>.11</w:t>
      </w:r>
      <w:r w:rsidR="00F04EE1" w:rsidRPr="00821AF6">
        <w:rPr>
          <w:rFonts w:cs="Tahoma"/>
          <w:color w:val="000000"/>
        </w:rPr>
        <w:t>.2021</w:t>
      </w:r>
      <w:r w:rsidRPr="00821AF6">
        <w:rPr>
          <w:rFonts w:cs="Tahoma"/>
          <w:color w:val="000000"/>
        </w:rPr>
        <w:t xml:space="preserve"> r.).</w:t>
      </w:r>
    </w:p>
    <w:bookmarkEnd w:id="89"/>
    <w:p w14:paraId="1B7B5860" w14:textId="66E5FACA" w:rsidR="00C94484" w:rsidRPr="00821AF6" w:rsidRDefault="00C94484" w:rsidP="007401F5">
      <w:pPr>
        <w:rPr>
          <w:rFonts w:cs="Tahoma"/>
          <w:color w:val="000000"/>
        </w:rPr>
      </w:pPr>
      <w:r w:rsidRPr="00821AF6">
        <w:rPr>
          <w:rFonts w:cs="Tahoma"/>
          <w:color w:val="000000"/>
        </w:rPr>
        <w:t>Kalkulacja ilości emisji CO</w:t>
      </w:r>
      <w:r w:rsidRPr="00821AF6">
        <w:rPr>
          <w:rFonts w:cs="Tahoma"/>
          <w:color w:val="000000"/>
          <w:vertAlign w:val="subscript"/>
        </w:rPr>
        <w:t>2</w:t>
      </w:r>
      <w:r w:rsidRPr="00821AF6">
        <w:rPr>
          <w:rFonts w:cs="Tahoma"/>
          <w:color w:val="000000"/>
        </w:rPr>
        <w:t xml:space="preserve"> dla autobusów elektrycznych została oparta o zużycie energii elektrycznej oraz o wskaźnik emisyjności dla miksu energetycz</w:t>
      </w:r>
      <w:r w:rsidR="00F04EE1" w:rsidRPr="00821AF6">
        <w:rPr>
          <w:rFonts w:cs="Tahoma"/>
          <w:color w:val="000000"/>
        </w:rPr>
        <w:t>nego Polski.</w:t>
      </w:r>
      <w:r w:rsidRPr="00821AF6">
        <w:rPr>
          <w:rFonts w:cs="Tahoma"/>
          <w:color w:val="000000"/>
        </w:rPr>
        <w:t xml:space="preserve"> </w:t>
      </w:r>
      <w:r w:rsidR="00F04EE1" w:rsidRPr="00821AF6">
        <w:rPr>
          <w:rFonts w:cs="Tahoma"/>
          <w:color w:val="000000"/>
        </w:rPr>
        <w:t>Z uwagi na zmiany miksu paliwowego w sektorze elektroenergetycznym w Polsce</w:t>
      </w:r>
      <w:r w:rsidR="003A55FF" w:rsidRPr="00821AF6">
        <w:rPr>
          <w:rFonts w:cs="Tahoma"/>
          <w:color w:val="000000"/>
        </w:rPr>
        <w:t>,</w:t>
      </w:r>
      <w:r w:rsidR="00F04EE1" w:rsidRPr="00821AF6">
        <w:rPr>
          <w:rFonts w:cs="Tahoma"/>
          <w:color w:val="000000"/>
        </w:rPr>
        <w:t xml:space="preserve"> uwzględniono zmiany emisyjności CO</w:t>
      </w:r>
      <w:r w:rsidR="00F04EE1" w:rsidRPr="00821AF6">
        <w:rPr>
          <w:rFonts w:cs="Tahoma"/>
          <w:color w:val="000000"/>
          <w:vertAlign w:val="subscript"/>
        </w:rPr>
        <w:t>2</w:t>
      </w:r>
      <w:r w:rsidR="00F04EE1" w:rsidRPr="00821AF6">
        <w:rPr>
          <w:rFonts w:cs="Tahoma"/>
          <w:color w:val="000000"/>
        </w:rPr>
        <w:t xml:space="preserve"> w okresie analizy. Obliczeń dokonano w oparciu o scenariusz według Krajowego planu na rzecz energii i klimatu na lata 2021-2030.</w:t>
      </w:r>
    </w:p>
    <w:p w14:paraId="1FD2FCEA" w14:textId="0233D170" w:rsidR="00FF0338" w:rsidRPr="00821AF6" w:rsidRDefault="00FF0338" w:rsidP="007401F5">
      <w:pPr>
        <w:rPr>
          <w:rFonts w:cs="Tahoma"/>
          <w:color w:val="000000"/>
        </w:rPr>
      </w:pPr>
      <w:r w:rsidRPr="00821AF6">
        <w:rPr>
          <w:rFonts w:cs="Tahoma"/>
          <w:color w:val="000000"/>
        </w:rPr>
        <w:t>W tabeli 1</w:t>
      </w:r>
      <w:r w:rsidR="003500BD">
        <w:rPr>
          <w:rFonts w:cs="Tahoma"/>
          <w:color w:val="000000"/>
        </w:rPr>
        <w:t>3</w:t>
      </w:r>
      <w:r w:rsidRPr="00821AF6">
        <w:rPr>
          <w:rFonts w:cs="Tahoma"/>
          <w:color w:val="000000"/>
        </w:rPr>
        <w:t xml:space="preserve"> przedstawiono emisję gazów cieplarnianych (GHG) przy produkcji energii elektrycznej w Polsce – dane dla krajowego miksu energetycznego.</w:t>
      </w:r>
    </w:p>
    <w:p w14:paraId="1A9FE2DA" w14:textId="44FE7F5C" w:rsidR="000E76A3" w:rsidRPr="00821AF6" w:rsidRDefault="00F04EE1" w:rsidP="007401F5">
      <w:pPr>
        <w:keepNext/>
        <w:spacing w:before="240"/>
        <w:ind w:firstLine="0"/>
        <w:jc w:val="left"/>
        <w:rPr>
          <w:b/>
          <w:bCs/>
          <w:color w:val="000000"/>
          <w:szCs w:val="22"/>
        </w:rPr>
      </w:pPr>
      <w:r w:rsidRPr="00821AF6">
        <w:rPr>
          <w:b/>
          <w:bCs/>
          <w:color w:val="000000"/>
          <w:szCs w:val="22"/>
        </w:rPr>
        <w:t xml:space="preserve">Tab. </w:t>
      </w:r>
      <w:r w:rsidRPr="00821AF6">
        <w:rPr>
          <w:b/>
          <w:bCs/>
          <w:color w:val="000000"/>
          <w:szCs w:val="22"/>
        </w:rPr>
        <w:fldChar w:fldCharType="begin"/>
      </w:r>
      <w:r w:rsidRPr="00821AF6">
        <w:rPr>
          <w:b/>
          <w:bCs/>
          <w:color w:val="000000"/>
          <w:szCs w:val="22"/>
        </w:rPr>
        <w:instrText xml:space="preserve"> SEQ Tab. \* ARABIC </w:instrText>
      </w:r>
      <w:r w:rsidRPr="00821AF6">
        <w:rPr>
          <w:b/>
          <w:bCs/>
          <w:color w:val="000000"/>
          <w:szCs w:val="22"/>
        </w:rPr>
        <w:fldChar w:fldCharType="separate"/>
      </w:r>
      <w:r w:rsidR="004605BC">
        <w:rPr>
          <w:b/>
          <w:bCs/>
          <w:noProof/>
          <w:color w:val="000000"/>
          <w:szCs w:val="22"/>
        </w:rPr>
        <w:t>13</w:t>
      </w:r>
      <w:r w:rsidRPr="00821AF6">
        <w:rPr>
          <w:b/>
          <w:bCs/>
          <w:color w:val="000000"/>
          <w:szCs w:val="22"/>
        </w:rPr>
        <w:fldChar w:fldCharType="end"/>
      </w:r>
      <w:r w:rsidRPr="00821AF6">
        <w:rPr>
          <w:b/>
          <w:bCs/>
          <w:color w:val="000000"/>
          <w:szCs w:val="22"/>
        </w:rPr>
        <w:t xml:space="preserve">. </w:t>
      </w:r>
      <w:r w:rsidR="000E76A3" w:rsidRPr="00821AF6">
        <w:rPr>
          <w:b/>
          <w:bCs/>
          <w:color w:val="000000"/>
          <w:szCs w:val="22"/>
        </w:rPr>
        <w:t>Emisja GHG przy produkcji energii elektrycznej w Polsce [gCO</w:t>
      </w:r>
      <w:r w:rsidR="000E76A3" w:rsidRPr="00821AF6">
        <w:rPr>
          <w:b/>
          <w:bCs/>
          <w:color w:val="000000"/>
          <w:szCs w:val="22"/>
          <w:vertAlign w:val="subscript"/>
        </w:rPr>
        <w:t>2</w:t>
      </w:r>
      <w:r w:rsidR="000E76A3" w:rsidRPr="00821AF6">
        <w:rPr>
          <w:b/>
          <w:bCs/>
          <w:color w:val="000000"/>
          <w:szCs w:val="22"/>
        </w:rPr>
        <w:t>/</w:t>
      </w:r>
      <w:r w:rsidR="000E76A3">
        <w:rPr>
          <w:b/>
          <w:bCs/>
          <w:color w:val="000000"/>
          <w:szCs w:val="22"/>
        </w:rPr>
        <w:t>k</w:t>
      </w:r>
      <w:r w:rsidR="000E76A3" w:rsidRPr="00821AF6">
        <w:rPr>
          <w:b/>
          <w:bCs/>
          <w:color w:val="000000"/>
          <w:szCs w:val="22"/>
        </w:rPr>
        <w:t>Wh]</w:t>
      </w:r>
      <w:r w:rsidR="000E76A3" w:rsidRPr="00821AF6">
        <w:rPr>
          <w:b/>
          <w:bCs/>
          <w:color w:val="000000"/>
          <w:szCs w:val="22"/>
        </w:rPr>
        <w:br/>
        <w:t>– dane dla krajowego miksu energetycznego</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731"/>
        <w:gridCol w:w="1585"/>
        <w:gridCol w:w="1585"/>
        <w:gridCol w:w="1585"/>
        <w:gridCol w:w="1586"/>
      </w:tblGrid>
      <w:tr w:rsidR="000E76A3" w:rsidRPr="00821AF6" w14:paraId="5CDFD37E" w14:textId="77777777" w:rsidTr="00B5326D">
        <w:trPr>
          <w:cantSplit/>
          <w:trHeight w:val="420"/>
          <w:tblHeader/>
          <w:jc w:val="center"/>
        </w:trPr>
        <w:tc>
          <w:tcPr>
            <w:tcW w:w="2731" w:type="dxa"/>
            <w:vMerge w:val="restart"/>
            <w:shd w:val="clear" w:color="auto" w:fill="FFFF99"/>
            <w:vAlign w:val="center"/>
          </w:tcPr>
          <w:p w14:paraId="02CE8C28" w14:textId="77777777" w:rsidR="000E76A3" w:rsidRPr="00821AF6" w:rsidRDefault="000E76A3" w:rsidP="007401F5">
            <w:pPr>
              <w:spacing w:before="60" w:after="40" w:line="288" w:lineRule="auto"/>
              <w:ind w:firstLine="0"/>
              <w:jc w:val="center"/>
              <w:rPr>
                <w:rFonts w:cs="Tahoma"/>
                <w:b/>
                <w:sz w:val="20"/>
                <w:szCs w:val="20"/>
              </w:rPr>
            </w:pPr>
            <w:r w:rsidRPr="00821AF6">
              <w:rPr>
                <w:rFonts w:cs="Tahoma"/>
                <w:b/>
                <w:sz w:val="20"/>
                <w:szCs w:val="20"/>
              </w:rPr>
              <w:t>Substancja</w:t>
            </w:r>
            <w:r w:rsidRPr="00821AF6">
              <w:rPr>
                <w:rFonts w:cs="Tahoma"/>
                <w:b/>
                <w:sz w:val="20"/>
                <w:szCs w:val="20"/>
              </w:rPr>
              <w:br/>
              <w:t>zanieczyszczająca</w:t>
            </w:r>
            <w:r>
              <w:rPr>
                <w:rFonts w:cs="Tahoma"/>
                <w:b/>
                <w:sz w:val="20"/>
                <w:szCs w:val="20"/>
              </w:rPr>
              <w:br/>
            </w:r>
            <w:r w:rsidRPr="00821AF6">
              <w:rPr>
                <w:rFonts w:cs="Tahoma"/>
                <w:b/>
                <w:sz w:val="20"/>
                <w:szCs w:val="20"/>
              </w:rPr>
              <w:t>atmosferę</w:t>
            </w:r>
          </w:p>
        </w:tc>
        <w:tc>
          <w:tcPr>
            <w:tcW w:w="6341" w:type="dxa"/>
            <w:gridSpan w:val="4"/>
            <w:shd w:val="clear" w:color="auto" w:fill="FFFF99"/>
            <w:vAlign w:val="center"/>
          </w:tcPr>
          <w:p w14:paraId="48E38E88" w14:textId="77777777" w:rsidR="000E76A3" w:rsidRPr="00821AF6" w:rsidRDefault="000E76A3" w:rsidP="007401F5">
            <w:pPr>
              <w:spacing w:before="60" w:after="40" w:line="288" w:lineRule="auto"/>
              <w:ind w:left="-108" w:firstLine="0"/>
              <w:jc w:val="center"/>
              <w:rPr>
                <w:rFonts w:cs="Tahoma"/>
                <w:b/>
                <w:sz w:val="20"/>
                <w:szCs w:val="20"/>
              </w:rPr>
            </w:pPr>
            <w:r w:rsidRPr="001F7197">
              <w:rPr>
                <w:rFonts w:cs="Tahoma"/>
                <w:b/>
                <w:sz w:val="20"/>
                <w:szCs w:val="20"/>
              </w:rPr>
              <w:t>Wielkość emisji CO</w:t>
            </w:r>
            <w:r w:rsidRPr="001F7197">
              <w:rPr>
                <w:rFonts w:cs="Tahoma"/>
                <w:b/>
                <w:sz w:val="20"/>
                <w:szCs w:val="20"/>
                <w:vertAlign w:val="subscript"/>
              </w:rPr>
              <w:t>2</w:t>
            </w:r>
            <w:r w:rsidRPr="001F7197">
              <w:rPr>
                <w:rFonts w:cs="Tahoma"/>
                <w:b/>
                <w:sz w:val="20"/>
                <w:szCs w:val="20"/>
              </w:rPr>
              <w:t xml:space="preserve"> w roku </w:t>
            </w:r>
            <w:r w:rsidRPr="000F7CF2">
              <w:rPr>
                <w:rFonts w:cs="Tahoma"/>
                <w:b/>
                <w:sz w:val="20"/>
                <w:szCs w:val="20"/>
              </w:rPr>
              <w:t>[gCO</w:t>
            </w:r>
            <w:r w:rsidRPr="000F7CF2">
              <w:rPr>
                <w:rFonts w:cs="Tahoma"/>
                <w:b/>
                <w:sz w:val="20"/>
                <w:szCs w:val="20"/>
                <w:vertAlign w:val="subscript"/>
              </w:rPr>
              <w:t>2</w:t>
            </w:r>
            <w:r w:rsidRPr="000F7CF2">
              <w:rPr>
                <w:rFonts w:cs="Tahoma"/>
                <w:b/>
                <w:sz w:val="20"/>
                <w:szCs w:val="20"/>
              </w:rPr>
              <w:t>/kWh]</w:t>
            </w:r>
          </w:p>
        </w:tc>
      </w:tr>
      <w:tr w:rsidR="000E76A3" w:rsidRPr="00821AF6" w14:paraId="407D6862" w14:textId="77777777" w:rsidTr="00B5326D">
        <w:trPr>
          <w:cantSplit/>
          <w:trHeight w:val="420"/>
          <w:tblHeader/>
          <w:jc w:val="center"/>
        </w:trPr>
        <w:tc>
          <w:tcPr>
            <w:tcW w:w="2731" w:type="dxa"/>
            <w:vMerge/>
            <w:shd w:val="clear" w:color="auto" w:fill="FFFF99"/>
            <w:vAlign w:val="center"/>
          </w:tcPr>
          <w:p w14:paraId="11C182AF" w14:textId="77777777" w:rsidR="000E76A3" w:rsidRPr="00821AF6" w:rsidRDefault="000E76A3" w:rsidP="007401F5">
            <w:pPr>
              <w:spacing w:before="60" w:after="40" w:line="288" w:lineRule="auto"/>
              <w:ind w:firstLine="0"/>
              <w:jc w:val="center"/>
              <w:rPr>
                <w:rFonts w:cs="Tahoma"/>
                <w:b/>
                <w:sz w:val="20"/>
                <w:szCs w:val="20"/>
              </w:rPr>
            </w:pPr>
          </w:p>
        </w:tc>
        <w:tc>
          <w:tcPr>
            <w:tcW w:w="1585" w:type="dxa"/>
            <w:shd w:val="clear" w:color="auto" w:fill="FFFF99"/>
            <w:vAlign w:val="center"/>
          </w:tcPr>
          <w:p w14:paraId="47BF3B5B" w14:textId="77777777" w:rsidR="000E76A3" w:rsidRPr="00821AF6" w:rsidRDefault="000E76A3" w:rsidP="007401F5">
            <w:pPr>
              <w:spacing w:before="60" w:after="40" w:line="288" w:lineRule="auto"/>
              <w:ind w:firstLine="0"/>
              <w:jc w:val="center"/>
              <w:rPr>
                <w:rFonts w:cs="Tahoma"/>
                <w:b/>
                <w:sz w:val="20"/>
                <w:szCs w:val="20"/>
              </w:rPr>
            </w:pPr>
            <w:r w:rsidRPr="00821AF6">
              <w:rPr>
                <w:rFonts w:cs="Tahoma"/>
                <w:b/>
                <w:sz w:val="20"/>
                <w:szCs w:val="20"/>
              </w:rPr>
              <w:t>2021</w:t>
            </w:r>
          </w:p>
        </w:tc>
        <w:tc>
          <w:tcPr>
            <w:tcW w:w="1585" w:type="dxa"/>
            <w:shd w:val="clear" w:color="auto" w:fill="FFFF99"/>
            <w:vAlign w:val="center"/>
          </w:tcPr>
          <w:p w14:paraId="0E54EC5A" w14:textId="77777777" w:rsidR="000E76A3" w:rsidRPr="00821AF6" w:rsidRDefault="000E76A3" w:rsidP="007401F5">
            <w:pPr>
              <w:spacing w:before="60" w:after="40" w:line="288" w:lineRule="auto"/>
              <w:ind w:firstLine="0"/>
              <w:jc w:val="center"/>
              <w:rPr>
                <w:rFonts w:cs="Tahoma"/>
                <w:b/>
                <w:sz w:val="20"/>
                <w:szCs w:val="20"/>
              </w:rPr>
            </w:pPr>
            <w:r w:rsidRPr="00821AF6">
              <w:rPr>
                <w:rFonts w:cs="Tahoma"/>
                <w:b/>
                <w:sz w:val="20"/>
                <w:szCs w:val="20"/>
              </w:rPr>
              <w:t>2025</w:t>
            </w:r>
          </w:p>
        </w:tc>
        <w:tc>
          <w:tcPr>
            <w:tcW w:w="1585" w:type="dxa"/>
            <w:shd w:val="clear" w:color="auto" w:fill="FFFF99"/>
            <w:vAlign w:val="center"/>
          </w:tcPr>
          <w:p w14:paraId="6AFBE773" w14:textId="77777777" w:rsidR="000E76A3" w:rsidRPr="00821AF6" w:rsidRDefault="000E76A3" w:rsidP="007401F5">
            <w:pPr>
              <w:spacing w:before="60" w:after="40" w:line="288" w:lineRule="auto"/>
              <w:ind w:firstLine="0"/>
              <w:jc w:val="center"/>
              <w:rPr>
                <w:rFonts w:cs="Tahoma"/>
                <w:b/>
                <w:sz w:val="20"/>
                <w:szCs w:val="20"/>
              </w:rPr>
            </w:pPr>
            <w:r w:rsidRPr="00821AF6">
              <w:rPr>
                <w:rFonts w:cs="Tahoma"/>
                <w:b/>
                <w:sz w:val="20"/>
                <w:szCs w:val="20"/>
              </w:rPr>
              <w:t>2030</w:t>
            </w:r>
          </w:p>
        </w:tc>
        <w:tc>
          <w:tcPr>
            <w:tcW w:w="1586" w:type="dxa"/>
            <w:shd w:val="clear" w:color="auto" w:fill="FFFF99"/>
            <w:vAlign w:val="center"/>
          </w:tcPr>
          <w:p w14:paraId="5CEB0DCD" w14:textId="77777777" w:rsidR="000E76A3" w:rsidRPr="00821AF6" w:rsidRDefault="000E76A3" w:rsidP="007401F5">
            <w:pPr>
              <w:spacing w:before="60" w:after="40" w:line="288" w:lineRule="auto"/>
              <w:ind w:left="-108" w:firstLine="0"/>
              <w:jc w:val="center"/>
              <w:rPr>
                <w:rFonts w:cs="Tahoma"/>
                <w:b/>
                <w:sz w:val="20"/>
                <w:szCs w:val="20"/>
              </w:rPr>
            </w:pPr>
            <w:r w:rsidRPr="00821AF6">
              <w:rPr>
                <w:rFonts w:cs="Tahoma"/>
                <w:b/>
                <w:sz w:val="20"/>
                <w:szCs w:val="20"/>
              </w:rPr>
              <w:t>2035</w:t>
            </w:r>
          </w:p>
        </w:tc>
      </w:tr>
      <w:tr w:rsidR="000E76A3" w:rsidRPr="00821AF6" w14:paraId="31439EFD" w14:textId="77777777" w:rsidTr="00B5326D">
        <w:trPr>
          <w:cantSplit/>
          <w:jc w:val="center"/>
        </w:trPr>
        <w:tc>
          <w:tcPr>
            <w:tcW w:w="2731" w:type="dxa"/>
            <w:tcBorders>
              <w:top w:val="single" w:sz="4" w:space="0" w:color="auto"/>
              <w:left w:val="single" w:sz="4" w:space="0" w:color="auto"/>
              <w:bottom w:val="single" w:sz="4" w:space="0" w:color="auto"/>
              <w:right w:val="single" w:sz="4" w:space="0" w:color="auto"/>
            </w:tcBorders>
            <w:vAlign w:val="center"/>
          </w:tcPr>
          <w:p w14:paraId="261A5B8F" w14:textId="77777777" w:rsidR="000E76A3" w:rsidRPr="00700520" w:rsidRDefault="000E76A3" w:rsidP="007401F5">
            <w:pPr>
              <w:spacing w:before="60" w:after="40" w:line="288" w:lineRule="auto"/>
              <w:ind w:firstLine="0"/>
              <w:jc w:val="left"/>
              <w:rPr>
                <w:rFonts w:cs="Tahoma"/>
                <w:sz w:val="20"/>
                <w:szCs w:val="20"/>
              </w:rPr>
            </w:pPr>
            <w:r>
              <w:rPr>
                <w:rFonts w:cs="Tahoma"/>
                <w:sz w:val="20"/>
                <w:szCs w:val="20"/>
              </w:rPr>
              <w:t>Gazy cieplarniane (GHG)</w:t>
            </w:r>
          </w:p>
        </w:tc>
        <w:tc>
          <w:tcPr>
            <w:tcW w:w="1585" w:type="dxa"/>
            <w:tcBorders>
              <w:top w:val="single" w:sz="4" w:space="0" w:color="auto"/>
              <w:left w:val="single" w:sz="4" w:space="0" w:color="auto"/>
              <w:bottom w:val="single" w:sz="4" w:space="0" w:color="auto"/>
              <w:right w:val="single" w:sz="4" w:space="0" w:color="auto"/>
            </w:tcBorders>
            <w:vAlign w:val="center"/>
          </w:tcPr>
          <w:p w14:paraId="5C373C43" w14:textId="77777777" w:rsidR="000E76A3" w:rsidRPr="00821AF6" w:rsidRDefault="000E76A3" w:rsidP="007401F5">
            <w:pPr>
              <w:spacing w:before="60" w:after="40" w:line="288" w:lineRule="auto"/>
              <w:ind w:firstLine="0"/>
              <w:jc w:val="right"/>
              <w:rPr>
                <w:rFonts w:cs="Tahoma"/>
                <w:sz w:val="20"/>
                <w:szCs w:val="20"/>
              </w:rPr>
            </w:pPr>
            <w:r w:rsidRPr="00821AF6">
              <w:rPr>
                <w:rFonts w:cs="Tahoma"/>
                <w:sz w:val="20"/>
                <w:szCs w:val="20"/>
              </w:rPr>
              <w:t>792</w:t>
            </w:r>
          </w:p>
        </w:tc>
        <w:tc>
          <w:tcPr>
            <w:tcW w:w="1585" w:type="dxa"/>
            <w:tcBorders>
              <w:top w:val="single" w:sz="4" w:space="0" w:color="auto"/>
              <w:left w:val="single" w:sz="4" w:space="0" w:color="auto"/>
              <w:bottom w:val="single" w:sz="4" w:space="0" w:color="auto"/>
              <w:right w:val="single" w:sz="4" w:space="0" w:color="auto"/>
            </w:tcBorders>
            <w:vAlign w:val="center"/>
          </w:tcPr>
          <w:p w14:paraId="4E0FC2D6" w14:textId="77777777" w:rsidR="000E76A3" w:rsidRPr="00821AF6" w:rsidRDefault="000E76A3" w:rsidP="007401F5">
            <w:pPr>
              <w:spacing w:before="60" w:after="40" w:line="288" w:lineRule="auto"/>
              <w:ind w:firstLine="0"/>
              <w:jc w:val="right"/>
              <w:rPr>
                <w:rFonts w:cs="Tahoma"/>
                <w:sz w:val="20"/>
                <w:szCs w:val="20"/>
              </w:rPr>
            </w:pPr>
            <w:r w:rsidRPr="00821AF6">
              <w:rPr>
                <w:rFonts w:cs="Tahoma"/>
                <w:sz w:val="20"/>
                <w:szCs w:val="20"/>
              </w:rPr>
              <w:t>760</w:t>
            </w:r>
          </w:p>
        </w:tc>
        <w:tc>
          <w:tcPr>
            <w:tcW w:w="1585" w:type="dxa"/>
            <w:tcBorders>
              <w:top w:val="single" w:sz="4" w:space="0" w:color="auto"/>
              <w:left w:val="single" w:sz="4" w:space="0" w:color="auto"/>
              <w:bottom w:val="single" w:sz="4" w:space="0" w:color="auto"/>
              <w:right w:val="single" w:sz="4" w:space="0" w:color="auto"/>
            </w:tcBorders>
            <w:vAlign w:val="center"/>
          </w:tcPr>
          <w:p w14:paraId="4DB2662E" w14:textId="77777777" w:rsidR="000E76A3" w:rsidRPr="00821AF6" w:rsidRDefault="000E76A3" w:rsidP="007401F5">
            <w:pPr>
              <w:spacing w:before="60" w:after="40" w:line="288" w:lineRule="auto"/>
              <w:ind w:firstLine="0"/>
              <w:jc w:val="right"/>
              <w:rPr>
                <w:rFonts w:cs="Tahoma"/>
                <w:sz w:val="20"/>
                <w:szCs w:val="20"/>
              </w:rPr>
            </w:pPr>
            <w:r w:rsidRPr="00821AF6">
              <w:rPr>
                <w:rFonts w:cs="Tahoma"/>
                <w:sz w:val="20"/>
                <w:szCs w:val="20"/>
              </w:rPr>
              <w:t>660</w:t>
            </w:r>
          </w:p>
        </w:tc>
        <w:tc>
          <w:tcPr>
            <w:tcW w:w="1586" w:type="dxa"/>
            <w:tcBorders>
              <w:top w:val="single" w:sz="4" w:space="0" w:color="auto"/>
              <w:left w:val="single" w:sz="4" w:space="0" w:color="auto"/>
              <w:bottom w:val="single" w:sz="4" w:space="0" w:color="auto"/>
              <w:right w:val="single" w:sz="4" w:space="0" w:color="auto"/>
            </w:tcBorders>
            <w:vAlign w:val="center"/>
          </w:tcPr>
          <w:p w14:paraId="5006D5C4" w14:textId="77777777" w:rsidR="000E76A3" w:rsidRPr="00821AF6" w:rsidRDefault="000E76A3" w:rsidP="007401F5">
            <w:pPr>
              <w:spacing w:before="60" w:after="40" w:line="288" w:lineRule="auto"/>
              <w:ind w:firstLine="0"/>
              <w:jc w:val="right"/>
              <w:rPr>
                <w:rFonts w:cs="Tahoma"/>
                <w:sz w:val="20"/>
                <w:szCs w:val="20"/>
              </w:rPr>
            </w:pPr>
            <w:r w:rsidRPr="00821AF6">
              <w:rPr>
                <w:rFonts w:cs="Tahoma"/>
                <w:sz w:val="20"/>
                <w:szCs w:val="20"/>
              </w:rPr>
              <w:t>480</w:t>
            </w:r>
          </w:p>
        </w:tc>
      </w:tr>
    </w:tbl>
    <w:p w14:paraId="493AD5F4" w14:textId="7E9709F5" w:rsidR="000E76A3" w:rsidRDefault="000E76A3" w:rsidP="007401F5">
      <w:pPr>
        <w:spacing w:before="120" w:after="240"/>
        <w:ind w:firstLine="0"/>
        <w:rPr>
          <w:b/>
          <w:bCs/>
          <w:color w:val="000000"/>
          <w:szCs w:val="22"/>
        </w:rPr>
      </w:pPr>
      <w:r w:rsidRPr="00821AF6">
        <w:rPr>
          <w:rFonts w:cs="Tahoma"/>
          <w:sz w:val="20"/>
          <w:szCs w:val="20"/>
        </w:rPr>
        <w:t xml:space="preserve">Źródło: opracowanie własne na podstawie: </w:t>
      </w:r>
      <w:r w:rsidRPr="00821AF6">
        <w:rPr>
          <w:rFonts w:cs="Tahoma"/>
          <w:iCs/>
          <w:sz w:val="20"/>
          <w:szCs w:val="20"/>
        </w:rPr>
        <w:t xml:space="preserve">Przyszły miks energetyczny Polski – determinanty, narzędzia i prognozy, </w:t>
      </w:r>
      <w:proofErr w:type="spellStart"/>
      <w:r w:rsidRPr="00821AF6">
        <w:rPr>
          <w:rFonts w:cs="Tahoma"/>
          <w:iCs/>
          <w:sz w:val="20"/>
          <w:szCs w:val="20"/>
        </w:rPr>
        <w:t>Instrat</w:t>
      </w:r>
      <w:proofErr w:type="spellEnd"/>
      <w:r w:rsidRPr="00821AF6">
        <w:rPr>
          <w:rFonts w:cs="Tahoma"/>
          <w:iCs/>
          <w:sz w:val="20"/>
          <w:szCs w:val="20"/>
        </w:rPr>
        <w:t xml:space="preserve"> – Fundacja Inicjatyw Strategicznych, grudzień 2019, scenariusz według Krajowego planu na rzecz energii i klimatu na lata 2021-2030</w:t>
      </w:r>
      <w:r w:rsidRPr="00821AF6">
        <w:rPr>
          <w:rFonts w:cs="Tahoma"/>
          <w:sz w:val="20"/>
          <w:szCs w:val="20"/>
        </w:rPr>
        <w:t>.</w:t>
      </w:r>
    </w:p>
    <w:p w14:paraId="65FA22BB" w14:textId="77777777" w:rsidR="00C94484" w:rsidRPr="00821AF6" w:rsidRDefault="00C94484" w:rsidP="007401F5">
      <w:pPr>
        <w:spacing w:before="120"/>
        <w:ind w:firstLine="0"/>
        <w:jc w:val="center"/>
        <w:rPr>
          <w:rFonts w:cs="Tahoma"/>
          <w:color w:val="000000"/>
          <w:u w:val="single"/>
        </w:rPr>
      </w:pPr>
      <w:r w:rsidRPr="00821AF6">
        <w:rPr>
          <w:rFonts w:cs="Tahoma"/>
          <w:color w:val="000000"/>
          <w:u w:val="single"/>
        </w:rPr>
        <w:t>Emisja gazów innych niż cieplarniane</w:t>
      </w:r>
    </w:p>
    <w:p w14:paraId="77C62548" w14:textId="6B604054" w:rsidR="003258C5" w:rsidRPr="00821AF6" w:rsidRDefault="003258C5" w:rsidP="007401F5">
      <w:pPr>
        <w:rPr>
          <w:rFonts w:cs="Tahoma"/>
          <w:color w:val="000000"/>
        </w:rPr>
      </w:pPr>
      <w:r w:rsidRPr="00821AF6">
        <w:rPr>
          <w:rFonts w:cs="Tahoma"/>
          <w:color w:val="000000"/>
        </w:rPr>
        <w:t>Koszt związany z emisją substancji szkodliwych innych niż gazy cieplarniane (</w:t>
      </w:r>
      <w:proofErr w:type="spellStart"/>
      <w:r w:rsidRPr="00821AF6">
        <w:rPr>
          <w:rFonts w:cs="Tahoma"/>
          <w:color w:val="000000"/>
        </w:rPr>
        <w:t>NOx</w:t>
      </w:r>
      <w:proofErr w:type="spellEnd"/>
      <w:r w:rsidRPr="00821AF6">
        <w:rPr>
          <w:rFonts w:cs="Tahoma"/>
          <w:color w:val="000000"/>
        </w:rPr>
        <w:t xml:space="preserve">, PM, NMHC/NMVOC) został oszacowany dla scenariusza bazowego i wariantów </w:t>
      </w:r>
      <w:r w:rsidR="00C94484" w:rsidRPr="00821AF6">
        <w:rPr>
          <w:rFonts w:cs="Tahoma"/>
          <w:color w:val="000000"/>
        </w:rPr>
        <w:t xml:space="preserve">inwestycyjnych – </w:t>
      </w:r>
      <w:r w:rsidRPr="00821AF6">
        <w:rPr>
          <w:rFonts w:cs="Tahoma"/>
          <w:color w:val="000000"/>
        </w:rPr>
        <w:t>zgodnie z aktualnymi wartościami dopuszczalnych zanieczyszczeń dla poszczególnych norm EURO użytkowanego taboru.</w:t>
      </w:r>
    </w:p>
    <w:p w14:paraId="6F3D6DA0" w14:textId="77C3D733" w:rsidR="00DB18B8" w:rsidRPr="00DB18B8" w:rsidRDefault="00B3121F" w:rsidP="007401F5">
      <w:pPr>
        <w:rPr>
          <w:rFonts w:cs="Tahoma"/>
          <w:color w:val="000000"/>
        </w:rPr>
      </w:pPr>
      <w:bookmarkStart w:id="90" w:name="_Hlk532507431"/>
      <w:r w:rsidRPr="00821AF6">
        <w:rPr>
          <w:rFonts w:cs="Tahoma"/>
          <w:color w:val="000000"/>
        </w:rPr>
        <w:t xml:space="preserve">Dla wariantu elektrycznego, z autobusami elektrycznymi zasilanymi z baterii, uwzględniono koszty emisji powstającej przy wytwarzaniu energii elektrycznej w Polsce, pomimo że emisję lokalną można uznać za zerową. </w:t>
      </w:r>
      <w:r w:rsidR="00DB18B8" w:rsidRPr="00DB18B8">
        <w:rPr>
          <w:rFonts w:cs="Tahoma"/>
          <w:color w:val="000000"/>
        </w:rPr>
        <w:t>Wielkość emisji zanieczyszczeń przy produkcji energii wyrażoną w g/</w:t>
      </w:r>
      <w:r w:rsidR="000E7555">
        <w:rPr>
          <w:rFonts w:cs="Tahoma"/>
          <w:color w:val="000000"/>
        </w:rPr>
        <w:t>k</w:t>
      </w:r>
      <w:r w:rsidR="00DB18B8" w:rsidRPr="00DB18B8">
        <w:rPr>
          <w:rFonts w:cs="Tahoma"/>
          <w:color w:val="000000"/>
        </w:rPr>
        <w:t xml:space="preserve">Wh przedstawiono w tabeli </w:t>
      </w:r>
      <w:r w:rsidR="00DB18B8">
        <w:rPr>
          <w:rFonts w:cs="Tahoma"/>
          <w:color w:val="000000"/>
        </w:rPr>
        <w:t>14.</w:t>
      </w:r>
    </w:p>
    <w:bookmarkEnd w:id="90"/>
    <w:p w14:paraId="2367FFFB" w14:textId="77DB5304" w:rsidR="000C512A" w:rsidRPr="00DB18B8" w:rsidRDefault="000C512A" w:rsidP="007401F5">
      <w:pPr>
        <w:pStyle w:val="Legenda"/>
        <w:keepNext/>
        <w:spacing w:before="240" w:after="0"/>
        <w:ind w:firstLine="0"/>
        <w:jc w:val="left"/>
        <w:rPr>
          <w:color w:val="000000"/>
          <w:sz w:val="22"/>
          <w:szCs w:val="22"/>
        </w:rPr>
      </w:pPr>
      <w:r w:rsidRPr="00DB18B8">
        <w:rPr>
          <w:color w:val="000000"/>
          <w:sz w:val="22"/>
          <w:szCs w:val="22"/>
        </w:rPr>
        <w:lastRenderedPageBreak/>
        <w:t xml:space="preserve">Tab. </w:t>
      </w:r>
      <w:r w:rsidR="00B60ABE" w:rsidRPr="00DB18B8">
        <w:rPr>
          <w:color w:val="000000"/>
          <w:sz w:val="22"/>
          <w:szCs w:val="22"/>
        </w:rPr>
        <w:fldChar w:fldCharType="begin"/>
      </w:r>
      <w:r w:rsidRPr="00DB18B8">
        <w:rPr>
          <w:color w:val="000000"/>
          <w:sz w:val="22"/>
          <w:szCs w:val="22"/>
        </w:rPr>
        <w:instrText xml:space="preserve"> SEQ Tab. \* ARABIC </w:instrText>
      </w:r>
      <w:r w:rsidR="00B60ABE" w:rsidRPr="00DB18B8">
        <w:rPr>
          <w:color w:val="000000"/>
          <w:sz w:val="22"/>
          <w:szCs w:val="22"/>
        </w:rPr>
        <w:fldChar w:fldCharType="separate"/>
      </w:r>
      <w:r w:rsidR="004605BC">
        <w:rPr>
          <w:noProof/>
          <w:color w:val="000000"/>
          <w:sz w:val="22"/>
          <w:szCs w:val="22"/>
        </w:rPr>
        <w:t>14</w:t>
      </w:r>
      <w:r w:rsidR="00B60ABE" w:rsidRPr="00DB18B8">
        <w:rPr>
          <w:color w:val="000000"/>
          <w:sz w:val="22"/>
          <w:szCs w:val="22"/>
        </w:rPr>
        <w:fldChar w:fldCharType="end"/>
      </w:r>
      <w:r w:rsidRPr="00DB18B8">
        <w:rPr>
          <w:color w:val="000000"/>
          <w:sz w:val="22"/>
          <w:szCs w:val="22"/>
        </w:rPr>
        <w:t xml:space="preserve">. Emisja zanieczyszczeń </w:t>
      </w:r>
      <w:r w:rsidR="00F04EE1" w:rsidRPr="00DB18B8">
        <w:rPr>
          <w:color w:val="000000"/>
          <w:sz w:val="22"/>
          <w:szCs w:val="22"/>
        </w:rPr>
        <w:t>przy produkcji energii elektrycznej w Polsce [g/KWh] – dane dla krajowego miksu energetycznego</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111"/>
        <w:gridCol w:w="1490"/>
        <w:gridCol w:w="1490"/>
        <w:gridCol w:w="1490"/>
        <w:gridCol w:w="1491"/>
      </w:tblGrid>
      <w:tr w:rsidR="00F04EE1" w:rsidRPr="00DB18B8" w14:paraId="626E2F52" w14:textId="77777777" w:rsidTr="00F04EE1">
        <w:trPr>
          <w:cantSplit/>
          <w:trHeight w:val="210"/>
          <w:tblHeader/>
          <w:jc w:val="center"/>
        </w:trPr>
        <w:tc>
          <w:tcPr>
            <w:tcW w:w="3111" w:type="dxa"/>
            <w:vMerge w:val="restart"/>
            <w:shd w:val="clear" w:color="auto" w:fill="FFFF99"/>
            <w:vAlign w:val="center"/>
          </w:tcPr>
          <w:p w14:paraId="4E2B1308" w14:textId="312F4722" w:rsidR="00F04EE1" w:rsidRPr="00DB18B8" w:rsidRDefault="00F04EE1" w:rsidP="007401F5">
            <w:pPr>
              <w:spacing w:before="60" w:after="40" w:line="288" w:lineRule="auto"/>
              <w:ind w:firstLine="0"/>
              <w:jc w:val="center"/>
              <w:rPr>
                <w:rFonts w:cs="Tahoma"/>
                <w:b/>
                <w:sz w:val="20"/>
                <w:szCs w:val="20"/>
              </w:rPr>
            </w:pPr>
            <w:r w:rsidRPr="00DB18B8">
              <w:rPr>
                <w:rFonts w:cs="Tahoma"/>
                <w:b/>
                <w:sz w:val="20"/>
                <w:szCs w:val="20"/>
              </w:rPr>
              <w:t>Substancja</w:t>
            </w:r>
            <w:r w:rsidRPr="00DB18B8">
              <w:rPr>
                <w:rFonts w:cs="Tahoma"/>
                <w:b/>
                <w:sz w:val="20"/>
                <w:szCs w:val="20"/>
              </w:rPr>
              <w:br/>
              <w:t>zanieczyszczająca atmosferę</w:t>
            </w:r>
          </w:p>
        </w:tc>
        <w:tc>
          <w:tcPr>
            <w:tcW w:w="5961" w:type="dxa"/>
            <w:gridSpan w:val="4"/>
            <w:shd w:val="clear" w:color="auto" w:fill="FFFF99"/>
            <w:vAlign w:val="center"/>
          </w:tcPr>
          <w:p w14:paraId="65860B59" w14:textId="40DB1454" w:rsidR="00F04EE1" w:rsidRPr="00DB18B8" w:rsidRDefault="000E7555" w:rsidP="007401F5">
            <w:pPr>
              <w:spacing w:before="60" w:after="40" w:line="288" w:lineRule="auto"/>
              <w:ind w:left="-108" w:firstLine="0"/>
              <w:jc w:val="center"/>
              <w:rPr>
                <w:rFonts w:cs="Tahoma"/>
                <w:b/>
                <w:sz w:val="20"/>
                <w:szCs w:val="20"/>
              </w:rPr>
            </w:pPr>
            <w:r>
              <w:rPr>
                <w:rFonts w:cs="Tahoma"/>
                <w:b/>
                <w:sz w:val="20"/>
                <w:szCs w:val="20"/>
              </w:rPr>
              <w:t>Wielkość emisji w roku [g/kWh]</w:t>
            </w:r>
          </w:p>
        </w:tc>
      </w:tr>
      <w:tr w:rsidR="00F04EE1" w:rsidRPr="00DB18B8" w14:paraId="04ED2B82" w14:textId="77777777" w:rsidTr="001064C8">
        <w:trPr>
          <w:cantSplit/>
          <w:trHeight w:val="210"/>
          <w:tblHeader/>
          <w:jc w:val="center"/>
        </w:trPr>
        <w:tc>
          <w:tcPr>
            <w:tcW w:w="3111" w:type="dxa"/>
            <w:vMerge/>
            <w:shd w:val="clear" w:color="auto" w:fill="FFFF99"/>
            <w:vAlign w:val="center"/>
          </w:tcPr>
          <w:p w14:paraId="7648759C" w14:textId="77777777" w:rsidR="00F04EE1" w:rsidRPr="00DB18B8" w:rsidRDefault="00F04EE1" w:rsidP="007401F5">
            <w:pPr>
              <w:spacing w:before="60" w:after="40" w:line="288" w:lineRule="auto"/>
              <w:ind w:firstLine="0"/>
              <w:jc w:val="center"/>
              <w:rPr>
                <w:rFonts w:cs="Tahoma"/>
                <w:b/>
                <w:sz w:val="20"/>
                <w:szCs w:val="20"/>
              </w:rPr>
            </w:pPr>
          </w:p>
        </w:tc>
        <w:tc>
          <w:tcPr>
            <w:tcW w:w="1490" w:type="dxa"/>
            <w:shd w:val="clear" w:color="auto" w:fill="FFFF99"/>
            <w:vAlign w:val="center"/>
          </w:tcPr>
          <w:p w14:paraId="4C9357E7" w14:textId="01AE6D67" w:rsidR="00F04EE1" w:rsidRPr="00DB18B8" w:rsidRDefault="00F04EE1" w:rsidP="007401F5">
            <w:pPr>
              <w:spacing w:before="60" w:after="40" w:line="288" w:lineRule="auto"/>
              <w:ind w:left="-108" w:firstLine="0"/>
              <w:jc w:val="center"/>
              <w:rPr>
                <w:rFonts w:cs="Tahoma"/>
                <w:b/>
                <w:sz w:val="20"/>
                <w:szCs w:val="20"/>
              </w:rPr>
            </w:pPr>
            <w:r w:rsidRPr="00DB18B8">
              <w:rPr>
                <w:rFonts w:cs="Tahoma"/>
                <w:b/>
                <w:sz w:val="20"/>
                <w:szCs w:val="20"/>
              </w:rPr>
              <w:t>2021</w:t>
            </w:r>
          </w:p>
        </w:tc>
        <w:tc>
          <w:tcPr>
            <w:tcW w:w="1490" w:type="dxa"/>
            <w:shd w:val="clear" w:color="auto" w:fill="FFFF99"/>
            <w:vAlign w:val="center"/>
          </w:tcPr>
          <w:p w14:paraId="4BA016BA" w14:textId="1BA7C423" w:rsidR="00F04EE1" w:rsidRPr="00DB18B8" w:rsidRDefault="00F04EE1" w:rsidP="007401F5">
            <w:pPr>
              <w:spacing w:before="60" w:after="40" w:line="288" w:lineRule="auto"/>
              <w:ind w:left="-108" w:firstLine="0"/>
              <w:jc w:val="center"/>
              <w:rPr>
                <w:rFonts w:cs="Tahoma"/>
                <w:b/>
                <w:sz w:val="20"/>
                <w:szCs w:val="20"/>
              </w:rPr>
            </w:pPr>
            <w:r w:rsidRPr="00DB18B8">
              <w:rPr>
                <w:rFonts w:cs="Tahoma"/>
                <w:b/>
                <w:sz w:val="20"/>
                <w:szCs w:val="20"/>
              </w:rPr>
              <w:t>2025</w:t>
            </w:r>
          </w:p>
        </w:tc>
        <w:tc>
          <w:tcPr>
            <w:tcW w:w="1490" w:type="dxa"/>
            <w:shd w:val="clear" w:color="auto" w:fill="FFFF99"/>
            <w:vAlign w:val="center"/>
          </w:tcPr>
          <w:p w14:paraId="5794C74B" w14:textId="0E1C43A5" w:rsidR="00F04EE1" w:rsidRPr="00DB18B8" w:rsidRDefault="00F04EE1" w:rsidP="007401F5">
            <w:pPr>
              <w:spacing w:before="60" w:after="40" w:line="288" w:lineRule="auto"/>
              <w:ind w:left="-108" w:firstLine="0"/>
              <w:jc w:val="center"/>
              <w:rPr>
                <w:rFonts w:cs="Tahoma"/>
                <w:b/>
                <w:sz w:val="20"/>
                <w:szCs w:val="20"/>
              </w:rPr>
            </w:pPr>
            <w:r w:rsidRPr="00DB18B8">
              <w:rPr>
                <w:rFonts w:cs="Tahoma"/>
                <w:b/>
                <w:sz w:val="20"/>
                <w:szCs w:val="20"/>
              </w:rPr>
              <w:t>2030</w:t>
            </w:r>
          </w:p>
        </w:tc>
        <w:tc>
          <w:tcPr>
            <w:tcW w:w="1491" w:type="dxa"/>
            <w:shd w:val="clear" w:color="auto" w:fill="FFFF99"/>
            <w:vAlign w:val="center"/>
          </w:tcPr>
          <w:p w14:paraId="54D4DB48" w14:textId="6D5BBBA6" w:rsidR="00F04EE1" w:rsidRPr="00DB18B8" w:rsidRDefault="00F04EE1" w:rsidP="007401F5">
            <w:pPr>
              <w:spacing w:before="60" w:after="40" w:line="288" w:lineRule="auto"/>
              <w:ind w:left="-108" w:firstLine="0"/>
              <w:jc w:val="center"/>
              <w:rPr>
                <w:rFonts w:cs="Tahoma"/>
                <w:b/>
                <w:sz w:val="20"/>
                <w:szCs w:val="20"/>
              </w:rPr>
            </w:pPr>
            <w:r w:rsidRPr="00DB18B8">
              <w:rPr>
                <w:rFonts w:cs="Tahoma"/>
                <w:b/>
                <w:sz w:val="20"/>
                <w:szCs w:val="20"/>
              </w:rPr>
              <w:t>2035</w:t>
            </w:r>
          </w:p>
        </w:tc>
      </w:tr>
      <w:tr w:rsidR="00F04EE1" w:rsidRPr="00DB18B8" w14:paraId="7A05345B" w14:textId="77777777" w:rsidTr="001064C8">
        <w:trPr>
          <w:cantSplit/>
          <w:jc w:val="center"/>
        </w:trPr>
        <w:tc>
          <w:tcPr>
            <w:tcW w:w="3111" w:type="dxa"/>
            <w:tcBorders>
              <w:top w:val="single" w:sz="4" w:space="0" w:color="auto"/>
              <w:left w:val="single" w:sz="4" w:space="0" w:color="auto"/>
              <w:bottom w:val="single" w:sz="4" w:space="0" w:color="auto"/>
              <w:right w:val="single" w:sz="4" w:space="0" w:color="auto"/>
            </w:tcBorders>
            <w:vAlign w:val="center"/>
          </w:tcPr>
          <w:p w14:paraId="618BE633" w14:textId="77777777" w:rsidR="00F04EE1" w:rsidRPr="00DB18B8" w:rsidRDefault="00F04EE1" w:rsidP="007401F5">
            <w:pPr>
              <w:spacing w:before="60" w:after="40" w:line="288" w:lineRule="auto"/>
              <w:ind w:firstLine="0"/>
              <w:jc w:val="left"/>
              <w:rPr>
                <w:rFonts w:cs="Tahoma"/>
                <w:sz w:val="20"/>
                <w:szCs w:val="20"/>
              </w:rPr>
            </w:pPr>
            <w:r w:rsidRPr="00DB18B8">
              <w:rPr>
                <w:rFonts w:cs="Tahoma"/>
                <w:sz w:val="20"/>
                <w:szCs w:val="20"/>
              </w:rPr>
              <w:t>NMHC/NMVOC</w:t>
            </w:r>
          </w:p>
        </w:tc>
        <w:tc>
          <w:tcPr>
            <w:tcW w:w="1490" w:type="dxa"/>
            <w:tcBorders>
              <w:top w:val="single" w:sz="4" w:space="0" w:color="auto"/>
              <w:left w:val="single" w:sz="4" w:space="0" w:color="auto"/>
              <w:bottom w:val="single" w:sz="4" w:space="0" w:color="auto"/>
              <w:right w:val="single" w:sz="4" w:space="0" w:color="auto"/>
            </w:tcBorders>
            <w:vAlign w:val="center"/>
          </w:tcPr>
          <w:p w14:paraId="56FC72C8" w14:textId="7D716174"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0,005</w:t>
            </w:r>
          </w:p>
        </w:tc>
        <w:tc>
          <w:tcPr>
            <w:tcW w:w="1490" w:type="dxa"/>
            <w:tcBorders>
              <w:top w:val="single" w:sz="4" w:space="0" w:color="auto"/>
              <w:left w:val="single" w:sz="4" w:space="0" w:color="auto"/>
              <w:bottom w:val="single" w:sz="4" w:space="0" w:color="auto"/>
              <w:right w:val="single" w:sz="4" w:space="0" w:color="auto"/>
            </w:tcBorders>
            <w:vAlign w:val="center"/>
          </w:tcPr>
          <w:p w14:paraId="2DCC4244" w14:textId="01B49070"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0,005</w:t>
            </w:r>
          </w:p>
        </w:tc>
        <w:tc>
          <w:tcPr>
            <w:tcW w:w="1490" w:type="dxa"/>
            <w:tcBorders>
              <w:top w:val="single" w:sz="4" w:space="0" w:color="auto"/>
              <w:left w:val="single" w:sz="4" w:space="0" w:color="auto"/>
              <w:bottom w:val="single" w:sz="4" w:space="0" w:color="auto"/>
              <w:right w:val="single" w:sz="4" w:space="0" w:color="auto"/>
            </w:tcBorders>
            <w:vAlign w:val="center"/>
          </w:tcPr>
          <w:p w14:paraId="1016FBDB" w14:textId="0715D575"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0,005</w:t>
            </w:r>
          </w:p>
        </w:tc>
        <w:tc>
          <w:tcPr>
            <w:tcW w:w="1491" w:type="dxa"/>
            <w:tcBorders>
              <w:top w:val="single" w:sz="4" w:space="0" w:color="auto"/>
              <w:left w:val="single" w:sz="4" w:space="0" w:color="auto"/>
              <w:bottom w:val="single" w:sz="4" w:space="0" w:color="auto"/>
              <w:right w:val="single" w:sz="4" w:space="0" w:color="auto"/>
            </w:tcBorders>
            <w:vAlign w:val="center"/>
          </w:tcPr>
          <w:p w14:paraId="4F0B27DD" w14:textId="6BAAA8E5"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0,003</w:t>
            </w:r>
          </w:p>
        </w:tc>
      </w:tr>
      <w:tr w:rsidR="00F04EE1" w:rsidRPr="00DB18B8" w14:paraId="38295AB1" w14:textId="77777777" w:rsidTr="001064C8">
        <w:trPr>
          <w:cantSplit/>
          <w:jc w:val="center"/>
        </w:trPr>
        <w:tc>
          <w:tcPr>
            <w:tcW w:w="3111" w:type="dxa"/>
            <w:tcBorders>
              <w:top w:val="single" w:sz="4" w:space="0" w:color="auto"/>
              <w:left w:val="single" w:sz="4" w:space="0" w:color="auto"/>
              <w:bottom w:val="single" w:sz="4" w:space="0" w:color="auto"/>
              <w:right w:val="single" w:sz="4" w:space="0" w:color="auto"/>
            </w:tcBorders>
            <w:vAlign w:val="center"/>
          </w:tcPr>
          <w:p w14:paraId="56EEE3DA" w14:textId="77777777" w:rsidR="00F04EE1" w:rsidRPr="00DB18B8" w:rsidRDefault="00F04EE1" w:rsidP="007401F5">
            <w:pPr>
              <w:spacing w:before="60" w:after="40" w:line="288" w:lineRule="auto"/>
              <w:ind w:firstLine="0"/>
              <w:jc w:val="left"/>
              <w:rPr>
                <w:rFonts w:cs="Tahoma"/>
                <w:sz w:val="20"/>
                <w:szCs w:val="20"/>
                <w:vertAlign w:val="subscript"/>
              </w:rPr>
            </w:pPr>
            <w:r w:rsidRPr="00DB18B8">
              <w:rPr>
                <w:rFonts w:cs="Tahoma"/>
                <w:sz w:val="20"/>
                <w:szCs w:val="20"/>
              </w:rPr>
              <w:t>SO</w:t>
            </w:r>
            <w:r w:rsidRPr="00DB18B8">
              <w:rPr>
                <w:rFonts w:cs="Tahoma"/>
                <w:sz w:val="20"/>
                <w:szCs w:val="20"/>
                <w:vertAlign w:val="subscript"/>
              </w:rPr>
              <w:t>2</w:t>
            </w:r>
          </w:p>
        </w:tc>
        <w:tc>
          <w:tcPr>
            <w:tcW w:w="1490" w:type="dxa"/>
            <w:tcBorders>
              <w:top w:val="single" w:sz="4" w:space="0" w:color="auto"/>
              <w:left w:val="single" w:sz="4" w:space="0" w:color="auto"/>
              <w:bottom w:val="single" w:sz="4" w:space="0" w:color="auto"/>
              <w:right w:val="single" w:sz="4" w:space="0" w:color="auto"/>
            </w:tcBorders>
            <w:vAlign w:val="center"/>
          </w:tcPr>
          <w:p w14:paraId="258C7DA1" w14:textId="5C21FDFF"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2,627</w:t>
            </w:r>
          </w:p>
        </w:tc>
        <w:tc>
          <w:tcPr>
            <w:tcW w:w="1490" w:type="dxa"/>
            <w:tcBorders>
              <w:top w:val="single" w:sz="4" w:space="0" w:color="auto"/>
              <w:left w:val="single" w:sz="4" w:space="0" w:color="auto"/>
              <w:bottom w:val="single" w:sz="4" w:space="0" w:color="auto"/>
              <w:right w:val="single" w:sz="4" w:space="0" w:color="auto"/>
            </w:tcBorders>
            <w:vAlign w:val="center"/>
          </w:tcPr>
          <w:p w14:paraId="19BC5B3D" w14:textId="1F1A0FBB"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2,188</w:t>
            </w:r>
          </w:p>
        </w:tc>
        <w:tc>
          <w:tcPr>
            <w:tcW w:w="1490" w:type="dxa"/>
            <w:tcBorders>
              <w:top w:val="single" w:sz="4" w:space="0" w:color="auto"/>
              <w:left w:val="single" w:sz="4" w:space="0" w:color="auto"/>
              <w:bottom w:val="single" w:sz="4" w:space="0" w:color="auto"/>
              <w:right w:val="single" w:sz="4" w:space="0" w:color="auto"/>
            </w:tcBorders>
            <w:vAlign w:val="center"/>
          </w:tcPr>
          <w:p w14:paraId="6A04ED27" w14:textId="45DA4895"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2,023</w:t>
            </w:r>
          </w:p>
        </w:tc>
        <w:tc>
          <w:tcPr>
            <w:tcW w:w="1491" w:type="dxa"/>
            <w:tcBorders>
              <w:top w:val="single" w:sz="4" w:space="0" w:color="auto"/>
              <w:left w:val="single" w:sz="4" w:space="0" w:color="auto"/>
              <w:bottom w:val="single" w:sz="4" w:space="0" w:color="auto"/>
              <w:right w:val="single" w:sz="4" w:space="0" w:color="auto"/>
            </w:tcBorders>
            <w:vAlign w:val="center"/>
          </w:tcPr>
          <w:p w14:paraId="25A7F9DD" w14:textId="621F5930"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1,522</w:t>
            </w:r>
          </w:p>
        </w:tc>
      </w:tr>
      <w:tr w:rsidR="00F04EE1" w:rsidRPr="00DB18B8" w14:paraId="7A7F510C" w14:textId="77777777" w:rsidTr="001064C8">
        <w:trPr>
          <w:cantSplit/>
          <w:jc w:val="center"/>
        </w:trPr>
        <w:tc>
          <w:tcPr>
            <w:tcW w:w="3111" w:type="dxa"/>
            <w:tcBorders>
              <w:top w:val="single" w:sz="4" w:space="0" w:color="auto"/>
              <w:left w:val="single" w:sz="4" w:space="0" w:color="auto"/>
              <w:bottom w:val="single" w:sz="4" w:space="0" w:color="auto"/>
              <w:right w:val="single" w:sz="4" w:space="0" w:color="auto"/>
            </w:tcBorders>
            <w:vAlign w:val="center"/>
          </w:tcPr>
          <w:p w14:paraId="172219E6" w14:textId="77777777" w:rsidR="00F04EE1" w:rsidRPr="00DB18B8" w:rsidRDefault="00F04EE1" w:rsidP="007401F5">
            <w:pPr>
              <w:spacing w:before="60" w:after="40" w:line="288" w:lineRule="auto"/>
              <w:ind w:firstLine="0"/>
              <w:jc w:val="left"/>
              <w:rPr>
                <w:rFonts w:cs="Tahoma"/>
                <w:sz w:val="20"/>
                <w:szCs w:val="20"/>
                <w:vertAlign w:val="subscript"/>
              </w:rPr>
            </w:pPr>
            <w:proofErr w:type="spellStart"/>
            <w:r w:rsidRPr="00DB18B8">
              <w:rPr>
                <w:rFonts w:cs="Tahoma"/>
                <w:sz w:val="20"/>
                <w:szCs w:val="20"/>
              </w:rPr>
              <w:t>NO</w:t>
            </w:r>
            <w:r w:rsidRPr="00DB18B8">
              <w:rPr>
                <w:rFonts w:cs="Tahoma"/>
                <w:sz w:val="20"/>
                <w:szCs w:val="20"/>
                <w:vertAlign w:val="subscript"/>
              </w:rPr>
              <w:t>x</w:t>
            </w:r>
            <w:proofErr w:type="spellEnd"/>
          </w:p>
        </w:tc>
        <w:tc>
          <w:tcPr>
            <w:tcW w:w="1490" w:type="dxa"/>
            <w:tcBorders>
              <w:top w:val="single" w:sz="4" w:space="0" w:color="auto"/>
              <w:left w:val="single" w:sz="4" w:space="0" w:color="auto"/>
              <w:bottom w:val="single" w:sz="4" w:space="0" w:color="auto"/>
              <w:right w:val="single" w:sz="4" w:space="0" w:color="auto"/>
            </w:tcBorders>
            <w:vAlign w:val="center"/>
          </w:tcPr>
          <w:p w14:paraId="7AB4B57D" w14:textId="04C2EDE5"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1,091</w:t>
            </w:r>
          </w:p>
        </w:tc>
        <w:tc>
          <w:tcPr>
            <w:tcW w:w="1490" w:type="dxa"/>
            <w:tcBorders>
              <w:top w:val="single" w:sz="4" w:space="0" w:color="auto"/>
              <w:left w:val="single" w:sz="4" w:space="0" w:color="auto"/>
              <w:bottom w:val="single" w:sz="4" w:space="0" w:color="auto"/>
              <w:right w:val="single" w:sz="4" w:space="0" w:color="auto"/>
            </w:tcBorders>
            <w:vAlign w:val="center"/>
          </w:tcPr>
          <w:p w14:paraId="01A37A4B" w14:textId="452D222A"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0,908</w:t>
            </w:r>
          </w:p>
        </w:tc>
        <w:tc>
          <w:tcPr>
            <w:tcW w:w="1490" w:type="dxa"/>
            <w:tcBorders>
              <w:top w:val="single" w:sz="4" w:space="0" w:color="auto"/>
              <w:left w:val="single" w:sz="4" w:space="0" w:color="auto"/>
              <w:bottom w:val="single" w:sz="4" w:space="0" w:color="auto"/>
              <w:right w:val="single" w:sz="4" w:space="0" w:color="auto"/>
            </w:tcBorders>
            <w:vAlign w:val="center"/>
          </w:tcPr>
          <w:p w14:paraId="779748B7" w14:textId="6F847308"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0,840</w:t>
            </w:r>
          </w:p>
        </w:tc>
        <w:tc>
          <w:tcPr>
            <w:tcW w:w="1491" w:type="dxa"/>
            <w:tcBorders>
              <w:top w:val="single" w:sz="4" w:space="0" w:color="auto"/>
              <w:left w:val="single" w:sz="4" w:space="0" w:color="auto"/>
              <w:bottom w:val="single" w:sz="4" w:space="0" w:color="auto"/>
              <w:right w:val="single" w:sz="4" w:space="0" w:color="auto"/>
            </w:tcBorders>
            <w:vAlign w:val="center"/>
          </w:tcPr>
          <w:p w14:paraId="12484B59" w14:textId="473DE893"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0,632</w:t>
            </w:r>
          </w:p>
        </w:tc>
      </w:tr>
      <w:tr w:rsidR="00F04EE1" w:rsidRPr="00DB18B8" w14:paraId="1B069EC0" w14:textId="77777777" w:rsidTr="001064C8">
        <w:trPr>
          <w:cantSplit/>
          <w:jc w:val="center"/>
        </w:trPr>
        <w:tc>
          <w:tcPr>
            <w:tcW w:w="3111" w:type="dxa"/>
            <w:tcBorders>
              <w:top w:val="single" w:sz="4" w:space="0" w:color="auto"/>
              <w:left w:val="single" w:sz="4" w:space="0" w:color="auto"/>
              <w:bottom w:val="single" w:sz="4" w:space="0" w:color="auto"/>
              <w:right w:val="single" w:sz="4" w:space="0" w:color="auto"/>
            </w:tcBorders>
            <w:vAlign w:val="center"/>
          </w:tcPr>
          <w:p w14:paraId="3C380A60" w14:textId="77777777" w:rsidR="00F04EE1" w:rsidRPr="00DB18B8" w:rsidRDefault="00F04EE1" w:rsidP="007401F5">
            <w:pPr>
              <w:spacing w:before="60" w:after="40" w:line="288" w:lineRule="auto"/>
              <w:ind w:firstLine="0"/>
              <w:jc w:val="left"/>
              <w:rPr>
                <w:rFonts w:cs="Tahoma"/>
                <w:sz w:val="20"/>
                <w:szCs w:val="20"/>
              </w:rPr>
            </w:pPr>
            <w:r w:rsidRPr="00DB18B8">
              <w:rPr>
                <w:rFonts w:cs="Tahoma"/>
                <w:sz w:val="20"/>
                <w:szCs w:val="20"/>
              </w:rPr>
              <w:t>PM</w:t>
            </w:r>
          </w:p>
        </w:tc>
        <w:tc>
          <w:tcPr>
            <w:tcW w:w="1490" w:type="dxa"/>
            <w:tcBorders>
              <w:top w:val="single" w:sz="4" w:space="0" w:color="auto"/>
              <w:left w:val="single" w:sz="4" w:space="0" w:color="auto"/>
              <w:bottom w:val="single" w:sz="4" w:space="0" w:color="auto"/>
              <w:right w:val="single" w:sz="4" w:space="0" w:color="auto"/>
            </w:tcBorders>
            <w:vAlign w:val="center"/>
          </w:tcPr>
          <w:p w14:paraId="079A73EE" w14:textId="61AEAE50"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0,030</w:t>
            </w:r>
          </w:p>
        </w:tc>
        <w:tc>
          <w:tcPr>
            <w:tcW w:w="1490" w:type="dxa"/>
            <w:tcBorders>
              <w:top w:val="single" w:sz="4" w:space="0" w:color="auto"/>
              <w:left w:val="single" w:sz="4" w:space="0" w:color="auto"/>
              <w:bottom w:val="single" w:sz="4" w:space="0" w:color="auto"/>
              <w:right w:val="single" w:sz="4" w:space="0" w:color="auto"/>
            </w:tcBorders>
            <w:vAlign w:val="center"/>
          </w:tcPr>
          <w:p w14:paraId="4B5E3545" w14:textId="05621898"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0,025</w:t>
            </w:r>
          </w:p>
        </w:tc>
        <w:tc>
          <w:tcPr>
            <w:tcW w:w="1490" w:type="dxa"/>
            <w:tcBorders>
              <w:top w:val="single" w:sz="4" w:space="0" w:color="auto"/>
              <w:left w:val="single" w:sz="4" w:space="0" w:color="auto"/>
              <w:bottom w:val="single" w:sz="4" w:space="0" w:color="auto"/>
              <w:right w:val="single" w:sz="4" w:space="0" w:color="auto"/>
            </w:tcBorders>
            <w:vAlign w:val="center"/>
          </w:tcPr>
          <w:p w14:paraId="782E80AA" w14:textId="1F56376B"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0,023</w:t>
            </w:r>
          </w:p>
        </w:tc>
        <w:tc>
          <w:tcPr>
            <w:tcW w:w="1491" w:type="dxa"/>
            <w:tcBorders>
              <w:top w:val="single" w:sz="4" w:space="0" w:color="auto"/>
              <w:left w:val="single" w:sz="4" w:space="0" w:color="auto"/>
              <w:bottom w:val="single" w:sz="4" w:space="0" w:color="auto"/>
              <w:right w:val="single" w:sz="4" w:space="0" w:color="auto"/>
            </w:tcBorders>
            <w:vAlign w:val="center"/>
          </w:tcPr>
          <w:p w14:paraId="4CF2D5F3" w14:textId="4998C030" w:rsidR="00F04EE1" w:rsidRPr="00DB18B8" w:rsidRDefault="00F04EE1" w:rsidP="007401F5">
            <w:pPr>
              <w:spacing w:before="60" w:after="40" w:line="288" w:lineRule="auto"/>
              <w:ind w:firstLine="0"/>
              <w:jc w:val="right"/>
              <w:rPr>
                <w:rFonts w:cs="Tahoma"/>
                <w:sz w:val="20"/>
                <w:szCs w:val="20"/>
              </w:rPr>
            </w:pPr>
            <w:r w:rsidRPr="00DB18B8">
              <w:rPr>
                <w:rFonts w:cs="Tahoma"/>
                <w:sz w:val="20"/>
                <w:szCs w:val="20"/>
              </w:rPr>
              <w:t>0,017</w:t>
            </w:r>
          </w:p>
        </w:tc>
      </w:tr>
    </w:tbl>
    <w:p w14:paraId="6804EC90" w14:textId="542058FF" w:rsidR="000C512A" w:rsidRPr="00821AF6" w:rsidRDefault="000C512A" w:rsidP="007401F5">
      <w:pPr>
        <w:spacing w:before="120" w:after="240"/>
        <w:ind w:firstLine="0"/>
        <w:rPr>
          <w:rFonts w:cs="Tahoma"/>
          <w:sz w:val="20"/>
          <w:szCs w:val="20"/>
        </w:rPr>
      </w:pPr>
      <w:r w:rsidRPr="00DB18B8">
        <w:rPr>
          <w:rFonts w:cs="Tahoma"/>
          <w:sz w:val="20"/>
          <w:szCs w:val="20"/>
        </w:rPr>
        <w:t xml:space="preserve">Źródło: </w:t>
      </w:r>
      <w:r w:rsidR="00F04EE1" w:rsidRPr="00DB18B8">
        <w:rPr>
          <w:rFonts w:cs="Tahoma"/>
          <w:sz w:val="20"/>
          <w:szCs w:val="20"/>
        </w:rPr>
        <w:t xml:space="preserve">opracowanie własne na podstawie: </w:t>
      </w:r>
      <w:r w:rsidR="00F04EE1" w:rsidRPr="00DB18B8">
        <w:rPr>
          <w:rFonts w:cs="Tahoma"/>
          <w:iCs/>
          <w:sz w:val="20"/>
          <w:szCs w:val="20"/>
        </w:rPr>
        <w:t xml:space="preserve">dane wyjściowe </w:t>
      </w:r>
      <w:r w:rsidR="00C23876" w:rsidRPr="00DB18B8">
        <w:rPr>
          <w:rFonts w:cs="Tahoma"/>
          <w:iCs/>
          <w:sz w:val="20"/>
          <w:szCs w:val="20"/>
        </w:rPr>
        <w:t>–</w:t>
      </w:r>
      <w:r w:rsidR="00F04EE1" w:rsidRPr="00DB18B8">
        <w:rPr>
          <w:rFonts w:cs="Tahoma"/>
          <w:iCs/>
          <w:sz w:val="20"/>
          <w:szCs w:val="20"/>
        </w:rPr>
        <w:t xml:space="preserve"> Kalkulator emisji CUPT. Prognoza na podstawie Scenariusza Polityki energetyczno-klimatycznej (PEK). Ocena skutków planowanych polityk i</w:t>
      </w:r>
      <w:r w:rsidR="004726C3" w:rsidRPr="00DB18B8">
        <w:rPr>
          <w:rFonts w:cs="Tahoma"/>
          <w:iCs/>
          <w:sz w:val="20"/>
          <w:szCs w:val="20"/>
        </w:rPr>
        <w:t> </w:t>
      </w:r>
      <w:r w:rsidR="00F04EE1" w:rsidRPr="00DB18B8">
        <w:rPr>
          <w:rFonts w:cs="Tahoma"/>
          <w:iCs/>
          <w:sz w:val="20"/>
          <w:szCs w:val="20"/>
        </w:rPr>
        <w:t>środków. Załącznik 2 do Krajowego planu na rzecz energii i klimatu na lata 2021-2030</w:t>
      </w:r>
      <w:r w:rsidR="00F04EE1" w:rsidRPr="00DB18B8">
        <w:rPr>
          <w:rFonts w:cs="Tahoma"/>
          <w:sz w:val="20"/>
          <w:szCs w:val="20"/>
        </w:rPr>
        <w:t>.</w:t>
      </w:r>
    </w:p>
    <w:p w14:paraId="1FF42EB9" w14:textId="564B2B7F" w:rsidR="00EB1184" w:rsidRPr="00821AF6" w:rsidRDefault="001A6313" w:rsidP="007401F5">
      <w:pPr>
        <w:rPr>
          <w:rFonts w:cs="Tahoma"/>
          <w:color w:val="000000"/>
        </w:rPr>
      </w:pPr>
      <w:r w:rsidRPr="00821AF6">
        <w:rPr>
          <w:rFonts w:cs="Tahoma"/>
          <w:color w:val="000000"/>
        </w:rPr>
        <w:t xml:space="preserve">Dla </w:t>
      </w:r>
      <w:r w:rsidR="00EB1184" w:rsidRPr="00821AF6">
        <w:rPr>
          <w:rFonts w:cs="Tahoma"/>
          <w:color w:val="000000"/>
        </w:rPr>
        <w:t>autobus</w:t>
      </w:r>
      <w:r w:rsidR="00F04EE1" w:rsidRPr="00821AF6">
        <w:rPr>
          <w:rFonts w:cs="Tahoma"/>
          <w:color w:val="000000"/>
        </w:rPr>
        <w:t>ów</w:t>
      </w:r>
      <w:r w:rsidR="00EB1184" w:rsidRPr="00821AF6">
        <w:rPr>
          <w:rFonts w:cs="Tahoma"/>
          <w:color w:val="000000"/>
        </w:rPr>
        <w:t xml:space="preserve"> z silnikami Diesla</w:t>
      </w:r>
      <w:r w:rsidR="004726C3" w:rsidRPr="00821AF6">
        <w:rPr>
          <w:rFonts w:cs="Tahoma"/>
          <w:color w:val="000000"/>
        </w:rPr>
        <w:t>,</w:t>
      </w:r>
      <w:r w:rsidR="00EB1184" w:rsidRPr="00821AF6">
        <w:rPr>
          <w:rFonts w:cs="Tahoma"/>
          <w:color w:val="000000"/>
        </w:rPr>
        <w:t xml:space="preserve"> </w:t>
      </w:r>
      <w:r w:rsidR="00C94484" w:rsidRPr="00821AF6">
        <w:rPr>
          <w:rFonts w:cs="Tahoma"/>
          <w:color w:val="000000"/>
        </w:rPr>
        <w:t xml:space="preserve">zasilanymi </w:t>
      </w:r>
      <w:r w:rsidRPr="00821AF6">
        <w:rPr>
          <w:rFonts w:cs="Tahoma"/>
          <w:color w:val="000000"/>
        </w:rPr>
        <w:t>olejem napędowym</w:t>
      </w:r>
      <w:r w:rsidR="00215D90">
        <w:rPr>
          <w:rFonts w:cs="Tahoma"/>
          <w:color w:val="000000"/>
        </w:rPr>
        <w:t xml:space="preserve"> oraz CNG</w:t>
      </w:r>
      <w:r w:rsidR="00C94484" w:rsidRPr="00821AF6">
        <w:rPr>
          <w:rFonts w:cs="Tahoma"/>
          <w:color w:val="000000"/>
        </w:rPr>
        <w:t xml:space="preserve"> i </w:t>
      </w:r>
      <w:r w:rsidR="00F04EE1" w:rsidRPr="00821AF6">
        <w:rPr>
          <w:rFonts w:cs="Tahoma"/>
          <w:color w:val="000000"/>
        </w:rPr>
        <w:t>spełniającymi normy EURO VI</w:t>
      </w:r>
      <w:r w:rsidR="00EB1184" w:rsidRPr="00821AF6">
        <w:rPr>
          <w:rFonts w:cs="Tahoma"/>
          <w:color w:val="000000"/>
        </w:rPr>
        <w:t>, przyjęto wskaźniki maksymalnej emisyjności dla tego typu silników.</w:t>
      </w:r>
    </w:p>
    <w:p w14:paraId="75B143F3" w14:textId="77777777" w:rsidR="000C512A" w:rsidRPr="00821AF6" w:rsidRDefault="000C512A" w:rsidP="007401F5">
      <w:pPr>
        <w:rPr>
          <w:rFonts w:cs="Tahoma"/>
          <w:color w:val="000000"/>
        </w:rPr>
      </w:pPr>
      <w:r w:rsidRPr="00821AF6">
        <w:rPr>
          <w:rFonts w:cs="Tahoma"/>
          <w:color w:val="000000"/>
        </w:rPr>
        <w:t>Emisja substancji szkodliwych, innych niż gazy cieplarniane, wpływa bezpośrednio na stan zdrowia mieszkańców obszarów przyległych do źródeł emisji liniowych. Emisja substancji szkodliwych przy wytwarzaniu energii elektrycznej rozprasza się z kolei na bardzo dużym obszarze, przez co jej oddziaływanie na stan zdrowotności mieszkańców miast jest mniejsze. Zmniejszenie emisji lokalnej ze środków transportowych zawsze korzystnie wpływa na lokalne warunki środowiskowe i poprawia warunki życia mieszkańców. Ze względów społecznych koszt emisji lokalnej należy zatem wycenić wyżej, niż koszt emisji z elektrowni, tworzącej ogólne tło zanieczyszczeń w kraju.</w:t>
      </w:r>
    </w:p>
    <w:p w14:paraId="2C88ABD4" w14:textId="4B48AEEE" w:rsidR="000C512A" w:rsidRPr="00821AF6" w:rsidRDefault="000C512A" w:rsidP="007401F5">
      <w:pPr>
        <w:rPr>
          <w:rFonts w:cs="Tahoma"/>
          <w:color w:val="000000"/>
        </w:rPr>
      </w:pPr>
      <w:r w:rsidRPr="00821AF6">
        <w:rPr>
          <w:rFonts w:cs="Tahoma"/>
          <w:color w:val="000000"/>
        </w:rPr>
        <w:t xml:space="preserve">Wyceny wpływu lokalnej emisji substancji szkodliwych dokonano z zastosowaniem współczynnika zwiększającego – będącego iloczynem procentowego wzrostu przeciętnej gęstości zaludnienia na obszarze </w:t>
      </w:r>
      <w:r w:rsidR="00C73F5E">
        <w:rPr>
          <w:rFonts w:cs="Tahoma"/>
          <w:color w:val="000000"/>
        </w:rPr>
        <w:t xml:space="preserve">Rzeszowa </w:t>
      </w:r>
      <w:r w:rsidRPr="00821AF6">
        <w:rPr>
          <w:rFonts w:cs="Tahoma"/>
          <w:color w:val="000000"/>
        </w:rPr>
        <w:t>w stosunku do przeciętnej gęstości zaludnienia w</w:t>
      </w:r>
      <w:r w:rsidR="00142410">
        <w:rPr>
          <w:rFonts w:cs="Tahoma"/>
          <w:color w:val="000000"/>
        </w:rPr>
        <w:t> </w:t>
      </w:r>
      <w:r w:rsidRPr="00821AF6">
        <w:rPr>
          <w:rFonts w:cs="Tahoma"/>
          <w:color w:val="000000"/>
        </w:rPr>
        <w:t>miastach w Polsce</w:t>
      </w:r>
      <w:r w:rsidR="00DF7793" w:rsidRPr="00821AF6">
        <w:rPr>
          <w:rFonts w:cs="Tahoma"/>
          <w:color w:val="000000"/>
        </w:rPr>
        <w:t xml:space="preserve">, przedstawionego w tabeli </w:t>
      </w:r>
      <w:r w:rsidR="003500BD">
        <w:rPr>
          <w:rFonts w:cs="Tahoma"/>
          <w:color w:val="000000"/>
        </w:rPr>
        <w:t>8</w:t>
      </w:r>
      <w:r w:rsidRPr="00821AF6">
        <w:rPr>
          <w:rFonts w:cs="Tahoma"/>
          <w:color w:val="000000"/>
        </w:rPr>
        <w:t xml:space="preserve"> </w:t>
      </w:r>
      <w:r w:rsidR="004726C3" w:rsidRPr="00821AF6">
        <w:rPr>
          <w:rFonts w:cs="Tahoma"/>
          <w:color w:val="000000"/>
        </w:rPr>
        <w:t>w rozdziale 6.</w:t>
      </w:r>
      <w:r w:rsidR="000E76A3">
        <w:rPr>
          <w:rFonts w:cs="Tahoma"/>
          <w:color w:val="000000"/>
        </w:rPr>
        <w:t>4</w:t>
      </w:r>
      <w:r w:rsidR="004726C3" w:rsidRPr="00821AF6">
        <w:rPr>
          <w:rFonts w:cs="Tahoma"/>
          <w:color w:val="000000"/>
        </w:rPr>
        <w:t xml:space="preserve"> </w:t>
      </w:r>
      <w:r w:rsidRPr="00821AF6">
        <w:rPr>
          <w:rFonts w:cs="Tahoma"/>
          <w:color w:val="000000"/>
        </w:rPr>
        <w:t>– oraz udziału emisji zanieczyszczeń z ciężkich pojazdów drogowych i autobusów w ogólnej emisji zanieczyszczeń transportu drogowego w</w:t>
      </w:r>
      <w:r w:rsidR="004022D3" w:rsidRPr="00821AF6">
        <w:rPr>
          <w:rFonts w:cs="Tahoma"/>
          <w:color w:val="000000"/>
        </w:rPr>
        <w:t> </w:t>
      </w:r>
      <w:r w:rsidRPr="00821AF6">
        <w:rPr>
          <w:rFonts w:cs="Tahoma"/>
          <w:color w:val="000000"/>
        </w:rPr>
        <w:t>Polsce</w:t>
      </w:r>
      <w:r w:rsidRPr="00821AF6">
        <w:rPr>
          <w:vertAlign w:val="superscript"/>
        </w:rPr>
        <w:footnoteReference w:id="17"/>
      </w:r>
      <w:r w:rsidRPr="00821AF6">
        <w:rPr>
          <w:rFonts w:cs="Tahoma"/>
          <w:color w:val="000000"/>
        </w:rPr>
        <w:t>.</w:t>
      </w:r>
    </w:p>
    <w:p w14:paraId="1234A2E2" w14:textId="77777777" w:rsidR="000C512A" w:rsidRPr="00821AF6" w:rsidRDefault="000C512A" w:rsidP="007401F5">
      <w:pPr>
        <w:spacing w:before="120"/>
        <w:ind w:firstLine="0"/>
        <w:jc w:val="center"/>
        <w:rPr>
          <w:rFonts w:cs="Tahoma"/>
          <w:color w:val="000000"/>
          <w:u w:val="single"/>
        </w:rPr>
      </w:pPr>
      <w:r w:rsidRPr="00821AF6">
        <w:rPr>
          <w:rFonts w:cs="Tahoma"/>
          <w:color w:val="000000"/>
          <w:u w:val="single"/>
        </w:rPr>
        <w:t>Emisja hałasu</w:t>
      </w:r>
    </w:p>
    <w:p w14:paraId="08597ACB" w14:textId="7673D7C2" w:rsidR="00891B67" w:rsidRPr="00821AF6" w:rsidRDefault="00891B67" w:rsidP="007401F5">
      <w:pPr>
        <w:rPr>
          <w:rFonts w:cs="Tahoma"/>
          <w:color w:val="000000"/>
        </w:rPr>
      </w:pPr>
      <w:r w:rsidRPr="00821AF6">
        <w:rPr>
          <w:rFonts w:cs="Tahoma"/>
          <w:color w:val="000000"/>
        </w:rPr>
        <w:t>Dla nowych autobusów z silnikiem Di</w:t>
      </w:r>
      <w:r w:rsidR="00C6455E" w:rsidRPr="00821AF6">
        <w:rPr>
          <w:rFonts w:cs="Tahoma"/>
          <w:color w:val="000000"/>
        </w:rPr>
        <w:t>esla, spełniających normę EURO VI</w:t>
      </w:r>
      <w:r w:rsidRPr="00821AF6">
        <w:rPr>
          <w:rFonts w:cs="Tahoma"/>
          <w:color w:val="000000"/>
        </w:rPr>
        <w:t xml:space="preserve">, założono 5% redukcję hałasu. Obecnie stosowane silniki elektryczne, w porównaniu do silników spalinowych, niemal nie emitują słyszalnego hałasu, natomiast pozostaje emisja hałasu wynikająca </w:t>
      </w:r>
      <w:r w:rsidRPr="00821AF6">
        <w:rPr>
          <w:rFonts w:cs="Tahoma"/>
          <w:color w:val="000000"/>
        </w:rPr>
        <w:lastRenderedPageBreak/>
        <w:t>z</w:t>
      </w:r>
      <w:r w:rsidR="00E4410E" w:rsidRPr="00821AF6">
        <w:rPr>
          <w:rFonts w:cs="Tahoma"/>
          <w:color w:val="000000"/>
        </w:rPr>
        <w:t> </w:t>
      </w:r>
      <w:r w:rsidRPr="00821AF6">
        <w:rPr>
          <w:rFonts w:cs="Tahoma"/>
          <w:color w:val="000000"/>
        </w:rPr>
        <w:t>toczenia się kół, pracy różnorodnych urządzeń pokładowych – szczególnie wentylatorów w</w:t>
      </w:r>
      <w:r w:rsidR="00E4410E" w:rsidRPr="00821AF6">
        <w:rPr>
          <w:rFonts w:cs="Tahoma"/>
          <w:color w:val="000000"/>
        </w:rPr>
        <w:t> </w:t>
      </w:r>
      <w:r w:rsidRPr="00821AF6">
        <w:rPr>
          <w:rFonts w:cs="Tahoma"/>
          <w:color w:val="000000"/>
        </w:rPr>
        <w:t>układach chłodzenia – oraz pracy konstrukcji nadwozia.</w:t>
      </w:r>
    </w:p>
    <w:p w14:paraId="5B552CD5" w14:textId="77777777" w:rsidR="00B3121F" w:rsidRPr="00821AF6" w:rsidRDefault="00B3121F" w:rsidP="007401F5">
      <w:pPr>
        <w:rPr>
          <w:rFonts w:cs="Tahoma"/>
          <w:color w:val="000000"/>
        </w:rPr>
      </w:pPr>
      <w:r w:rsidRPr="00821AF6">
        <w:rPr>
          <w:rFonts w:cs="Tahoma"/>
          <w:color w:val="000000"/>
        </w:rPr>
        <w:t>Wskaźniki kosztów efektów zewnętrznych emisji hałasu zaczerpnięto z „Tablic kosztów jednostkowych do wykorzystania w analizach kosztów i korzyści”, publikowanych w serwisie internetowym CUPT – przyjęto koszty hałasu w transporcie drogowym dla autobusu w terenie miejskim, wartości średnie.</w:t>
      </w:r>
    </w:p>
    <w:p w14:paraId="01B83FE3" w14:textId="77777777" w:rsidR="000C512A" w:rsidRPr="00821AF6" w:rsidRDefault="000C512A" w:rsidP="00995BC8">
      <w:pPr>
        <w:pStyle w:val="Nagwek2"/>
        <w:spacing w:before="120"/>
        <w:ind w:left="567"/>
        <w:jc w:val="center"/>
      </w:pPr>
      <w:bookmarkStart w:id="91" w:name="_Toc524602376"/>
      <w:bookmarkStart w:id="92" w:name="_Toc89417679"/>
      <w:r w:rsidRPr="00821AF6">
        <w:t>Wyniki analizy kosztów i korzyści</w:t>
      </w:r>
      <w:bookmarkEnd w:id="91"/>
      <w:bookmarkEnd w:id="92"/>
    </w:p>
    <w:p w14:paraId="14778EA8" w14:textId="671D6DD8" w:rsidR="000C512A" w:rsidRPr="00821AF6" w:rsidRDefault="000C512A" w:rsidP="00995BC8">
      <w:pPr>
        <w:rPr>
          <w:rFonts w:cs="Tahoma"/>
          <w:color w:val="000000"/>
        </w:rPr>
      </w:pPr>
      <w:r w:rsidRPr="00821AF6">
        <w:rPr>
          <w:rFonts w:cs="Tahoma"/>
          <w:color w:val="000000"/>
        </w:rPr>
        <w:t xml:space="preserve">Obliczenia analizy finansowej i społeczno-ekonomicznej </w:t>
      </w:r>
      <w:r w:rsidR="00891B67" w:rsidRPr="00821AF6">
        <w:rPr>
          <w:rFonts w:cs="Tahoma"/>
          <w:color w:val="000000"/>
        </w:rPr>
        <w:t xml:space="preserve">dla </w:t>
      </w:r>
      <w:r w:rsidR="001A6313" w:rsidRPr="00821AF6">
        <w:rPr>
          <w:rFonts w:cs="Tahoma"/>
          <w:color w:val="000000"/>
        </w:rPr>
        <w:t xml:space="preserve">wszystkich </w:t>
      </w:r>
      <w:r w:rsidR="00891B67" w:rsidRPr="00821AF6">
        <w:rPr>
          <w:rFonts w:cs="Tahoma"/>
          <w:color w:val="000000"/>
        </w:rPr>
        <w:t>wariantów</w:t>
      </w:r>
      <w:r w:rsidR="00E4410E" w:rsidRPr="00821AF6">
        <w:rPr>
          <w:rFonts w:cs="Tahoma"/>
          <w:color w:val="000000"/>
        </w:rPr>
        <w:t>,</w:t>
      </w:r>
      <w:r w:rsidRPr="00821AF6">
        <w:rPr>
          <w:rFonts w:cs="Tahoma"/>
          <w:color w:val="000000"/>
        </w:rPr>
        <w:t xml:space="preserve"> zostały zawarte w modelu finansowym, stanowiącym Załącznik nr 1 do</w:t>
      </w:r>
      <w:r w:rsidR="00E4410E" w:rsidRPr="00821AF6">
        <w:rPr>
          <w:rFonts w:cs="Tahoma"/>
          <w:color w:val="000000"/>
        </w:rPr>
        <w:t> </w:t>
      </w:r>
      <w:r w:rsidRPr="00821AF6">
        <w:rPr>
          <w:rFonts w:cs="Tahoma"/>
          <w:color w:val="000000"/>
        </w:rPr>
        <w:t>niniejszej Analizy Kosztów i Korzyści.</w:t>
      </w:r>
    </w:p>
    <w:p w14:paraId="49A8766F" w14:textId="65945726" w:rsidR="000C512A" w:rsidRPr="00821AF6" w:rsidRDefault="00D77634" w:rsidP="00995BC8">
      <w:pPr>
        <w:rPr>
          <w:rFonts w:cs="Tahoma"/>
          <w:color w:val="000000"/>
        </w:rPr>
      </w:pPr>
      <w:bookmarkStart w:id="93" w:name="_Hlk532289814"/>
      <w:bookmarkStart w:id="94" w:name="_Hlk532319997"/>
      <w:r w:rsidRPr="00821AF6">
        <w:rPr>
          <w:rFonts w:cs="Tahoma"/>
          <w:color w:val="000000"/>
        </w:rPr>
        <w:t xml:space="preserve">Uwzględnienie w analizie wymienionych w </w:t>
      </w:r>
      <w:r w:rsidR="001064C8" w:rsidRPr="00821AF6">
        <w:rPr>
          <w:rFonts w:cs="Tahoma"/>
          <w:color w:val="000000"/>
        </w:rPr>
        <w:t>rozdziale 7</w:t>
      </w:r>
      <w:r w:rsidRPr="00821AF6">
        <w:rPr>
          <w:rFonts w:cs="Tahoma"/>
          <w:color w:val="000000"/>
        </w:rPr>
        <w:t>.1 korzyści społecznych, bazuje na ujęciu</w:t>
      </w:r>
      <w:bookmarkEnd w:id="93"/>
      <w:r w:rsidRPr="00821AF6">
        <w:rPr>
          <w:rFonts w:cs="Tahoma"/>
          <w:color w:val="000000"/>
        </w:rPr>
        <w:t xml:space="preserve"> </w:t>
      </w:r>
      <w:r w:rsidR="000C512A" w:rsidRPr="00821AF6">
        <w:rPr>
          <w:rFonts w:cs="Tahoma"/>
          <w:color w:val="000000"/>
        </w:rPr>
        <w:t>różnicowym</w:t>
      </w:r>
      <w:bookmarkEnd w:id="94"/>
      <w:r w:rsidR="000C512A" w:rsidRPr="00821AF6">
        <w:rPr>
          <w:rFonts w:cs="Tahoma"/>
          <w:color w:val="000000"/>
        </w:rPr>
        <w:t xml:space="preserve">, tzn. w pierwszej kolejności obliczono finansowe koszty eksploatacji oraz koszty społeczne emisji gazów cieplarnianych, emisji lokalnej oraz emisji hałasu dla scenariusza bazowego, zakładającego brak realizacji analizowanych wariantów, a następnie obliczono tożsame kategorie kosztów społecznych dla wariantów </w:t>
      </w:r>
      <w:r w:rsidR="00E10276" w:rsidRPr="00821AF6">
        <w:rPr>
          <w:rFonts w:cs="Tahoma"/>
          <w:color w:val="000000"/>
        </w:rPr>
        <w:t xml:space="preserve">konwencjonalnego, </w:t>
      </w:r>
      <w:r w:rsidR="000C512A" w:rsidRPr="00821AF6">
        <w:rPr>
          <w:rFonts w:cs="Tahoma"/>
          <w:color w:val="000000"/>
        </w:rPr>
        <w:t>elektryczne</w:t>
      </w:r>
      <w:r w:rsidR="00891B67" w:rsidRPr="00821AF6">
        <w:rPr>
          <w:rFonts w:cs="Tahoma"/>
          <w:color w:val="000000"/>
        </w:rPr>
        <w:t>go</w:t>
      </w:r>
      <w:r w:rsidR="006D6CA0" w:rsidRPr="00821AF6">
        <w:rPr>
          <w:rFonts w:cs="Tahoma"/>
          <w:color w:val="000000"/>
        </w:rPr>
        <w:t xml:space="preserve"> </w:t>
      </w:r>
      <w:r w:rsidR="003500BD">
        <w:rPr>
          <w:rFonts w:cs="Tahoma"/>
          <w:color w:val="000000"/>
        </w:rPr>
        <w:t>i</w:t>
      </w:r>
      <w:r w:rsidR="00145DBA">
        <w:rPr>
          <w:rFonts w:cs="Tahoma"/>
          <w:color w:val="000000"/>
        </w:rPr>
        <w:t> </w:t>
      </w:r>
      <w:r w:rsidR="00995BC8">
        <w:rPr>
          <w:rFonts w:cs="Tahoma"/>
          <w:color w:val="000000"/>
        </w:rPr>
        <w:t>wodorowego</w:t>
      </w:r>
      <w:r w:rsidR="000C512A" w:rsidRPr="00821AF6">
        <w:rPr>
          <w:rFonts w:cs="Tahoma"/>
          <w:color w:val="000000"/>
        </w:rPr>
        <w:t>.</w:t>
      </w:r>
    </w:p>
    <w:p w14:paraId="5ED46207" w14:textId="77777777" w:rsidR="000C512A" w:rsidRPr="00821AF6" w:rsidRDefault="000C512A" w:rsidP="00995BC8">
      <w:pPr>
        <w:tabs>
          <w:tab w:val="left" w:pos="4111"/>
        </w:tabs>
        <w:rPr>
          <w:rFonts w:cs="Tahoma"/>
          <w:color w:val="000000"/>
        </w:rPr>
      </w:pPr>
      <w:r w:rsidRPr="00821AF6">
        <w:rPr>
          <w:rFonts w:cs="Tahoma"/>
          <w:color w:val="000000"/>
        </w:rPr>
        <w:t>Różnica pomiędzy rozpatrywanym wariantem a scenariuszem bazowym, stanowi wartość kosztów lub korzyści wynikających z realizacji danego wariantu. W przypadku, gdy różnica kosztów danego wariantu i kosztów wariantu bazowego jest dodatnia, dana kategoria efektu zewnętrznego jest kosztem, natomiast w przypadku, gdy różnica jest wynikiem ujemnym, dana kategoria efektu zewnętrznego traktowana jest jako korzyść społeczna realizacji wariantu.</w:t>
      </w:r>
    </w:p>
    <w:p w14:paraId="14C1A15A" w14:textId="7E5900D4" w:rsidR="000C512A" w:rsidRPr="00821AF6" w:rsidRDefault="000C512A" w:rsidP="00995BC8">
      <w:pPr>
        <w:rPr>
          <w:rFonts w:cs="Tahoma"/>
          <w:color w:val="000000"/>
        </w:rPr>
      </w:pPr>
      <w:r w:rsidRPr="00821AF6">
        <w:rPr>
          <w:rFonts w:cs="Tahoma"/>
          <w:color w:val="000000"/>
        </w:rPr>
        <w:t xml:space="preserve">W tabeli </w:t>
      </w:r>
      <w:r w:rsidR="00E10276" w:rsidRPr="00821AF6">
        <w:rPr>
          <w:rFonts w:cs="Tahoma"/>
          <w:color w:val="000000"/>
        </w:rPr>
        <w:t>1</w:t>
      </w:r>
      <w:r w:rsidR="003500BD">
        <w:rPr>
          <w:rFonts w:cs="Tahoma"/>
          <w:color w:val="000000"/>
        </w:rPr>
        <w:t>5</w:t>
      </w:r>
      <w:r w:rsidRPr="00821AF6">
        <w:rPr>
          <w:rFonts w:cs="Tahoma"/>
          <w:color w:val="000000"/>
        </w:rPr>
        <w:t xml:space="preserve"> przedstawiono wskaźniki oceny opłacalności efektywności finansowej porównywanych waria</w:t>
      </w:r>
      <w:r w:rsidR="00E10276" w:rsidRPr="00821AF6">
        <w:rPr>
          <w:rFonts w:cs="Tahoma"/>
          <w:color w:val="000000"/>
        </w:rPr>
        <w:t>ntów</w:t>
      </w:r>
      <w:r w:rsidR="004726C3" w:rsidRPr="00821AF6">
        <w:rPr>
          <w:rFonts w:cs="Tahoma"/>
          <w:color w:val="000000"/>
        </w:rPr>
        <w:t>:</w:t>
      </w:r>
      <w:r w:rsidR="00E10276" w:rsidRPr="00821AF6">
        <w:rPr>
          <w:rFonts w:cs="Tahoma"/>
          <w:color w:val="000000"/>
        </w:rPr>
        <w:t xml:space="preserve"> konwencjonalnego,</w:t>
      </w:r>
      <w:r w:rsidR="006D2BD2">
        <w:rPr>
          <w:rFonts w:cs="Tahoma"/>
          <w:color w:val="000000"/>
        </w:rPr>
        <w:t xml:space="preserve"> elektrycznego</w:t>
      </w:r>
      <w:r w:rsidR="003500BD">
        <w:rPr>
          <w:rFonts w:cs="Tahoma"/>
          <w:color w:val="000000"/>
        </w:rPr>
        <w:t xml:space="preserve"> i </w:t>
      </w:r>
      <w:r w:rsidR="006D2BD2">
        <w:rPr>
          <w:rFonts w:cs="Tahoma"/>
          <w:color w:val="000000"/>
        </w:rPr>
        <w:t>wodorowego</w:t>
      </w:r>
      <w:r w:rsidR="00E10276" w:rsidRPr="00821AF6">
        <w:rPr>
          <w:rFonts w:cs="Tahoma"/>
          <w:color w:val="000000"/>
        </w:rPr>
        <w:t xml:space="preserve"> </w:t>
      </w:r>
      <w:r w:rsidR="004726C3" w:rsidRPr="00821AF6">
        <w:rPr>
          <w:rFonts w:cs="Tahoma"/>
          <w:color w:val="000000"/>
        </w:rPr>
        <w:t xml:space="preserve">– </w:t>
      </w:r>
      <w:r w:rsidRPr="00821AF6">
        <w:rPr>
          <w:rFonts w:cs="Tahoma"/>
          <w:color w:val="000000"/>
        </w:rPr>
        <w:t>w stosunku do</w:t>
      </w:r>
      <w:r w:rsidR="00142410">
        <w:rPr>
          <w:rFonts w:cs="Tahoma"/>
          <w:color w:val="000000"/>
        </w:rPr>
        <w:t> </w:t>
      </w:r>
      <w:r w:rsidRPr="00821AF6">
        <w:rPr>
          <w:rFonts w:cs="Tahoma"/>
          <w:color w:val="000000"/>
        </w:rPr>
        <w:t>scenariusza bazowego.</w:t>
      </w:r>
    </w:p>
    <w:p w14:paraId="6357C85E" w14:textId="2FBCAD9A" w:rsidR="000C512A" w:rsidRPr="00821AF6" w:rsidRDefault="000C512A" w:rsidP="00995BC8">
      <w:pPr>
        <w:pStyle w:val="Legenda"/>
        <w:spacing w:before="240" w:after="0"/>
        <w:ind w:firstLine="0"/>
        <w:jc w:val="left"/>
        <w:rPr>
          <w:color w:val="000000"/>
          <w:sz w:val="22"/>
          <w:szCs w:val="22"/>
        </w:rPr>
      </w:pPr>
      <w:r w:rsidRPr="00821AF6">
        <w:rPr>
          <w:color w:val="000000"/>
          <w:sz w:val="22"/>
          <w:szCs w:val="22"/>
        </w:rPr>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15</w:t>
      </w:r>
      <w:r w:rsidR="00B60ABE" w:rsidRPr="00821AF6">
        <w:rPr>
          <w:color w:val="000000"/>
          <w:sz w:val="22"/>
          <w:szCs w:val="22"/>
        </w:rPr>
        <w:fldChar w:fldCharType="end"/>
      </w:r>
      <w:r w:rsidRPr="00821AF6">
        <w:rPr>
          <w:color w:val="000000"/>
          <w:sz w:val="22"/>
          <w:szCs w:val="22"/>
        </w:rPr>
        <w:t>. Wskaźniki efektywności finansowej porównywanych wariantów</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686"/>
        <w:gridCol w:w="992"/>
        <w:gridCol w:w="1798"/>
        <w:gridCol w:w="1798"/>
        <w:gridCol w:w="1798"/>
      </w:tblGrid>
      <w:tr w:rsidR="00E10276" w:rsidRPr="00821AF6" w14:paraId="18A59381" w14:textId="77777777" w:rsidTr="00EE7A12">
        <w:trPr>
          <w:cantSplit/>
          <w:trHeight w:val="192"/>
          <w:tblHeader/>
          <w:jc w:val="center"/>
        </w:trPr>
        <w:tc>
          <w:tcPr>
            <w:tcW w:w="2686" w:type="dxa"/>
            <w:vMerge w:val="restart"/>
            <w:shd w:val="clear" w:color="auto" w:fill="FFFF99"/>
            <w:vAlign w:val="center"/>
          </w:tcPr>
          <w:p w14:paraId="7E3126BA" w14:textId="77777777" w:rsidR="00E10276" w:rsidRPr="00821AF6" w:rsidRDefault="00E10276" w:rsidP="00995BC8">
            <w:pPr>
              <w:spacing w:before="60" w:after="40" w:line="288" w:lineRule="auto"/>
              <w:ind w:firstLine="0"/>
              <w:jc w:val="center"/>
              <w:rPr>
                <w:rFonts w:cs="Tahoma"/>
                <w:b/>
                <w:sz w:val="18"/>
                <w:szCs w:val="18"/>
              </w:rPr>
            </w:pPr>
            <w:r w:rsidRPr="00821AF6">
              <w:rPr>
                <w:rFonts w:cs="Tahoma"/>
                <w:b/>
                <w:sz w:val="18"/>
                <w:szCs w:val="18"/>
              </w:rPr>
              <w:t>Wyszczególnienie</w:t>
            </w:r>
          </w:p>
        </w:tc>
        <w:tc>
          <w:tcPr>
            <w:tcW w:w="992" w:type="dxa"/>
            <w:vMerge w:val="restart"/>
            <w:shd w:val="clear" w:color="auto" w:fill="FFFF99"/>
            <w:vAlign w:val="center"/>
          </w:tcPr>
          <w:p w14:paraId="3EA7B710" w14:textId="77777777" w:rsidR="00E10276" w:rsidRPr="00821AF6" w:rsidRDefault="00E10276" w:rsidP="00995BC8">
            <w:pPr>
              <w:spacing w:before="60" w:after="40" w:line="288" w:lineRule="auto"/>
              <w:ind w:firstLine="0"/>
              <w:jc w:val="center"/>
              <w:rPr>
                <w:rFonts w:cs="Tahoma"/>
                <w:b/>
                <w:sz w:val="18"/>
                <w:szCs w:val="18"/>
              </w:rPr>
            </w:pPr>
            <w:r w:rsidRPr="00821AF6">
              <w:rPr>
                <w:rFonts w:cs="Tahoma"/>
                <w:b/>
                <w:sz w:val="18"/>
                <w:szCs w:val="18"/>
              </w:rPr>
              <w:t>Jednostka</w:t>
            </w:r>
          </w:p>
        </w:tc>
        <w:tc>
          <w:tcPr>
            <w:tcW w:w="5394" w:type="dxa"/>
            <w:gridSpan w:val="3"/>
            <w:shd w:val="clear" w:color="auto" w:fill="FFFF99"/>
            <w:vAlign w:val="center"/>
          </w:tcPr>
          <w:p w14:paraId="419F55A6" w14:textId="1E62ECBB" w:rsidR="00E10276" w:rsidRPr="00821AF6" w:rsidRDefault="00E10276" w:rsidP="00995BC8">
            <w:pPr>
              <w:spacing w:before="60" w:after="40" w:line="288" w:lineRule="auto"/>
              <w:ind w:firstLine="0"/>
              <w:jc w:val="center"/>
              <w:rPr>
                <w:rFonts w:cs="Tahoma"/>
                <w:b/>
                <w:sz w:val="18"/>
                <w:szCs w:val="18"/>
              </w:rPr>
            </w:pPr>
            <w:r w:rsidRPr="00821AF6">
              <w:rPr>
                <w:rFonts w:cs="Tahoma"/>
                <w:b/>
                <w:sz w:val="18"/>
                <w:szCs w:val="18"/>
              </w:rPr>
              <w:t>Wariant</w:t>
            </w:r>
          </w:p>
        </w:tc>
      </w:tr>
      <w:tr w:rsidR="00E10276" w:rsidRPr="00821AF6" w14:paraId="073B380C" w14:textId="77777777" w:rsidTr="00E10276">
        <w:trPr>
          <w:cantSplit/>
          <w:trHeight w:val="192"/>
          <w:tblHeader/>
          <w:jc w:val="center"/>
        </w:trPr>
        <w:tc>
          <w:tcPr>
            <w:tcW w:w="2686" w:type="dxa"/>
            <w:vMerge/>
            <w:shd w:val="clear" w:color="auto" w:fill="FFFF99"/>
            <w:vAlign w:val="center"/>
          </w:tcPr>
          <w:p w14:paraId="01DD9FE6" w14:textId="77777777" w:rsidR="00E10276" w:rsidRPr="00821AF6" w:rsidRDefault="00E10276" w:rsidP="00995BC8">
            <w:pPr>
              <w:spacing w:before="60" w:after="40" w:line="288" w:lineRule="auto"/>
              <w:ind w:firstLine="0"/>
              <w:jc w:val="center"/>
              <w:rPr>
                <w:rFonts w:cs="Tahoma"/>
                <w:b/>
                <w:sz w:val="18"/>
                <w:szCs w:val="18"/>
              </w:rPr>
            </w:pPr>
          </w:p>
        </w:tc>
        <w:tc>
          <w:tcPr>
            <w:tcW w:w="992" w:type="dxa"/>
            <w:vMerge/>
            <w:shd w:val="clear" w:color="auto" w:fill="FFFF99"/>
            <w:vAlign w:val="center"/>
          </w:tcPr>
          <w:p w14:paraId="2E4BF334" w14:textId="77777777" w:rsidR="00E10276" w:rsidRPr="00821AF6" w:rsidRDefault="00E10276" w:rsidP="00995BC8">
            <w:pPr>
              <w:spacing w:before="60" w:after="40" w:line="288" w:lineRule="auto"/>
              <w:ind w:firstLine="0"/>
              <w:jc w:val="center"/>
              <w:rPr>
                <w:rFonts w:cs="Tahoma"/>
                <w:b/>
                <w:sz w:val="18"/>
                <w:szCs w:val="18"/>
              </w:rPr>
            </w:pPr>
          </w:p>
        </w:tc>
        <w:tc>
          <w:tcPr>
            <w:tcW w:w="1798" w:type="dxa"/>
            <w:shd w:val="clear" w:color="auto" w:fill="FFFF99"/>
            <w:vAlign w:val="center"/>
          </w:tcPr>
          <w:p w14:paraId="32BDD1A8" w14:textId="699570A2" w:rsidR="00E10276" w:rsidRPr="00821AF6" w:rsidRDefault="00E10276" w:rsidP="00995BC8">
            <w:pPr>
              <w:spacing w:before="60" w:after="40" w:line="288" w:lineRule="auto"/>
              <w:ind w:left="-108" w:right="-108" w:firstLine="0"/>
              <w:jc w:val="center"/>
              <w:rPr>
                <w:rFonts w:cs="Tahoma"/>
                <w:b/>
                <w:sz w:val="18"/>
                <w:szCs w:val="18"/>
              </w:rPr>
            </w:pPr>
            <w:r w:rsidRPr="00821AF6">
              <w:rPr>
                <w:rFonts w:cs="Tahoma"/>
                <w:b/>
                <w:sz w:val="18"/>
                <w:szCs w:val="18"/>
              </w:rPr>
              <w:t>konwencjonalny</w:t>
            </w:r>
          </w:p>
        </w:tc>
        <w:tc>
          <w:tcPr>
            <w:tcW w:w="1798" w:type="dxa"/>
            <w:shd w:val="clear" w:color="auto" w:fill="FFFF99"/>
            <w:vAlign w:val="center"/>
          </w:tcPr>
          <w:p w14:paraId="6C38AF4B" w14:textId="0BC005FF" w:rsidR="00E10276" w:rsidRPr="00821AF6" w:rsidRDefault="003500BD" w:rsidP="00995BC8">
            <w:pPr>
              <w:spacing w:before="60" w:after="40" w:line="288" w:lineRule="auto"/>
              <w:ind w:firstLine="0"/>
              <w:jc w:val="center"/>
              <w:rPr>
                <w:rFonts w:cs="Tahoma"/>
                <w:b/>
                <w:sz w:val="18"/>
                <w:szCs w:val="18"/>
              </w:rPr>
            </w:pPr>
            <w:r>
              <w:rPr>
                <w:rFonts w:cs="Tahoma"/>
                <w:b/>
                <w:sz w:val="18"/>
                <w:szCs w:val="18"/>
              </w:rPr>
              <w:t>e</w:t>
            </w:r>
            <w:r w:rsidR="00E10276" w:rsidRPr="00821AF6">
              <w:rPr>
                <w:rFonts w:cs="Tahoma"/>
                <w:b/>
                <w:sz w:val="18"/>
                <w:szCs w:val="18"/>
              </w:rPr>
              <w:t>lektryczny</w:t>
            </w:r>
          </w:p>
        </w:tc>
        <w:tc>
          <w:tcPr>
            <w:tcW w:w="1798" w:type="dxa"/>
            <w:shd w:val="clear" w:color="auto" w:fill="FFFF99"/>
            <w:vAlign w:val="center"/>
          </w:tcPr>
          <w:p w14:paraId="3720FA9D" w14:textId="46E5F4FF" w:rsidR="00E10276" w:rsidRPr="00821AF6" w:rsidRDefault="00995BC8" w:rsidP="00995BC8">
            <w:pPr>
              <w:spacing w:before="60" w:after="40" w:line="288" w:lineRule="auto"/>
              <w:ind w:firstLine="0"/>
              <w:jc w:val="center"/>
              <w:rPr>
                <w:rFonts w:cs="Tahoma"/>
                <w:b/>
                <w:sz w:val="18"/>
                <w:szCs w:val="18"/>
              </w:rPr>
            </w:pPr>
            <w:r>
              <w:rPr>
                <w:rFonts w:cs="Tahoma"/>
                <w:b/>
                <w:sz w:val="18"/>
                <w:szCs w:val="18"/>
              </w:rPr>
              <w:t>wodorowy</w:t>
            </w:r>
          </w:p>
        </w:tc>
      </w:tr>
      <w:tr w:rsidR="00C0311F" w:rsidRPr="00821AF6" w14:paraId="0A9162C3" w14:textId="77777777" w:rsidTr="00E10276">
        <w:trPr>
          <w:cantSplit/>
          <w:jc w:val="center"/>
        </w:trPr>
        <w:tc>
          <w:tcPr>
            <w:tcW w:w="2686" w:type="dxa"/>
            <w:tcBorders>
              <w:top w:val="single" w:sz="4" w:space="0" w:color="auto"/>
              <w:left w:val="single" w:sz="4" w:space="0" w:color="auto"/>
              <w:bottom w:val="single" w:sz="4" w:space="0" w:color="auto"/>
              <w:right w:val="single" w:sz="4" w:space="0" w:color="auto"/>
            </w:tcBorders>
            <w:vAlign w:val="center"/>
          </w:tcPr>
          <w:p w14:paraId="7CF27D13" w14:textId="5A786D43" w:rsidR="00C0311F" w:rsidRPr="00821AF6" w:rsidRDefault="00C0311F" w:rsidP="00995BC8">
            <w:pPr>
              <w:spacing w:before="60" w:after="40" w:line="288" w:lineRule="auto"/>
              <w:ind w:firstLine="0"/>
              <w:jc w:val="left"/>
              <w:rPr>
                <w:rFonts w:cs="Tahoma"/>
                <w:sz w:val="18"/>
                <w:szCs w:val="18"/>
              </w:rPr>
            </w:pPr>
            <w:r w:rsidRPr="00821AF6">
              <w:rPr>
                <w:sz w:val="18"/>
                <w:szCs w:val="18"/>
              </w:rPr>
              <w:t>Finansowa bieżąca wartość netto inwestycji (</w:t>
            </w:r>
            <w:r w:rsidRPr="00821AF6">
              <w:rPr>
                <w:rFonts w:cs="Tahoma"/>
                <w:b/>
                <w:sz w:val="18"/>
                <w:szCs w:val="18"/>
              </w:rPr>
              <w:t>FNPV/c</w:t>
            </w:r>
            <w:r w:rsidRPr="00821AF6">
              <w:rPr>
                <w:rFonts w:cs="Tahom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DB536A3" w14:textId="77777777" w:rsidR="00C0311F" w:rsidRPr="00821AF6" w:rsidRDefault="00C0311F" w:rsidP="00995BC8">
            <w:pPr>
              <w:spacing w:before="60" w:after="40" w:line="288" w:lineRule="auto"/>
              <w:ind w:firstLine="0"/>
              <w:jc w:val="center"/>
              <w:rPr>
                <w:rFonts w:cs="Tahoma"/>
                <w:sz w:val="18"/>
                <w:szCs w:val="18"/>
              </w:rPr>
            </w:pPr>
            <w:r w:rsidRPr="00821AF6">
              <w:rPr>
                <w:rFonts w:cs="Tahoma"/>
                <w:sz w:val="18"/>
                <w:szCs w:val="18"/>
              </w:rPr>
              <w:t>tys. zł</w:t>
            </w:r>
          </w:p>
        </w:tc>
        <w:tc>
          <w:tcPr>
            <w:tcW w:w="1798" w:type="dxa"/>
            <w:tcBorders>
              <w:top w:val="single" w:sz="4" w:space="0" w:color="auto"/>
              <w:left w:val="single" w:sz="4" w:space="0" w:color="auto"/>
              <w:bottom w:val="single" w:sz="4" w:space="0" w:color="auto"/>
              <w:right w:val="single" w:sz="4" w:space="0" w:color="auto"/>
            </w:tcBorders>
            <w:vAlign w:val="center"/>
          </w:tcPr>
          <w:p w14:paraId="2BFE0B6B" w14:textId="4D155032" w:rsidR="00C0311F" w:rsidRPr="00C0311F" w:rsidRDefault="00C0311F" w:rsidP="00995BC8">
            <w:pPr>
              <w:spacing w:before="60" w:after="40" w:line="288" w:lineRule="auto"/>
              <w:ind w:firstLine="0"/>
              <w:jc w:val="right"/>
              <w:rPr>
                <w:rFonts w:cs="Tahoma"/>
                <w:sz w:val="20"/>
                <w:szCs w:val="20"/>
              </w:rPr>
            </w:pPr>
            <w:r w:rsidRPr="00C0311F">
              <w:rPr>
                <w:rFonts w:cs="Tahoma"/>
                <w:sz w:val="20"/>
                <w:szCs w:val="20"/>
              </w:rPr>
              <w:t>-</w:t>
            </w:r>
            <w:r w:rsidR="00995BC8">
              <w:rPr>
                <w:rFonts w:cs="Tahoma"/>
                <w:sz w:val="20"/>
                <w:szCs w:val="20"/>
              </w:rPr>
              <w:t>81 243,9</w:t>
            </w:r>
            <w:r w:rsidRPr="00C0311F">
              <w:rPr>
                <w:rFonts w:cs="Tahoma"/>
                <w:sz w:val="20"/>
                <w:szCs w:val="20"/>
              </w:rPr>
              <w:t>6</w:t>
            </w:r>
          </w:p>
        </w:tc>
        <w:tc>
          <w:tcPr>
            <w:tcW w:w="1798" w:type="dxa"/>
            <w:tcBorders>
              <w:top w:val="single" w:sz="4" w:space="0" w:color="auto"/>
              <w:left w:val="single" w:sz="4" w:space="0" w:color="auto"/>
              <w:bottom w:val="single" w:sz="4" w:space="0" w:color="auto"/>
              <w:right w:val="single" w:sz="4" w:space="0" w:color="auto"/>
            </w:tcBorders>
            <w:vAlign w:val="center"/>
          </w:tcPr>
          <w:p w14:paraId="2C36060B" w14:textId="7C13C667" w:rsidR="00C0311F" w:rsidRPr="00C0311F" w:rsidRDefault="00C0311F" w:rsidP="00995BC8">
            <w:pPr>
              <w:spacing w:before="60" w:after="40" w:line="288" w:lineRule="auto"/>
              <w:ind w:firstLine="0"/>
              <w:jc w:val="right"/>
              <w:rPr>
                <w:rFonts w:cs="Tahoma"/>
                <w:sz w:val="20"/>
                <w:szCs w:val="20"/>
              </w:rPr>
            </w:pPr>
            <w:r w:rsidRPr="00C0311F">
              <w:rPr>
                <w:rFonts w:cs="Tahoma"/>
                <w:sz w:val="20"/>
                <w:szCs w:val="20"/>
              </w:rPr>
              <w:t>-</w:t>
            </w:r>
            <w:r w:rsidR="00995BC8">
              <w:rPr>
                <w:rFonts w:cs="Tahoma"/>
                <w:sz w:val="20"/>
                <w:szCs w:val="20"/>
              </w:rPr>
              <w:t>141 701,3</w:t>
            </w:r>
          </w:p>
        </w:tc>
        <w:tc>
          <w:tcPr>
            <w:tcW w:w="1798" w:type="dxa"/>
            <w:tcBorders>
              <w:top w:val="single" w:sz="4" w:space="0" w:color="auto"/>
              <w:left w:val="single" w:sz="4" w:space="0" w:color="auto"/>
              <w:bottom w:val="single" w:sz="4" w:space="0" w:color="auto"/>
              <w:right w:val="single" w:sz="4" w:space="0" w:color="auto"/>
            </w:tcBorders>
            <w:vAlign w:val="center"/>
          </w:tcPr>
          <w:p w14:paraId="4C08D99E" w14:textId="20294717" w:rsidR="00C0311F" w:rsidRPr="00C0311F" w:rsidRDefault="00C0311F" w:rsidP="00995BC8">
            <w:pPr>
              <w:spacing w:before="60" w:after="40" w:line="288" w:lineRule="auto"/>
              <w:ind w:firstLine="0"/>
              <w:jc w:val="right"/>
              <w:rPr>
                <w:rFonts w:cs="Tahoma"/>
                <w:sz w:val="20"/>
                <w:szCs w:val="20"/>
              </w:rPr>
            </w:pPr>
            <w:r w:rsidRPr="00C0311F">
              <w:rPr>
                <w:rFonts w:cs="Tahoma"/>
                <w:sz w:val="20"/>
                <w:szCs w:val="20"/>
              </w:rPr>
              <w:t>-</w:t>
            </w:r>
            <w:r w:rsidR="00995BC8">
              <w:rPr>
                <w:rFonts w:cs="Tahoma"/>
                <w:sz w:val="20"/>
                <w:szCs w:val="20"/>
              </w:rPr>
              <w:t>154 360,3</w:t>
            </w:r>
          </w:p>
        </w:tc>
      </w:tr>
      <w:tr w:rsidR="00C0311F" w:rsidRPr="00821AF6" w14:paraId="18FB5189" w14:textId="77777777" w:rsidTr="00E10276">
        <w:trPr>
          <w:cantSplit/>
          <w:jc w:val="center"/>
        </w:trPr>
        <w:tc>
          <w:tcPr>
            <w:tcW w:w="2686" w:type="dxa"/>
            <w:tcBorders>
              <w:top w:val="single" w:sz="4" w:space="0" w:color="auto"/>
              <w:left w:val="single" w:sz="4" w:space="0" w:color="auto"/>
              <w:bottom w:val="single" w:sz="4" w:space="0" w:color="auto"/>
              <w:right w:val="single" w:sz="4" w:space="0" w:color="auto"/>
            </w:tcBorders>
            <w:vAlign w:val="center"/>
          </w:tcPr>
          <w:p w14:paraId="6F7FFE41" w14:textId="5904784F" w:rsidR="00C0311F" w:rsidRPr="00821AF6" w:rsidRDefault="00C0311F" w:rsidP="00995BC8">
            <w:pPr>
              <w:spacing w:before="60" w:after="40" w:line="288" w:lineRule="auto"/>
              <w:ind w:firstLine="0"/>
              <w:jc w:val="left"/>
              <w:rPr>
                <w:rFonts w:cs="Tahoma"/>
                <w:sz w:val="18"/>
                <w:szCs w:val="18"/>
              </w:rPr>
            </w:pPr>
            <w:r w:rsidRPr="00821AF6">
              <w:rPr>
                <w:rFonts w:cs="Tahoma"/>
                <w:sz w:val="18"/>
                <w:szCs w:val="18"/>
              </w:rPr>
              <w:t>Finansowa wewnętrzna stopa zwrotu z inwestycji (</w:t>
            </w:r>
            <w:r w:rsidRPr="00821AF6">
              <w:rPr>
                <w:rFonts w:cs="Tahoma"/>
                <w:b/>
                <w:sz w:val="18"/>
                <w:szCs w:val="18"/>
              </w:rPr>
              <w:t>FRR/c</w:t>
            </w:r>
            <w:r w:rsidRPr="00821AF6">
              <w:rPr>
                <w:rFonts w:cs="Tahoma"/>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C49F26F" w14:textId="77777777" w:rsidR="00C0311F" w:rsidRPr="00821AF6" w:rsidRDefault="00C0311F" w:rsidP="00995BC8">
            <w:pPr>
              <w:spacing w:before="60" w:after="40" w:line="288" w:lineRule="auto"/>
              <w:ind w:firstLine="0"/>
              <w:jc w:val="center"/>
              <w:rPr>
                <w:rFonts w:cs="Tahoma"/>
                <w:sz w:val="20"/>
                <w:szCs w:val="20"/>
              </w:rPr>
            </w:pPr>
            <w:r w:rsidRPr="00821AF6">
              <w:rPr>
                <w:rFonts w:cs="Tahoma"/>
                <w:sz w:val="20"/>
                <w:szCs w:val="20"/>
              </w:rPr>
              <w:t>%</w:t>
            </w:r>
          </w:p>
        </w:tc>
        <w:tc>
          <w:tcPr>
            <w:tcW w:w="1798" w:type="dxa"/>
            <w:tcBorders>
              <w:top w:val="single" w:sz="4" w:space="0" w:color="auto"/>
              <w:left w:val="single" w:sz="4" w:space="0" w:color="auto"/>
              <w:bottom w:val="single" w:sz="4" w:space="0" w:color="auto"/>
              <w:right w:val="single" w:sz="4" w:space="0" w:color="auto"/>
            </w:tcBorders>
            <w:vAlign w:val="center"/>
          </w:tcPr>
          <w:p w14:paraId="5BE658AD" w14:textId="73BC0436" w:rsidR="00C0311F" w:rsidRPr="00C0311F" w:rsidRDefault="00995BC8" w:rsidP="00995BC8">
            <w:pPr>
              <w:spacing w:before="60" w:after="40" w:line="288" w:lineRule="auto"/>
              <w:ind w:firstLine="0"/>
              <w:jc w:val="right"/>
              <w:rPr>
                <w:rFonts w:cs="Tahoma"/>
                <w:sz w:val="20"/>
                <w:szCs w:val="20"/>
              </w:rPr>
            </w:pPr>
            <w:r>
              <w:rPr>
                <w:rFonts w:cs="Tahoma"/>
                <w:sz w:val="20"/>
                <w:szCs w:val="20"/>
              </w:rPr>
              <w:t>n</w:t>
            </w:r>
            <w:r w:rsidR="00C0311F" w:rsidRPr="00C0311F">
              <w:rPr>
                <w:rFonts w:cs="Tahoma"/>
                <w:sz w:val="20"/>
                <w:szCs w:val="20"/>
              </w:rPr>
              <w:t>ie</w:t>
            </w:r>
            <w:r>
              <w:rPr>
                <w:rFonts w:cs="Tahoma"/>
                <w:sz w:val="20"/>
                <w:szCs w:val="20"/>
              </w:rPr>
              <w:t xml:space="preserve"> istnieje</w:t>
            </w:r>
          </w:p>
        </w:tc>
        <w:tc>
          <w:tcPr>
            <w:tcW w:w="1798" w:type="dxa"/>
            <w:tcBorders>
              <w:top w:val="single" w:sz="4" w:space="0" w:color="auto"/>
              <w:left w:val="single" w:sz="4" w:space="0" w:color="auto"/>
              <w:bottom w:val="single" w:sz="4" w:space="0" w:color="auto"/>
              <w:right w:val="single" w:sz="4" w:space="0" w:color="auto"/>
            </w:tcBorders>
            <w:vAlign w:val="center"/>
          </w:tcPr>
          <w:p w14:paraId="4C02B308" w14:textId="01F4262B" w:rsidR="00C0311F" w:rsidRPr="00C0311F" w:rsidRDefault="00C0311F" w:rsidP="00995BC8">
            <w:pPr>
              <w:spacing w:before="60" w:after="40" w:line="288" w:lineRule="auto"/>
              <w:ind w:firstLine="0"/>
              <w:jc w:val="right"/>
              <w:rPr>
                <w:rFonts w:cs="Tahoma"/>
                <w:sz w:val="20"/>
                <w:szCs w:val="20"/>
              </w:rPr>
            </w:pPr>
            <w:r w:rsidRPr="00C0311F">
              <w:rPr>
                <w:rFonts w:cs="Tahoma"/>
                <w:sz w:val="20"/>
                <w:szCs w:val="20"/>
              </w:rPr>
              <w:t>nie istnieje</w:t>
            </w:r>
          </w:p>
        </w:tc>
        <w:tc>
          <w:tcPr>
            <w:tcW w:w="1798" w:type="dxa"/>
            <w:tcBorders>
              <w:top w:val="single" w:sz="4" w:space="0" w:color="auto"/>
              <w:left w:val="single" w:sz="4" w:space="0" w:color="auto"/>
              <w:bottom w:val="single" w:sz="4" w:space="0" w:color="auto"/>
              <w:right w:val="single" w:sz="4" w:space="0" w:color="auto"/>
            </w:tcBorders>
            <w:vAlign w:val="center"/>
          </w:tcPr>
          <w:p w14:paraId="2EE4C236" w14:textId="0E6900BD" w:rsidR="00C0311F" w:rsidRPr="00C0311F" w:rsidRDefault="00C0311F" w:rsidP="00995BC8">
            <w:pPr>
              <w:spacing w:before="60" w:after="40" w:line="288" w:lineRule="auto"/>
              <w:ind w:firstLine="0"/>
              <w:jc w:val="right"/>
              <w:rPr>
                <w:rFonts w:cs="Tahoma"/>
                <w:sz w:val="20"/>
                <w:szCs w:val="20"/>
              </w:rPr>
            </w:pPr>
            <w:r w:rsidRPr="00C0311F">
              <w:rPr>
                <w:rFonts w:cs="Tahoma"/>
                <w:sz w:val="20"/>
                <w:szCs w:val="20"/>
              </w:rPr>
              <w:t>nie istnieje</w:t>
            </w:r>
          </w:p>
        </w:tc>
      </w:tr>
    </w:tbl>
    <w:p w14:paraId="7C73A5EB" w14:textId="77777777" w:rsidR="000C512A" w:rsidRPr="00821AF6" w:rsidRDefault="000C512A" w:rsidP="00995BC8">
      <w:pPr>
        <w:spacing w:before="120" w:after="240"/>
        <w:ind w:firstLine="0"/>
        <w:jc w:val="left"/>
        <w:rPr>
          <w:rFonts w:cs="Tahoma"/>
          <w:sz w:val="20"/>
          <w:szCs w:val="20"/>
        </w:rPr>
      </w:pPr>
      <w:r w:rsidRPr="00821AF6">
        <w:rPr>
          <w:rFonts w:cs="Tahoma"/>
          <w:sz w:val="20"/>
          <w:szCs w:val="20"/>
        </w:rPr>
        <w:t>Źródło: opracowanie własne.</w:t>
      </w:r>
    </w:p>
    <w:p w14:paraId="7BB12E90" w14:textId="561AFB19" w:rsidR="000C512A" w:rsidRDefault="000C512A" w:rsidP="00B92F45">
      <w:pPr>
        <w:rPr>
          <w:rFonts w:cs="Tahoma"/>
          <w:color w:val="000000"/>
        </w:rPr>
      </w:pPr>
      <w:r w:rsidRPr="00821AF6">
        <w:rPr>
          <w:rFonts w:cs="Tahoma"/>
          <w:color w:val="000000"/>
        </w:rPr>
        <w:lastRenderedPageBreak/>
        <w:t xml:space="preserve">Żaden z wariantów </w:t>
      </w:r>
      <w:r w:rsidR="007C6BBF" w:rsidRPr="00821AF6">
        <w:rPr>
          <w:rFonts w:cs="Tahoma"/>
          <w:color w:val="000000"/>
        </w:rPr>
        <w:t xml:space="preserve">z taborem zeroemisyjnym </w:t>
      </w:r>
      <w:r w:rsidRPr="00821AF6">
        <w:rPr>
          <w:rFonts w:cs="Tahoma"/>
          <w:color w:val="000000"/>
        </w:rPr>
        <w:t>nie wykazał dodatnich wartości wskaźników FNPV/c i FRR/c</w:t>
      </w:r>
      <w:r w:rsidR="00865852" w:rsidRPr="00821AF6">
        <w:rPr>
          <w:rFonts w:cs="Tahoma"/>
          <w:color w:val="000000"/>
        </w:rPr>
        <w:t xml:space="preserve"> –</w:t>
      </w:r>
      <w:r w:rsidRPr="00821AF6">
        <w:rPr>
          <w:rFonts w:cs="Tahoma"/>
          <w:color w:val="000000"/>
        </w:rPr>
        <w:t xml:space="preserve"> ich realizacja wymaga więc udzielenia zewnętrznego wsparcia finansowego. Różnic</w:t>
      </w:r>
      <w:r w:rsidR="00EE7A12" w:rsidRPr="00821AF6">
        <w:rPr>
          <w:rFonts w:cs="Tahoma"/>
          <w:color w:val="000000"/>
        </w:rPr>
        <w:t>e</w:t>
      </w:r>
      <w:r w:rsidRPr="00821AF6">
        <w:rPr>
          <w:rFonts w:cs="Tahoma"/>
          <w:color w:val="000000"/>
        </w:rPr>
        <w:t xml:space="preserve"> pomięd</w:t>
      </w:r>
      <w:r w:rsidR="001A6313" w:rsidRPr="00821AF6">
        <w:rPr>
          <w:rFonts w:cs="Tahoma"/>
          <w:color w:val="000000"/>
        </w:rPr>
        <w:t>zy efektami finansowymi wariant</w:t>
      </w:r>
      <w:r w:rsidR="00B92F45">
        <w:rPr>
          <w:rFonts w:cs="Tahoma"/>
          <w:color w:val="000000"/>
        </w:rPr>
        <w:t>ów</w:t>
      </w:r>
      <w:r w:rsidRPr="00821AF6">
        <w:rPr>
          <w:rFonts w:cs="Tahoma"/>
          <w:color w:val="000000"/>
        </w:rPr>
        <w:t xml:space="preserve"> elektryczn</w:t>
      </w:r>
      <w:r w:rsidR="00B92F45">
        <w:rPr>
          <w:rFonts w:cs="Tahoma"/>
          <w:color w:val="000000"/>
        </w:rPr>
        <w:t>ego i wodorowego,</w:t>
      </w:r>
      <w:r w:rsidR="00E10276" w:rsidRPr="00821AF6">
        <w:rPr>
          <w:rFonts w:cs="Tahoma"/>
          <w:color w:val="000000"/>
        </w:rPr>
        <w:t xml:space="preserve"> a</w:t>
      </w:r>
      <w:r w:rsidRPr="00821AF6">
        <w:rPr>
          <w:rFonts w:cs="Tahoma"/>
          <w:color w:val="000000"/>
        </w:rPr>
        <w:t xml:space="preserve"> </w:t>
      </w:r>
      <w:r w:rsidR="00F30220" w:rsidRPr="00821AF6">
        <w:rPr>
          <w:rFonts w:cs="Tahoma"/>
          <w:color w:val="000000"/>
        </w:rPr>
        <w:t>konwencjonaln</w:t>
      </w:r>
      <w:r w:rsidR="008F77B4">
        <w:rPr>
          <w:rFonts w:cs="Tahoma"/>
          <w:color w:val="000000"/>
        </w:rPr>
        <w:t>ego</w:t>
      </w:r>
      <w:r w:rsidR="00EE7A12" w:rsidRPr="00821AF6">
        <w:rPr>
          <w:rFonts w:cs="Tahoma"/>
          <w:color w:val="000000"/>
        </w:rPr>
        <w:t xml:space="preserve"> są </w:t>
      </w:r>
      <w:r w:rsidR="007C6BBF" w:rsidRPr="00821AF6">
        <w:rPr>
          <w:rFonts w:cs="Tahoma"/>
          <w:color w:val="000000"/>
        </w:rPr>
        <w:t>bardzo</w:t>
      </w:r>
      <w:r w:rsidR="001A6313" w:rsidRPr="00821AF6">
        <w:rPr>
          <w:rFonts w:cs="Tahoma"/>
          <w:color w:val="000000"/>
        </w:rPr>
        <w:t xml:space="preserve"> </w:t>
      </w:r>
      <w:r w:rsidRPr="00821AF6">
        <w:rPr>
          <w:rFonts w:cs="Tahoma"/>
          <w:color w:val="000000"/>
        </w:rPr>
        <w:t>duż</w:t>
      </w:r>
      <w:r w:rsidR="00EE7A12" w:rsidRPr="00821AF6">
        <w:rPr>
          <w:rFonts w:cs="Tahoma"/>
          <w:color w:val="000000"/>
        </w:rPr>
        <w:t>e</w:t>
      </w:r>
      <w:r w:rsidRPr="00821AF6">
        <w:rPr>
          <w:rFonts w:cs="Tahoma"/>
          <w:color w:val="000000"/>
        </w:rPr>
        <w:t>.</w:t>
      </w:r>
    </w:p>
    <w:p w14:paraId="27970A52" w14:textId="245C8613" w:rsidR="00C96610" w:rsidRDefault="00C96610" w:rsidP="00C96610">
      <w:pPr>
        <w:rPr>
          <w:rFonts w:cs="Tahoma"/>
          <w:color w:val="000000"/>
        </w:rPr>
      </w:pPr>
      <w:r w:rsidRPr="00821AF6">
        <w:rPr>
          <w:rFonts w:cs="Tahoma"/>
          <w:color w:val="000000"/>
        </w:rPr>
        <w:t>W tabeli 1</w:t>
      </w:r>
      <w:r>
        <w:rPr>
          <w:rFonts w:cs="Tahoma"/>
          <w:color w:val="000000"/>
        </w:rPr>
        <w:t>6</w:t>
      </w:r>
      <w:r w:rsidRPr="00821AF6">
        <w:rPr>
          <w:rFonts w:cs="Tahoma"/>
          <w:color w:val="000000"/>
        </w:rPr>
        <w:t xml:space="preserve"> przedstawiono wyniki podsumowania analizy dla wariantów konwencjonalnego,</w:t>
      </w:r>
      <w:r>
        <w:rPr>
          <w:rFonts w:cs="Tahoma"/>
          <w:color w:val="000000"/>
        </w:rPr>
        <w:t xml:space="preserve"> elektrycznego </w:t>
      </w:r>
      <w:r w:rsidRPr="00821AF6">
        <w:rPr>
          <w:rFonts w:cs="Tahoma"/>
          <w:color w:val="000000"/>
        </w:rPr>
        <w:t xml:space="preserve">oraz </w:t>
      </w:r>
      <w:r>
        <w:rPr>
          <w:rFonts w:cs="Tahoma"/>
          <w:color w:val="000000"/>
        </w:rPr>
        <w:t>wodorowego</w:t>
      </w:r>
      <w:r w:rsidRPr="00821AF6">
        <w:rPr>
          <w:rFonts w:cs="Tahoma"/>
          <w:color w:val="000000"/>
        </w:rPr>
        <w:t xml:space="preserve"> w zakresie emisji zanieczyszczeń, a w tabeli 1</w:t>
      </w:r>
      <w:r>
        <w:rPr>
          <w:rFonts w:cs="Tahoma"/>
          <w:color w:val="000000"/>
        </w:rPr>
        <w:t>7</w:t>
      </w:r>
      <w:r w:rsidRPr="00821AF6">
        <w:rPr>
          <w:rFonts w:cs="Tahoma"/>
          <w:color w:val="000000"/>
        </w:rPr>
        <w:t xml:space="preserve"> – efekty ekonomiczne tej analizy.</w:t>
      </w:r>
    </w:p>
    <w:p w14:paraId="5992E67D" w14:textId="7B52EF83" w:rsidR="00865852" w:rsidRPr="00821AF6" w:rsidRDefault="00865852" w:rsidP="00B92F45">
      <w:pPr>
        <w:pStyle w:val="Legenda"/>
        <w:keepNext/>
        <w:spacing w:before="240" w:after="0"/>
        <w:ind w:firstLine="0"/>
        <w:jc w:val="left"/>
        <w:rPr>
          <w:color w:val="000000"/>
          <w:sz w:val="22"/>
          <w:szCs w:val="22"/>
        </w:rPr>
      </w:pPr>
      <w:r w:rsidRPr="00821AF6">
        <w:rPr>
          <w:color w:val="000000"/>
          <w:sz w:val="22"/>
          <w:szCs w:val="22"/>
        </w:rPr>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16</w:t>
      </w:r>
      <w:r w:rsidR="00B60ABE" w:rsidRPr="00821AF6">
        <w:rPr>
          <w:color w:val="000000"/>
          <w:sz w:val="22"/>
          <w:szCs w:val="22"/>
        </w:rPr>
        <w:fldChar w:fldCharType="end"/>
      </w:r>
      <w:r w:rsidRPr="00821AF6">
        <w:rPr>
          <w:color w:val="000000"/>
          <w:sz w:val="22"/>
          <w:szCs w:val="22"/>
        </w:rPr>
        <w:t>. Emisja zanieczyszczeń i jej koszt w poszczególnych wariantach</w:t>
      </w:r>
      <w:r w:rsidR="006B30B2">
        <w:rPr>
          <w:color w:val="000000"/>
          <w:sz w:val="22"/>
          <w:szCs w:val="22"/>
        </w:rPr>
        <w:br/>
        <w:t>w latach 2021-2036</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33"/>
        <w:gridCol w:w="2620"/>
        <w:gridCol w:w="906"/>
        <w:gridCol w:w="1244"/>
        <w:gridCol w:w="1244"/>
        <w:gridCol w:w="1244"/>
        <w:gridCol w:w="1181"/>
      </w:tblGrid>
      <w:tr w:rsidR="00865852" w:rsidRPr="00821AF6" w14:paraId="26255544" w14:textId="77777777" w:rsidTr="004C19CE">
        <w:trPr>
          <w:cantSplit/>
          <w:trHeight w:val="216"/>
          <w:tblHeader/>
          <w:jc w:val="center"/>
        </w:trPr>
        <w:tc>
          <w:tcPr>
            <w:tcW w:w="633" w:type="dxa"/>
            <w:vMerge w:val="restart"/>
            <w:shd w:val="clear" w:color="auto" w:fill="FFFF99"/>
            <w:vAlign w:val="center"/>
          </w:tcPr>
          <w:p w14:paraId="73A13873" w14:textId="77777777" w:rsidR="00865852" w:rsidRPr="00821AF6" w:rsidRDefault="00865852" w:rsidP="00B92F45">
            <w:pPr>
              <w:spacing w:before="60" w:after="20" w:line="288" w:lineRule="auto"/>
              <w:ind w:firstLine="0"/>
              <w:jc w:val="center"/>
              <w:rPr>
                <w:rFonts w:cs="Tahoma"/>
                <w:b/>
                <w:sz w:val="20"/>
                <w:szCs w:val="20"/>
              </w:rPr>
            </w:pPr>
            <w:r w:rsidRPr="00821AF6">
              <w:rPr>
                <w:rFonts w:cs="Tahoma"/>
                <w:b/>
                <w:sz w:val="20"/>
                <w:szCs w:val="20"/>
              </w:rPr>
              <w:t>Lp.</w:t>
            </w:r>
          </w:p>
        </w:tc>
        <w:tc>
          <w:tcPr>
            <w:tcW w:w="2620" w:type="dxa"/>
            <w:vMerge w:val="restart"/>
            <w:shd w:val="clear" w:color="auto" w:fill="FFFF99"/>
            <w:vAlign w:val="center"/>
          </w:tcPr>
          <w:p w14:paraId="0AFF9B54" w14:textId="77777777" w:rsidR="00865852" w:rsidRPr="00821AF6" w:rsidRDefault="00865852" w:rsidP="00B92F45">
            <w:pPr>
              <w:spacing w:before="60" w:after="20" w:line="288" w:lineRule="auto"/>
              <w:ind w:firstLine="0"/>
              <w:jc w:val="center"/>
              <w:rPr>
                <w:rFonts w:cs="Tahoma"/>
                <w:b/>
                <w:sz w:val="20"/>
                <w:szCs w:val="20"/>
              </w:rPr>
            </w:pPr>
            <w:r w:rsidRPr="00821AF6">
              <w:rPr>
                <w:rFonts w:cs="Tahoma"/>
                <w:b/>
                <w:sz w:val="20"/>
                <w:szCs w:val="20"/>
              </w:rPr>
              <w:t>Czas badania</w:t>
            </w:r>
          </w:p>
        </w:tc>
        <w:tc>
          <w:tcPr>
            <w:tcW w:w="906" w:type="dxa"/>
            <w:vMerge w:val="restart"/>
            <w:shd w:val="clear" w:color="auto" w:fill="FFFF99"/>
            <w:vAlign w:val="center"/>
          </w:tcPr>
          <w:p w14:paraId="0AF68943" w14:textId="77777777" w:rsidR="00865852" w:rsidRPr="00821AF6" w:rsidRDefault="00865852" w:rsidP="00B92F45">
            <w:pPr>
              <w:spacing w:before="60" w:after="20" w:line="288" w:lineRule="auto"/>
              <w:ind w:firstLine="0"/>
              <w:jc w:val="center"/>
              <w:rPr>
                <w:rFonts w:cs="Tahoma"/>
                <w:b/>
                <w:sz w:val="20"/>
                <w:szCs w:val="20"/>
              </w:rPr>
            </w:pPr>
            <w:r w:rsidRPr="00821AF6">
              <w:rPr>
                <w:rFonts w:cs="Tahoma"/>
                <w:b/>
                <w:sz w:val="20"/>
                <w:szCs w:val="20"/>
              </w:rPr>
              <w:t>Jednostka</w:t>
            </w:r>
          </w:p>
        </w:tc>
        <w:tc>
          <w:tcPr>
            <w:tcW w:w="4913" w:type="dxa"/>
            <w:gridSpan w:val="4"/>
            <w:shd w:val="clear" w:color="auto" w:fill="FFFF99"/>
            <w:vAlign w:val="center"/>
          </w:tcPr>
          <w:p w14:paraId="2EFC751B" w14:textId="77777777" w:rsidR="00865852" w:rsidRPr="00821AF6" w:rsidRDefault="00865852" w:rsidP="00B92F45">
            <w:pPr>
              <w:spacing w:before="60" w:after="20" w:line="288" w:lineRule="auto"/>
              <w:ind w:firstLine="0"/>
              <w:jc w:val="center"/>
              <w:rPr>
                <w:rFonts w:cs="Tahoma"/>
                <w:b/>
                <w:sz w:val="20"/>
                <w:szCs w:val="20"/>
              </w:rPr>
            </w:pPr>
            <w:r w:rsidRPr="00821AF6">
              <w:rPr>
                <w:rFonts w:cs="Tahoma"/>
                <w:b/>
                <w:sz w:val="20"/>
                <w:szCs w:val="20"/>
              </w:rPr>
              <w:t>Wielkość i koszt emisji</w:t>
            </w:r>
          </w:p>
        </w:tc>
      </w:tr>
      <w:tr w:rsidR="00865852" w:rsidRPr="00821AF6" w14:paraId="25D898ED" w14:textId="77777777" w:rsidTr="004C19CE">
        <w:trPr>
          <w:cantSplit/>
          <w:trHeight w:val="216"/>
          <w:tblHeader/>
          <w:jc w:val="center"/>
        </w:trPr>
        <w:tc>
          <w:tcPr>
            <w:tcW w:w="633" w:type="dxa"/>
            <w:vMerge/>
            <w:shd w:val="clear" w:color="auto" w:fill="FFFF99"/>
            <w:vAlign w:val="center"/>
          </w:tcPr>
          <w:p w14:paraId="0144DDFC" w14:textId="77777777" w:rsidR="00865852" w:rsidRPr="00821AF6" w:rsidRDefault="00865852" w:rsidP="00B92F45">
            <w:pPr>
              <w:spacing w:before="60" w:after="20" w:line="288" w:lineRule="auto"/>
              <w:ind w:firstLine="0"/>
              <w:jc w:val="center"/>
              <w:rPr>
                <w:rFonts w:cs="Tahoma"/>
                <w:b/>
                <w:sz w:val="20"/>
                <w:szCs w:val="20"/>
              </w:rPr>
            </w:pPr>
          </w:p>
        </w:tc>
        <w:tc>
          <w:tcPr>
            <w:tcW w:w="2620" w:type="dxa"/>
            <w:vMerge/>
            <w:shd w:val="clear" w:color="auto" w:fill="FFFF99"/>
            <w:vAlign w:val="center"/>
          </w:tcPr>
          <w:p w14:paraId="4A04BC93" w14:textId="77777777" w:rsidR="00865852" w:rsidRPr="00821AF6" w:rsidRDefault="00865852" w:rsidP="00B92F45">
            <w:pPr>
              <w:spacing w:before="60" w:after="20" w:line="288" w:lineRule="auto"/>
              <w:ind w:firstLine="0"/>
              <w:jc w:val="center"/>
              <w:rPr>
                <w:rFonts w:cs="Tahoma"/>
                <w:b/>
                <w:sz w:val="20"/>
                <w:szCs w:val="20"/>
              </w:rPr>
            </w:pPr>
          </w:p>
        </w:tc>
        <w:tc>
          <w:tcPr>
            <w:tcW w:w="906" w:type="dxa"/>
            <w:vMerge/>
            <w:shd w:val="clear" w:color="auto" w:fill="FFFF99"/>
            <w:vAlign w:val="center"/>
          </w:tcPr>
          <w:p w14:paraId="32C33DCE" w14:textId="77777777" w:rsidR="00865852" w:rsidRPr="00821AF6" w:rsidRDefault="00865852" w:rsidP="00B92F45">
            <w:pPr>
              <w:spacing w:before="60" w:after="20" w:line="288" w:lineRule="auto"/>
              <w:ind w:firstLine="0"/>
              <w:jc w:val="center"/>
              <w:rPr>
                <w:rFonts w:cs="Tahoma"/>
                <w:b/>
                <w:sz w:val="20"/>
                <w:szCs w:val="20"/>
              </w:rPr>
            </w:pPr>
          </w:p>
        </w:tc>
        <w:tc>
          <w:tcPr>
            <w:tcW w:w="1244" w:type="dxa"/>
            <w:shd w:val="clear" w:color="auto" w:fill="FFFF99"/>
            <w:vAlign w:val="center"/>
          </w:tcPr>
          <w:p w14:paraId="0726C415" w14:textId="77777777" w:rsidR="00865852" w:rsidRPr="00821AF6" w:rsidRDefault="00865852" w:rsidP="00B92F45">
            <w:pPr>
              <w:spacing w:before="60" w:after="20" w:line="288" w:lineRule="auto"/>
              <w:ind w:firstLine="0"/>
              <w:jc w:val="center"/>
              <w:rPr>
                <w:rFonts w:cs="Tahoma"/>
                <w:b/>
                <w:sz w:val="20"/>
                <w:szCs w:val="20"/>
              </w:rPr>
            </w:pPr>
            <w:r w:rsidRPr="00821AF6">
              <w:rPr>
                <w:rFonts w:cs="Tahoma"/>
                <w:b/>
                <w:sz w:val="20"/>
                <w:szCs w:val="20"/>
              </w:rPr>
              <w:t>CO</w:t>
            </w:r>
            <w:r w:rsidRPr="00821AF6">
              <w:rPr>
                <w:rFonts w:cs="Tahoma"/>
                <w:b/>
                <w:sz w:val="20"/>
                <w:szCs w:val="20"/>
                <w:vertAlign w:val="subscript"/>
              </w:rPr>
              <w:t>2</w:t>
            </w:r>
          </w:p>
        </w:tc>
        <w:tc>
          <w:tcPr>
            <w:tcW w:w="1244" w:type="dxa"/>
            <w:shd w:val="clear" w:color="auto" w:fill="FFFF99"/>
            <w:vAlign w:val="center"/>
          </w:tcPr>
          <w:p w14:paraId="753D0E9A" w14:textId="77777777" w:rsidR="00865852" w:rsidRPr="00821AF6" w:rsidRDefault="00865852" w:rsidP="00B92F45">
            <w:pPr>
              <w:spacing w:before="60" w:after="20" w:line="288" w:lineRule="auto"/>
              <w:ind w:firstLine="0"/>
              <w:jc w:val="center"/>
              <w:rPr>
                <w:rFonts w:cs="Tahoma"/>
                <w:b/>
                <w:sz w:val="20"/>
                <w:szCs w:val="20"/>
              </w:rPr>
            </w:pPr>
            <w:proofErr w:type="spellStart"/>
            <w:r w:rsidRPr="00821AF6">
              <w:rPr>
                <w:rFonts w:cs="Tahoma"/>
                <w:b/>
                <w:sz w:val="20"/>
                <w:szCs w:val="20"/>
              </w:rPr>
              <w:t>NO</w:t>
            </w:r>
            <w:r w:rsidRPr="00821AF6">
              <w:rPr>
                <w:rFonts w:cs="Tahoma"/>
                <w:b/>
                <w:sz w:val="20"/>
                <w:szCs w:val="20"/>
                <w:vertAlign w:val="subscript"/>
              </w:rPr>
              <w:t>x</w:t>
            </w:r>
            <w:proofErr w:type="spellEnd"/>
          </w:p>
        </w:tc>
        <w:tc>
          <w:tcPr>
            <w:tcW w:w="1244" w:type="dxa"/>
            <w:shd w:val="clear" w:color="auto" w:fill="FFFF99"/>
            <w:vAlign w:val="center"/>
          </w:tcPr>
          <w:p w14:paraId="426613E5" w14:textId="77777777" w:rsidR="00865852" w:rsidRPr="00821AF6" w:rsidRDefault="00865852" w:rsidP="00B92F45">
            <w:pPr>
              <w:spacing w:before="60" w:after="20" w:line="288" w:lineRule="auto"/>
              <w:ind w:firstLine="0"/>
              <w:jc w:val="center"/>
              <w:rPr>
                <w:rFonts w:cs="Tahoma"/>
                <w:b/>
                <w:sz w:val="20"/>
                <w:szCs w:val="20"/>
              </w:rPr>
            </w:pPr>
            <w:r w:rsidRPr="00821AF6">
              <w:rPr>
                <w:rFonts w:cs="Tahoma"/>
                <w:b/>
                <w:sz w:val="20"/>
                <w:szCs w:val="20"/>
              </w:rPr>
              <w:t>NMVOC</w:t>
            </w:r>
          </w:p>
        </w:tc>
        <w:tc>
          <w:tcPr>
            <w:tcW w:w="1181" w:type="dxa"/>
            <w:shd w:val="clear" w:color="auto" w:fill="FFFF99"/>
            <w:vAlign w:val="center"/>
          </w:tcPr>
          <w:p w14:paraId="61160C09" w14:textId="77777777" w:rsidR="00865852" w:rsidRPr="00821AF6" w:rsidRDefault="00865852" w:rsidP="00B92F45">
            <w:pPr>
              <w:spacing w:before="60" w:after="20" w:line="288" w:lineRule="auto"/>
              <w:ind w:firstLine="0"/>
              <w:jc w:val="center"/>
              <w:rPr>
                <w:rFonts w:cs="Tahoma"/>
                <w:b/>
                <w:sz w:val="20"/>
                <w:szCs w:val="20"/>
              </w:rPr>
            </w:pPr>
            <w:r w:rsidRPr="00821AF6">
              <w:rPr>
                <w:rFonts w:cs="Tahoma"/>
                <w:b/>
                <w:sz w:val="20"/>
                <w:szCs w:val="20"/>
              </w:rPr>
              <w:t>PM</w:t>
            </w:r>
          </w:p>
        </w:tc>
      </w:tr>
      <w:tr w:rsidR="00865852" w:rsidRPr="00821AF6" w14:paraId="2E70C589" w14:textId="77777777" w:rsidTr="004C19CE">
        <w:trPr>
          <w:cantSplit/>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6F85E8" w14:textId="1DF2BABD" w:rsidR="00865852" w:rsidRPr="00821AF6" w:rsidRDefault="00865852" w:rsidP="00B92F45">
            <w:pPr>
              <w:spacing w:before="60" w:after="20" w:line="288" w:lineRule="auto"/>
              <w:ind w:firstLine="0"/>
              <w:jc w:val="center"/>
              <w:rPr>
                <w:rFonts w:cs="Tahoma"/>
                <w:b/>
                <w:sz w:val="20"/>
                <w:szCs w:val="20"/>
              </w:rPr>
            </w:pPr>
            <w:r w:rsidRPr="00821AF6">
              <w:rPr>
                <w:rFonts w:cs="Tahoma"/>
                <w:b/>
                <w:sz w:val="20"/>
                <w:szCs w:val="20"/>
              </w:rPr>
              <w:t xml:space="preserve">Scenariusz bazowy </w:t>
            </w:r>
          </w:p>
        </w:tc>
      </w:tr>
      <w:tr w:rsidR="0083067C" w:rsidRPr="00821AF6" w14:paraId="26F23362"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3756F1B6"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1.1</w:t>
            </w:r>
          </w:p>
        </w:tc>
        <w:tc>
          <w:tcPr>
            <w:tcW w:w="2620" w:type="dxa"/>
            <w:vMerge w:val="restart"/>
            <w:tcBorders>
              <w:top w:val="single" w:sz="4" w:space="0" w:color="auto"/>
              <w:left w:val="single" w:sz="4" w:space="0" w:color="auto"/>
              <w:right w:val="single" w:sz="4" w:space="0" w:color="auto"/>
            </w:tcBorders>
            <w:vAlign w:val="center"/>
          </w:tcPr>
          <w:p w14:paraId="1D83A966"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Średniorocznie</w:t>
            </w:r>
          </w:p>
        </w:tc>
        <w:tc>
          <w:tcPr>
            <w:tcW w:w="906" w:type="dxa"/>
            <w:tcBorders>
              <w:top w:val="single" w:sz="4" w:space="0" w:color="auto"/>
              <w:left w:val="single" w:sz="4" w:space="0" w:color="auto"/>
              <w:bottom w:val="single" w:sz="4" w:space="0" w:color="auto"/>
              <w:right w:val="single" w:sz="4" w:space="0" w:color="auto"/>
            </w:tcBorders>
            <w:vAlign w:val="center"/>
          </w:tcPr>
          <w:p w14:paraId="5F067AC8"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16A12480" w14:textId="4A68E558" w:rsidR="0083067C" w:rsidRPr="0083067C" w:rsidRDefault="00B92F45" w:rsidP="00B92F45">
            <w:pPr>
              <w:spacing w:before="60" w:after="20" w:line="288" w:lineRule="auto"/>
              <w:ind w:firstLine="0"/>
              <w:jc w:val="right"/>
              <w:rPr>
                <w:rFonts w:cs="Tahoma"/>
                <w:sz w:val="20"/>
                <w:szCs w:val="20"/>
              </w:rPr>
            </w:pPr>
            <w:r>
              <w:rPr>
                <w:rFonts w:cs="Tahoma"/>
                <w:sz w:val="20"/>
                <w:szCs w:val="20"/>
              </w:rPr>
              <w:t>11 930,9</w:t>
            </w:r>
          </w:p>
        </w:tc>
        <w:tc>
          <w:tcPr>
            <w:tcW w:w="1244" w:type="dxa"/>
            <w:tcBorders>
              <w:top w:val="single" w:sz="4" w:space="0" w:color="auto"/>
              <w:left w:val="single" w:sz="4" w:space="0" w:color="auto"/>
              <w:bottom w:val="single" w:sz="4" w:space="0" w:color="auto"/>
              <w:right w:val="single" w:sz="4" w:space="0" w:color="auto"/>
            </w:tcBorders>
          </w:tcPr>
          <w:p w14:paraId="3F01EDCF" w14:textId="14C3B7FD" w:rsidR="0083067C" w:rsidRPr="0083067C" w:rsidRDefault="00B92F45" w:rsidP="00B92F45">
            <w:pPr>
              <w:spacing w:before="60" w:after="20" w:line="288" w:lineRule="auto"/>
              <w:ind w:firstLine="0"/>
              <w:jc w:val="right"/>
              <w:rPr>
                <w:rFonts w:cs="Tahoma"/>
                <w:sz w:val="20"/>
                <w:szCs w:val="20"/>
              </w:rPr>
            </w:pPr>
            <w:r>
              <w:rPr>
                <w:rFonts w:cs="Tahoma"/>
                <w:sz w:val="20"/>
                <w:szCs w:val="20"/>
              </w:rPr>
              <w:t>50,7</w:t>
            </w:r>
          </w:p>
        </w:tc>
        <w:tc>
          <w:tcPr>
            <w:tcW w:w="1244" w:type="dxa"/>
            <w:tcBorders>
              <w:top w:val="single" w:sz="4" w:space="0" w:color="auto"/>
              <w:left w:val="single" w:sz="4" w:space="0" w:color="auto"/>
              <w:bottom w:val="single" w:sz="4" w:space="0" w:color="auto"/>
              <w:right w:val="single" w:sz="4" w:space="0" w:color="auto"/>
            </w:tcBorders>
          </w:tcPr>
          <w:p w14:paraId="480CF797" w14:textId="5A8E61DC" w:rsidR="0083067C" w:rsidRPr="0083067C" w:rsidRDefault="00B92F45" w:rsidP="00B92F45">
            <w:pPr>
              <w:spacing w:before="60" w:after="20" w:line="288" w:lineRule="auto"/>
              <w:ind w:firstLine="0"/>
              <w:jc w:val="right"/>
              <w:rPr>
                <w:rFonts w:cs="Tahoma"/>
                <w:sz w:val="20"/>
                <w:szCs w:val="20"/>
              </w:rPr>
            </w:pPr>
            <w:r>
              <w:rPr>
                <w:rFonts w:cs="Tahoma"/>
                <w:sz w:val="20"/>
                <w:szCs w:val="20"/>
              </w:rPr>
              <w:t>12,2</w:t>
            </w:r>
          </w:p>
        </w:tc>
        <w:tc>
          <w:tcPr>
            <w:tcW w:w="1181" w:type="dxa"/>
            <w:tcBorders>
              <w:top w:val="single" w:sz="4" w:space="0" w:color="auto"/>
              <w:left w:val="single" w:sz="4" w:space="0" w:color="auto"/>
              <w:bottom w:val="single" w:sz="4" w:space="0" w:color="auto"/>
              <w:right w:val="single" w:sz="4" w:space="0" w:color="auto"/>
            </w:tcBorders>
            <w:vAlign w:val="center"/>
          </w:tcPr>
          <w:p w14:paraId="34832A15" w14:textId="12F9CF1E"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0,</w:t>
            </w:r>
            <w:r w:rsidR="00B92F45">
              <w:rPr>
                <w:rFonts w:cs="Tahoma"/>
                <w:sz w:val="20"/>
                <w:szCs w:val="20"/>
              </w:rPr>
              <w:t>31</w:t>
            </w:r>
          </w:p>
        </w:tc>
      </w:tr>
      <w:tr w:rsidR="0083067C" w:rsidRPr="00821AF6" w14:paraId="3A226EE7"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34AA0294"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1.2</w:t>
            </w:r>
          </w:p>
        </w:tc>
        <w:tc>
          <w:tcPr>
            <w:tcW w:w="2620" w:type="dxa"/>
            <w:vMerge/>
            <w:tcBorders>
              <w:left w:val="single" w:sz="4" w:space="0" w:color="auto"/>
              <w:bottom w:val="single" w:sz="4" w:space="0" w:color="auto"/>
              <w:right w:val="single" w:sz="4" w:space="0" w:color="auto"/>
            </w:tcBorders>
            <w:vAlign w:val="center"/>
          </w:tcPr>
          <w:p w14:paraId="7931C8A5"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14:paraId="05EB5CD4"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3154E04C" w14:textId="03967E48" w:rsidR="0083067C" w:rsidRPr="0083067C" w:rsidRDefault="00B92F45" w:rsidP="00B92F45">
            <w:pPr>
              <w:spacing w:before="60" w:after="20" w:line="288" w:lineRule="auto"/>
              <w:ind w:firstLine="0"/>
              <w:jc w:val="right"/>
              <w:rPr>
                <w:rFonts w:cs="Tahoma"/>
                <w:sz w:val="20"/>
                <w:szCs w:val="20"/>
              </w:rPr>
            </w:pPr>
            <w:r>
              <w:rPr>
                <w:rFonts w:cs="Tahoma"/>
                <w:sz w:val="20"/>
                <w:szCs w:val="20"/>
              </w:rPr>
              <w:t>2 728,9</w:t>
            </w:r>
          </w:p>
        </w:tc>
        <w:tc>
          <w:tcPr>
            <w:tcW w:w="1244" w:type="dxa"/>
            <w:tcBorders>
              <w:top w:val="single" w:sz="4" w:space="0" w:color="auto"/>
              <w:left w:val="single" w:sz="4" w:space="0" w:color="auto"/>
              <w:bottom w:val="single" w:sz="4" w:space="0" w:color="auto"/>
              <w:right w:val="single" w:sz="4" w:space="0" w:color="auto"/>
            </w:tcBorders>
          </w:tcPr>
          <w:p w14:paraId="202D8EB1" w14:textId="7F78F456" w:rsidR="0083067C" w:rsidRPr="0083067C" w:rsidRDefault="00B92F45" w:rsidP="00B92F45">
            <w:pPr>
              <w:spacing w:before="60" w:after="20" w:line="288" w:lineRule="auto"/>
              <w:ind w:firstLine="0"/>
              <w:jc w:val="right"/>
              <w:rPr>
                <w:rFonts w:cs="Tahoma"/>
                <w:sz w:val="20"/>
                <w:szCs w:val="20"/>
              </w:rPr>
            </w:pPr>
            <w:r>
              <w:rPr>
                <w:rFonts w:cs="Tahoma"/>
                <w:sz w:val="20"/>
                <w:szCs w:val="20"/>
              </w:rPr>
              <w:t>4 836,4</w:t>
            </w:r>
          </w:p>
        </w:tc>
        <w:tc>
          <w:tcPr>
            <w:tcW w:w="1244" w:type="dxa"/>
            <w:tcBorders>
              <w:top w:val="single" w:sz="4" w:space="0" w:color="auto"/>
              <w:left w:val="single" w:sz="4" w:space="0" w:color="auto"/>
              <w:bottom w:val="single" w:sz="4" w:space="0" w:color="auto"/>
              <w:right w:val="single" w:sz="4" w:space="0" w:color="auto"/>
            </w:tcBorders>
          </w:tcPr>
          <w:p w14:paraId="0EC7CFEE" w14:textId="58176246" w:rsidR="0083067C" w:rsidRPr="0083067C" w:rsidRDefault="00B92F45" w:rsidP="00B92F45">
            <w:pPr>
              <w:spacing w:before="60" w:after="20" w:line="288" w:lineRule="auto"/>
              <w:ind w:firstLine="0"/>
              <w:jc w:val="right"/>
              <w:rPr>
                <w:rFonts w:cs="Tahoma"/>
                <w:sz w:val="20"/>
                <w:szCs w:val="20"/>
              </w:rPr>
            </w:pPr>
            <w:r>
              <w:rPr>
                <w:rFonts w:cs="Tahoma"/>
                <w:sz w:val="20"/>
                <w:szCs w:val="20"/>
              </w:rPr>
              <w:t>147,9</w:t>
            </w:r>
          </w:p>
        </w:tc>
        <w:tc>
          <w:tcPr>
            <w:tcW w:w="1181" w:type="dxa"/>
            <w:tcBorders>
              <w:top w:val="single" w:sz="4" w:space="0" w:color="auto"/>
              <w:left w:val="single" w:sz="4" w:space="0" w:color="auto"/>
              <w:bottom w:val="single" w:sz="4" w:space="0" w:color="auto"/>
              <w:right w:val="single" w:sz="4" w:space="0" w:color="auto"/>
            </w:tcBorders>
            <w:vAlign w:val="center"/>
          </w:tcPr>
          <w:p w14:paraId="228096B5" w14:textId="0D3D9FF6" w:rsidR="0083067C" w:rsidRPr="0083067C" w:rsidRDefault="00B92F45" w:rsidP="00B92F45">
            <w:pPr>
              <w:spacing w:before="60" w:after="20" w:line="288" w:lineRule="auto"/>
              <w:ind w:firstLine="0"/>
              <w:jc w:val="right"/>
              <w:rPr>
                <w:rFonts w:cs="Tahoma"/>
                <w:sz w:val="20"/>
                <w:szCs w:val="20"/>
              </w:rPr>
            </w:pPr>
            <w:r>
              <w:rPr>
                <w:rFonts w:cs="Tahoma"/>
                <w:sz w:val="20"/>
                <w:szCs w:val="20"/>
              </w:rPr>
              <w:t>507,1</w:t>
            </w:r>
          </w:p>
        </w:tc>
      </w:tr>
      <w:tr w:rsidR="0083067C" w:rsidRPr="00821AF6" w14:paraId="60ECEE40"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560562E4"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1.3</w:t>
            </w:r>
          </w:p>
        </w:tc>
        <w:tc>
          <w:tcPr>
            <w:tcW w:w="2620" w:type="dxa"/>
            <w:vMerge w:val="restart"/>
            <w:tcBorders>
              <w:top w:val="single" w:sz="4" w:space="0" w:color="auto"/>
              <w:left w:val="single" w:sz="4" w:space="0" w:color="auto"/>
              <w:right w:val="single" w:sz="4" w:space="0" w:color="auto"/>
            </w:tcBorders>
            <w:vAlign w:val="center"/>
          </w:tcPr>
          <w:p w14:paraId="27AFAFE7"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Cały okres analizy</w:t>
            </w:r>
          </w:p>
        </w:tc>
        <w:tc>
          <w:tcPr>
            <w:tcW w:w="906" w:type="dxa"/>
            <w:tcBorders>
              <w:top w:val="single" w:sz="4" w:space="0" w:color="auto"/>
              <w:left w:val="single" w:sz="4" w:space="0" w:color="auto"/>
              <w:bottom w:val="single" w:sz="4" w:space="0" w:color="auto"/>
              <w:right w:val="single" w:sz="4" w:space="0" w:color="auto"/>
            </w:tcBorders>
          </w:tcPr>
          <w:p w14:paraId="19FBFA0D"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72B482FC" w14:textId="47348B14" w:rsidR="0083067C" w:rsidRPr="0083067C" w:rsidRDefault="00B92F45" w:rsidP="00B92F45">
            <w:pPr>
              <w:spacing w:before="60" w:after="20" w:line="288" w:lineRule="auto"/>
              <w:ind w:firstLine="0"/>
              <w:jc w:val="right"/>
              <w:rPr>
                <w:rFonts w:cs="Tahoma"/>
                <w:sz w:val="20"/>
                <w:szCs w:val="20"/>
              </w:rPr>
            </w:pPr>
            <w:r>
              <w:rPr>
                <w:rFonts w:cs="Tahoma"/>
                <w:sz w:val="20"/>
                <w:szCs w:val="20"/>
              </w:rPr>
              <w:t>190 894,6</w:t>
            </w:r>
          </w:p>
        </w:tc>
        <w:tc>
          <w:tcPr>
            <w:tcW w:w="1244" w:type="dxa"/>
            <w:tcBorders>
              <w:top w:val="single" w:sz="4" w:space="0" w:color="auto"/>
              <w:left w:val="single" w:sz="4" w:space="0" w:color="auto"/>
              <w:bottom w:val="single" w:sz="4" w:space="0" w:color="auto"/>
              <w:right w:val="single" w:sz="4" w:space="0" w:color="auto"/>
            </w:tcBorders>
          </w:tcPr>
          <w:p w14:paraId="1211FB94" w14:textId="05F05A6E" w:rsidR="0083067C" w:rsidRPr="0083067C" w:rsidRDefault="00B92F45" w:rsidP="00B92F45">
            <w:pPr>
              <w:spacing w:before="60" w:after="20" w:line="288" w:lineRule="auto"/>
              <w:ind w:firstLine="0"/>
              <w:jc w:val="right"/>
              <w:rPr>
                <w:rFonts w:cs="Tahoma"/>
                <w:sz w:val="20"/>
                <w:szCs w:val="20"/>
              </w:rPr>
            </w:pPr>
            <w:r>
              <w:rPr>
                <w:rFonts w:cs="Tahoma"/>
                <w:sz w:val="20"/>
                <w:szCs w:val="20"/>
              </w:rPr>
              <w:t>811,2</w:t>
            </w:r>
          </w:p>
        </w:tc>
        <w:tc>
          <w:tcPr>
            <w:tcW w:w="1244" w:type="dxa"/>
            <w:tcBorders>
              <w:top w:val="single" w:sz="4" w:space="0" w:color="auto"/>
              <w:left w:val="single" w:sz="4" w:space="0" w:color="auto"/>
              <w:bottom w:val="single" w:sz="4" w:space="0" w:color="auto"/>
              <w:right w:val="single" w:sz="4" w:space="0" w:color="auto"/>
            </w:tcBorders>
          </w:tcPr>
          <w:p w14:paraId="56ED2452" w14:textId="77AA1949" w:rsidR="0083067C" w:rsidRPr="0083067C" w:rsidRDefault="00B92F45" w:rsidP="00B92F45">
            <w:pPr>
              <w:spacing w:before="60" w:after="20" w:line="288" w:lineRule="auto"/>
              <w:ind w:firstLine="0"/>
              <w:jc w:val="right"/>
              <w:rPr>
                <w:rFonts w:cs="Tahoma"/>
                <w:sz w:val="20"/>
                <w:szCs w:val="20"/>
              </w:rPr>
            </w:pPr>
            <w:r>
              <w:rPr>
                <w:rFonts w:cs="Tahoma"/>
                <w:sz w:val="20"/>
                <w:szCs w:val="20"/>
              </w:rPr>
              <w:t>194,8</w:t>
            </w:r>
          </w:p>
        </w:tc>
        <w:tc>
          <w:tcPr>
            <w:tcW w:w="1181" w:type="dxa"/>
            <w:tcBorders>
              <w:top w:val="single" w:sz="4" w:space="0" w:color="auto"/>
              <w:left w:val="single" w:sz="4" w:space="0" w:color="auto"/>
              <w:bottom w:val="single" w:sz="4" w:space="0" w:color="auto"/>
              <w:right w:val="single" w:sz="4" w:space="0" w:color="auto"/>
            </w:tcBorders>
            <w:vAlign w:val="center"/>
          </w:tcPr>
          <w:p w14:paraId="62974989" w14:textId="148B5F88" w:rsidR="0083067C" w:rsidRPr="0083067C" w:rsidRDefault="00B92F45" w:rsidP="00B92F45">
            <w:pPr>
              <w:spacing w:before="60" w:after="20" w:line="288" w:lineRule="auto"/>
              <w:ind w:firstLine="0"/>
              <w:jc w:val="right"/>
              <w:rPr>
                <w:rFonts w:cs="Tahoma"/>
                <w:sz w:val="20"/>
                <w:szCs w:val="20"/>
              </w:rPr>
            </w:pPr>
            <w:r>
              <w:rPr>
                <w:rFonts w:cs="Tahoma"/>
                <w:sz w:val="20"/>
                <w:szCs w:val="20"/>
              </w:rPr>
              <w:t>5,02</w:t>
            </w:r>
          </w:p>
        </w:tc>
      </w:tr>
      <w:tr w:rsidR="0083067C" w:rsidRPr="00821AF6" w14:paraId="11B23B41"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7C7CF326"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1.4</w:t>
            </w:r>
          </w:p>
        </w:tc>
        <w:tc>
          <w:tcPr>
            <w:tcW w:w="2620" w:type="dxa"/>
            <w:vMerge/>
            <w:tcBorders>
              <w:left w:val="single" w:sz="4" w:space="0" w:color="auto"/>
              <w:right w:val="single" w:sz="4" w:space="0" w:color="auto"/>
            </w:tcBorders>
          </w:tcPr>
          <w:p w14:paraId="6088FA34"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tcPr>
          <w:p w14:paraId="01F39169"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781E0790" w14:textId="7FBD0560" w:rsidR="0083067C" w:rsidRPr="0083067C" w:rsidRDefault="00B92F45" w:rsidP="00B92F45">
            <w:pPr>
              <w:spacing w:before="60" w:after="20" w:line="288" w:lineRule="auto"/>
              <w:ind w:firstLine="0"/>
              <w:jc w:val="right"/>
              <w:rPr>
                <w:rFonts w:cs="Tahoma"/>
                <w:sz w:val="20"/>
                <w:szCs w:val="20"/>
              </w:rPr>
            </w:pPr>
            <w:r>
              <w:rPr>
                <w:rFonts w:cs="Tahoma"/>
                <w:sz w:val="20"/>
                <w:szCs w:val="20"/>
              </w:rPr>
              <w:t>43 662,3</w:t>
            </w:r>
          </w:p>
        </w:tc>
        <w:tc>
          <w:tcPr>
            <w:tcW w:w="1244" w:type="dxa"/>
            <w:tcBorders>
              <w:top w:val="single" w:sz="4" w:space="0" w:color="auto"/>
              <w:left w:val="single" w:sz="4" w:space="0" w:color="auto"/>
              <w:bottom w:val="single" w:sz="4" w:space="0" w:color="auto"/>
              <w:right w:val="single" w:sz="4" w:space="0" w:color="auto"/>
            </w:tcBorders>
          </w:tcPr>
          <w:p w14:paraId="331515C7" w14:textId="1F61E4C9" w:rsidR="0083067C" w:rsidRPr="0083067C" w:rsidRDefault="00B92F45" w:rsidP="00B92F45">
            <w:pPr>
              <w:spacing w:before="60" w:after="20" w:line="288" w:lineRule="auto"/>
              <w:ind w:firstLine="0"/>
              <w:jc w:val="right"/>
              <w:rPr>
                <w:rFonts w:cs="Tahoma"/>
                <w:sz w:val="20"/>
                <w:szCs w:val="20"/>
              </w:rPr>
            </w:pPr>
            <w:r>
              <w:rPr>
                <w:rFonts w:cs="Tahoma"/>
                <w:sz w:val="20"/>
                <w:szCs w:val="20"/>
              </w:rPr>
              <w:t>77 382,4</w:t>
            </w:r>
          </w:p>
        </w:tc>
        <w:tc>
          <w:tcPr>
            <w:tcW w:w="1244" w:type="dxa"/>
            <w:tcBorders>
              <w:top w:val="single" w:sz="4" w:space="0" w:color="auto"/>
              <w:left w:val="single" w:sz="4" w:space="0" w:color="auto"/>
              <w:bottom w:val="single" w:sz="4" w:space="0" w:color="auto"/>
              <w:right w:val="single" w:sz="4" w:space="0" w:color="auto"/>
            </w:tcBorders>
          </w:tcPr>
          <w:p w14:paraId="4AF14471" w14:textId="55261A2B" w:rsidR="0083067C" w:rsidRPr="0083067C" w:rsidRDefault="00B92F45" w:rsidP="00B92F45">
            <w:pPr>
              <w:spacing w:before="60" w:after="20" w:line="288" w:lineRule="auto"/>
              <w:ind w:firstLine="0"/>
              <w:jc w:val="right"/>
              <w:rPr>
                <w:rFonts w:cs="Tahoma"/>
                <w:sz w:val="20"/>
                <w:szCs w:val="20"/>
              </w:rPr>
            </w:pPr>
            <w:r>
              <w:rPr>
                <w:rFonts w:cs="Tahoma"/>
                <w:sz w:val="20"/>
                <w:szCs w:val="20"/>
              </w:rPr>
              <w:t>2 366,8</w:t>
            </w:r>
          </w:p>
        </w:tc>
        <w:tc>
          <w:tcPr>
            <w:tcW w:w="1181" w:type="dxa"/>
            <w:tcBorders>
              <w:top w:val="single" w:sz="4" w:space="0" w:color="auto"/>
              <w:left w:val="single" w:sz="4" w:space="0" w:color="auto"/>
              <w:bottom w:val="single" w:sz="4" w:space="0" w:color="auto"/>
              <w:right w:val="single" w:sz="4" w:space="0" w:color="auto"/>
            </w:tcBorders>
            <w:vAlign w:val="center"/>
          </w:tcPr>
          <w:p w14:paraId="24DB7207" w14:textId="17F6E018" w:rsidR="0083067C" w:rsidRPr="0083067C" w:rsidRDefault="00B92F45" w:rsidP="00B92F45">
            <w:pPr>
              <w:spacing w:before="60" w:after="20" w:line="288" w:lineRule="auto"/>
              <w:ind w:firstLine="0"/>
              <w:jc w:val="right"/>
              <w:rPr>
                <w:rFonts w:cs="Tahoma"/>
                <w:sz w:val="20"/>
                <w:szCs w:val="20"/>
              </w:rPr>
            </w:pPr>
            <w:r>
              <w:rPr>
                <w:rFonts w:cs="Tahoma"/>
                <w:sz w:val="20"/>
                <w:szCs w:val="20"/>
              </w:rPr>
              <w:t>8 113,4</w:t>
            </w:r>
          </w:p>
        </w:tc>
      </w:tr>
      <w:tr w:rsidR="0083067C" w:rsidRPr="00821AF6" w14:paraId="49BB5EA7" w14:textId="77777777" w:rsidTr="004C19CE">
        <w:trPr>
          <w:cantSplit/>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97F5BD" w14:textId="02303E0A" w:rsidR="0083067C" w:rsidRPr="0083067C" w:rsidRDefault="00B92F45" w:rsidP="00B92F45">
            <w:pPr>
              <w:keepNext/>
              <w:spacing w:before="60" w:after="20" w:line="288" w:lineRule="auto"/>
              <w:ind w:firstLine="0"/>
              <w:jc w:val="center"/>
              <w:rPr>
                <w:rFonts w:cs="Tahoma"/>
                <w:b/>
                <w:sz w:val="20"/>
                <w:szCs w:val="20"/>
              </w:rPr>
            </w:pPr>
            <w:r>
              <w:rPr>
                <w:rFonts w:cs="Tahoma"/>
                <w:b/>
                <w:sz w:val="20"/>
                <w:szCs w:val="20"/>
              </w:rPr>
              <w:t>Wariant k</w:t>
            </w:r>
            <w:r w:rsidR="0083067C" w:rsidRPr="00821AF6">
              <w:rPr>
                <w:rFonts w:cs="Tahoma"/>
                <w:b/>
                <w:sz w:val="20"/>
                <w:szCs w:val="20"/>
              </w:rPr>
              <w:t>onwencjonalny</w:t>
            </w:r>
          </w:p>
        </w:tc>
      </w:tr>
      <w:tr w:rsidR="0083067C" w:rsidRPr="00821AF6" w14:paraId="4C63C197"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342B0469"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2.1</w:t>
            </w:r>
          </w:p>
        </w:tc>
        <w:tc>
          <w:tcPr>
            <w:tcW w:w="2620" w:type="dxa"/>
            <w:vMerge w:val="restart"/>
            <w:tcBorders>
              <w:top w:val="single" w:sz="4" w:space="0" w:color="auto"/>
              <w:left w:val="single" w:sz="4" w:space="0" w:color="auto"/>
              <w:right w:val="single" w:sz="4" w:space="0" w:color="auto"/>
            </w:tcBorders>
            <w:vAlign w:val="center"/>
          </w:tcPr>
          <w:p w14:paraId="7154FE84"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Średniorocznie</w:t>
            </w:r>
          </w:p>
        </w:tc>
        <w:tc>
          <w:tcPr>
            <w:tcW w:w="906" w:type="dxa"/>
            <w:tcBorders>
              <w:top w:val="single" w:sz="4" w:space="0" w:color="auto"/>
              <w:left w:val="single" w:sz="4" w:space="0" w:color="auto"/>
              <w:bottom w:val="single" w:sz="4" w:space="0" w:color="auto"/>
              <w:right w:val="single" w:sz="4" w:space="0" w:color="auto"/>
            </w:tcBorders>
            <w:vAlign w:val="center"/>
          </w:tcPr>
          <w:p w14:paraId="64B50E01"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10E7268A" w14:textId="26032E8B" w:rsidR="0083067C" w:rsidRPr="0083067C" w:rsidRDefault="00B92F45" w:rsidP="00B92F45">
            <w:pPr>
              <w:spacing w:before="60" w:after="20" w:line="288" w:lineRule="auto"/>
              <w:ind w:firstLine="0"/>
              <w:jc w:val="right"/>
              <w:rPr>
                <w:rFonts w:cs="Tahoma"/>
                <w:sz w:val="20"/>
                <w:szCs w:val="20"/>
              </w:rPr>
            </w:pPr>
            <w:r>
              <w:rPr>
                <w:rFonts w:cs="Tahoma"/>
                <w:sz w:val="20"/>
                <w:szCs w:val="20"/>
              </w:rPr>
              <w:t>11 861,7</w:t>
            </w:r>
          </w:p>
        </w:tc>
        <w:tc>
          <w:tcPr>
            <w:tcW w:w="1244" w:type="dxa"/>
            <w:tcBorders>
              <w:top w:val="single" w:sz="4" w:space="0" w:color="auto"/>
              <w:left w:val="single" w:sz="4" w:space="0" w:color="auto"/>
              <w:bottom w:val="single" w:sz="4" w:space="0" w:color="auto"/>
              <w:right w:val="single" w:sz="4" w:space="0" w:color="auto"/>
            </w:tcBorders>
          </w:tcPr>
          <w:p w14:paraId="0EBE3E5F" w14:textId="50F9BAD0" w:rsidR="0083067C" w:rsidRPr="0083067C" w:rsidRDefault="00B92F45" w:rsidP="00B92F45">
            <w:pPr>
              <w:spacing w:before="60" w:after="20" w:line="288" w:lineRule="auto"/>
              <w:ind w:firstLine="0"/>
              <w:jc w:val="right"/>
              <w:rPr>
                <w:rFonts w:cs="Tahoma"/>
                <w:sz w:val="20"/>
                <w:szCs w:val="20"/>
              </w:rPr>
            </w:pPr>
            <w:r>
              <w:rPr>
                <w:rFonts w:cs="Tahoma"/>
                <w:sz w:val="20"/>
                <w:szCs w:val="20"/>
              </w:rPr>
              <w:t>44,4</w:t>
            </w:r>
          </w:p>
        </w:tc>
        <w:tc>
          <w:tcPr>
            <w:tcW w:w="1244" w:type="dxa"/>
            <w:tcBorders>
              <w:top w:val="single" w:sz="4" w:space="0" w:color="auto"/>
              <w:left w:val="single" w:sz="4" w:space="0" w:color="auto"/>
              <w:bottom w:val="single" w:sz="4" w:space="0" w:color="auto"/>
              <w:right w:val="single" w:sz="4" w:space="0" w:color="auto"/>
            </w:tcBorders>
          </w:tcPr>
          <w:p w14:paraId="336B8BDE" w14:textId="4179F413" w:rsidR="0083067C" w:rsidRPr="0083067C" w:rsidRDefault="00B92F45" w:rsidP="00B92F45">
            <w:pPr>
              <w:spacing w:before="60" w:after="20" w:line="288" w:lineRule="auto"/>
              <w:ind w:firstLine="0"/>
              <w:jc w:val="right"/>
              <w:rPr>
                <w:rFonts w:cs="Tahoma"/>
                <w:sz w:val="20"/>
                <w:szCs w:val="20"/>
              </w:rPr>
            </w:pPr>
            <w:r>
              <w:rPr>
                <w:rFonts w:cs="Tahoma"/>
                <w:sz w:val="20"/>
                <w:szCs w:val="20"/>
              </w:rPr>
              <w:t>10,8</w:t>
            </w:r>
          </w:p>
        </w:tc>
        <w:tc>
          <w:tcPr>
            <w:tcW w:w="1181" w:type="dxa"/>
            <w:tcBorders>
              <w:top w:val="single" w:sz="4" w:space="0" w:color="auto"/>
              <w:left w:val="single" w:sz="4" w:space="0" w:color="auto"/>
              <w:bottom w:val="single" w:sz="4" w:space="0" w:color="auto"/>
              <w:right w:val="single" w:sz="4" w:space="0" w:color="auto"/>
            </w:tcBorders>
            <w:vAlign w:val="center"/>
          </w:tcPr>
          <w:p w14:paraId="3FE196D2" w14:textId="41DCAFA2" w:rsidR="0083067C" w:rsidRPr="0083067C" w:rsidRDefault="00B92F45" w:rsidP="00B92F45">
            <w:pPr>
              <w:spacing w:before="60" w:after="20" w:line="288" w:lineRule="auto"/>
              <w:ind w:firstLine="0"/>
              <w:jc w:val="right"/>
              <w:rPr>
                <w:rFonts w:cs="Tahoma"/>
                <w:sz w:val="20"/>
                <w:szCs w:val="20"/>
              </w:rPr>
            </w:pPr>
            <w:r>
              <w:rPr>
                <w:rFonts w:cs="Tahoma"/>
                <w:sz w:val="20"/>
                <w:szCs w:val="20"/>
              </w:rPr>
              <w:t>0,30</w:t>
            </w:r>
          </w:p>
        </w:tc>
      </w:tr>
      <w:tr w:rsidR="0083067C" w:rsidRPr="00821AF6" w14:paraId="147F5C67"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2A06ACC0"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2.2</w:t>
            </w:r>
          </w:p>
        </w:tc>
        <w:tc>
          <w:tcPr>
            <w:tcW w:w="2620" w:type="dxa"/>
            <w:vMerge/>
            <w:tcBorders>
              <w:left w:val="single" w:sz="4" w:space="0" w:color="auto"/>
              <w:bottom w:val="single" w:sz="4" w:space="0" w:color="auto"/>
              <w:right w:val="single" w:sz="4" w:space="0" w:color="auto"/>
            </w:tcBorders>
            <w:vAlign w:val="center"/>
          </w:tcPr>
          <w:p w14:paraId="5D1E14FE"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14:paraId="66184CE8"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4D4B4B0E" w14:textId="46A63FA9" w:rsidR="0083067C" w:rsidRPr="0083067C" w:rsidRDefault="00B92F45" w:rsidP="00B92F45">
            <w:pPr>
              <w:spacing w:before="60" w:after="20" w:line="288" w:lineRule="auto"/>
              <w:ind w:firstLine="0"/>
              <w:jc w:val="right"/>
              <w:rPr>
                <w:rFonts w:cs="Tahoma"/>
                <w:sz w:val="20"/>
                <w:szCs w:val="20"/>
              </w:rPr>
            </w:pPr>
            <w:r>
              <w:rPr>
                <w:rFonts w:cs="Tahoma"/>
                <w:sz w:val="20"/>
                <w:szCs w:val="20"/>
              </w:rPr>
              <w:t>2 710,8</w:t>
            </w:r>
          </w:p>
        </w:tc>
        <w:tc>
          <w:tcPr>
            <w:tcW w:w="1244" w:type="dxa"/>
            <w:tcBorders>
              <w:top w:val="single" w:sz="4" w:space="0" w:color="auto"/>
              <w:left w:val="single" w:sz="4" w:space="0" w:color="auto"/>
              <w:bottom w:val="single" w:sz="4" w:space="0" w:color="auto"/>
              <w:right w:val="single" w:sz="4" w:space="0" w:color="auto"/>
            </w:tcBorders>
          </w:tcPr>
          <w:p w14:paraId="5C8B2BB4" w14:textId="44B7B7EF" w:rsidR="0083067C" w:rsidRPr="0083067C" w:rsidRDefault="00B92F45" w:rsidP="00B92F45">
            <w:pPr>
              <w:spacing w:before="60" w:after="20" w:line="288" w:lineRule="auto"/>
              <w:ind w:firstLine="0"/>
              <w:jc w:val="right"/>
              <w:rPr>
                <w:rFonts w:cs="Tahoma"/>
                <w:sz w:val="20"/>
                <w:szCs w:val="20"/>
              </w:rPr>
            </w:pPr>
            <w:r>
              <w:rPr>
                <w:rFonts w:cs="Tahoma"/>
                <w:sz w:val="20"/>
                <w:szCs w:val="20"/>
              </w:rPr>
              <w:t>4 175,0</w:t>
            </w:r>
          </w:p>
        </w:tc>
        <w:tc>
          <w:tcPr>
            <w:tcW w:w="1244" w:type="dxa"/>
            <w:tcBorders>
              <w:top w:val="single" w:sz="4" w:space="0" w:color="auto"/>
              <w:left w:val="single" w:sz="4" w:space="0" w:color="auto"/>
              <w:bottom w:val="single" w:sz="4" w:space="0" w:color="auto"/>
              <w:right w:val="single" w:sz="4" w:space="0" w:color="auto"/>
            </w:tcBorders>
          </w:tcPr>
          <w:p w14:paraId="62188D80" w14:textId="3F3F4A73" w:rsidR="0083067C" w:rsidRPr="0083067C" w:rsidRDefault="00B92F45" w:rsidP="00B92F45">
            <w:pPr>
              <w:spacing w:before="60" w:after="20" w:line="288" w:lineRule="auto"/>
              <w:ind w:firstLine="0"/>
              <w:jc w:val="right"/>
              <w:rPr>
                <w:rFonts w:cs="Tahoma"/>
                <w:sz w:val="20"/>
                <w:szCs w:val="20"/>
              </w:rPr>
            </w:pPr>
            <w:r>
              <w:rPr>
                <w:rFonts w:cs="Tahoma"/>
                <w:sz w:val="20"/>
                <w:szCs w:val="20"/>
              </w:rPr>
              <w:t>130,1</w:t>
            </w:r>
          </w:p>
        </w:tc>
        <w:tc>
          <w:tcPr>
            <w:tcW w:w="1181" w:type="dxa"/>
            <w:tcBorders>
              <w:top w:val="single" w:sz="4" w:space="0" w:color="auto"/>
              <w:left w:val="single" w:sz="4" w:space="0" w:color="auto"/>
              <w:bottom w:val="single" w:sz="4" w:space="0" w:color="auto"/>
              <w:right w:val="single" w:sz="4" w:space="0" w:color="auto"/>
            </w:tcBorders>
            <w:vAlign w:val="center"/>
          </w:tcPr>
          <w:p w14:paraId="62F96407" w14:textId="4D2492AC" w:rsidR="0083067C" w:rsidRPr="0083067C" w:rsidRDefault="00B92F45" w:rsidP="00B92F45">
            <w:pPr>
              <w:spacing w:before="60" w:after="20" w:line="288" w:lineRule="auto"/>
              <w:ind w:firstLine="0"/>
              <w:jc w:val="right"/>
              <w:rPr>
                <w:rFonts w:cs="Tahoma"/>
                <w:sz w:val="20"/>
                <w:szCs w:val="20"/>
              </w:rPr>
            </w:pPr>
            <w:r>
              <w:rPr>
                <w:rFonts w:cs="Tahoma"/>
                <w:sz w:val="20"/>
                <w:szCs w:val="20"/>
              </w:rPr>
              <w:t>482,3</w:t>
            </w:r>
          </w:p>
        </w:tc>
      </w:tr>
      <w:tr w:rsidR="0083067C" w:rsidRPr="00821AF6" w14:paraId="40CF6112"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7508988E"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2.3</w:t>
            </w:r>
          </w:p>
        </w:tc>
        <w:tc>
          <w:tcPr>
            <w:tcW w:w="2620" w:type="dxa"/>
            <w:vMerge w:val="restart"/>
            <w:tcBorders>
              <w:top w:val="single" w:sz="4" w:space="0" w:color="auto"/>
              <w:left w:val="single" w:sz="4" w:space="0" w:color="auto"/>
              <w:right w:val="single" w:sz="4" w:space="0" w:color="auto"/>
            </w:tcBorders>
            <w:vAlign w:val="center"/>
          </w:tcPr>
          <w:p w14:paraId="65D1882E"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Cały okres analizy</w:t>
            </w:r>
          </w:p>
        </w:tc>
        <w:tc>
          <w:tcPr>
            <w:tcW w:w="906" w:type="dxa"/>
            <w:tcBorders>
              <w:top w:val="single" w:sz="4" w:space="0" w:color="auto"/>
              <w:left w:val="single" w:sz="4" w:space="0" w:color="auto"/>
              <w:bottom w:val="single" w:sz="4" w:space="0" w:color="auto"/>
              <w:right w:val="single" w:sz="4" w:space="0" w:color="auto"/>
            </w:tcBorders>
          </w:tcPr>
          <w:p w14:paraId="32622BA5"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7B313819" w14:textId="357B3E46" w:rsidR="0083067C" w:rsidRPr="0083067C" w:rsidRDefault="00B92F45" w:rsidP="00B92F45">
            <w:pPr>
              <w:spacing w:before="60" w:after="20" w:line="288" w:lineRule="auto"/>
              <w:ind w:firstLine="0"/>
              <w:jc w:val="right"/>
              <w:rPr>
                <w:rFonts w:cs="Tahoma"/>
                <w:sz w:val="20"/>
                <w:szCs w:val="20"/>
              </w:rPr>
            </w:pPr>
            <w:r>
              <w:rPr>
                <w:rFonts w:cs="Tahoma"/>
                <w:sz w:val="20"/>
                <w:szCs w:val="20"/>
              </w:rPr>
              <w:t>189 786,7</w:t>
            </w:r>
          </w:p>
        </w:tc>
        <w:tc>
          <w:tcPr>
            <w:tcW w:w="1244" w:type="dxa"/>
            <w:tcBorders>
              <w:top w:val="single" w:sz="4" w:space="0" w:color="auto"/>
              <w:left w:val="single" w:sz="4" w:space="0" w:color="auto"/>
              <w:bottom w:val="single" w:sz="4" w:space="0" w:color="auto"/>
              <w:right w:val="single" w:sz="4" w:space="0" w:color="auto"/>
            </w:tcBorders>
          </w:tcPr>
          <w:p w14:paraId="2A420B26" w14:textId="5577F046" w:rsidR="0083067C" w:rsidRPr="0083067C" w:rsidRDefault="00B92F45" w:rsidP="00B92F45">
            <w:pPr>
              <w:spacing w:before="60" w:after="20" w:line="288" w:lineRule="auto"/>
              <w:ind w:firstLine="0"/>
              <w:jc w:val="right"/>
              <w:rPr>
                <w:rFonts w:cs="Tahoma"/>
                <w:sz w:val="20"/>
                <w:szCs w:val="20"/>
              </w:rPr>
            </w:pPr>
            <w:r>
              <w:rPr>
                <w:rFonts w:cs="Tahoma"/>
                <w:sz w:val="20"/>
                <w:szCs w:val="20"/>
              </w:rPr>
              <w:t>709,7</w:t>
            </w:r>
          </w:p>
        </w:tc>
        <w:tc>
          <w:tcPr>
            <w:tcW w:w="1244" w:type="dxa"/>
            <w:tcBorders>
              <w:top w:val="single" w:sz="4" w:space="0" w:color="auto"/>
              <w:left w:val="single" w:sz="4" w:space="0" w:color="auto"/>
              <w:bottom w:val="single" w:sz="4" w:space="0" w:color="auto"/>
              <w:right w:val="single" w:sz="4" w:space="0" w:color="auto"/>
            </w:tcBorders>
          </w:tcPr>
          <w:p w14:paraId="42B27238" w14:textId="04AB7843" w:rsidR="0083067C" w:rsidRPr="0083067C" w:rsidRDefault="00B92F45" w:rsidP="00B92F45">
            <w:pPr>
              <w:spacing w:before="60" w:after="20" w:line="288" w:lineRule="auto"/>
              <w:ind w:firstLine="0"/>
              <w:jc w:val="right"/>
              <w:rPr>
                <w:rFonts w:cs="Tahoma"/>
                <w:sz w:val="20"/>
                <w:szCs w:val="20"/>
              </w:rPr>
            </w:pPr>
            <w:r>
              <w:rPr>
                <w:rFonts w:cs="Tahoma"/>
                <w:sz w:val="20"/>
                <w:szCs w:val="20"/>
              </w:rPr>
              <w:t>173,0</w:t>
            </w:r>
          </w:p>
        </w:tc>
        <w:tc>
          <w:tcPr>
            <w:tcW w:w="1181" w:type="dxa"/>
            <w:tcBorders>
              <w:top w:val="single" w:sz="4" w:space="0" w:color="auto"/>
              <w:left w:val="single" w:sz="4" w:space="0" w:color="auto"/>
              <w:bottom w:val="single" w:sz="4" w:space="0" w:color="auto"/>
              <w:right w:val="single" w:sz="4" w:space="0" w:color="auto"/>
            </w:tcBorders>
            <w:vAlign w:val="center"/>
          </w:tcPr>
          <w:p w14:paraId="52D497C6" w14:textId="4A4AC1C7" w:rsidR="0083067C" w:rsidRPr="0083067C" w:rsidRDefault="00B92F45" w:rsidP="00B92F45">
            <w:pPr>
              <w:spacing w:before="60" w:after="20" w:line="288" w:lineRule="auto"/>
              <w:ind w:firstLine="0"/>
              <w:jc w:val="right"/>
              <w:rPr>
                <w:rFonts w:cs="Tahoma"/>
                <w:sz w:val="20"/>
                <w:szCs w:val="20"/>
              </w:rPr>
            </w:pPr>
            <w:r>
              <w:rPr>
                <w:rFonts w:cs="Tahoma"/>
                <w:sz w:val="20"/>
                <w:szCs w:val="20"/>
              </w:rPr>
              <w:t>4,78</w:t>
            </w:r>
          </w:p>
        </w:tc>
      </w:tr>
      <w:tr w:rsidR="0083067C" w:rsidRPr="00821AF6" w14:paraId="5373C96B"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6ECBB6B8"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2.4</w:t>
            </w:r>
          </w:p>
        </w:tc>
        <w:tc>
          <w:tcPr>
            <w:tcW w:w="2620" w:type="dxa"/>
            <w:vMerge/>
            <w:tcBorders>
              <w:left w:val="single" w:sz="4" w:space="0" w:color="auto"/>
              <w:right w:val="single" w:sz="4" w:space="0" w:color="auto"/>
            </w:tcBorders>
          </w:tcPr>
          <w:p w14:paraId="182DA01D"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tcPr>
          <w:p w14:paraId="29644856"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0737CFE1" w14:textId="6DA0BE57" w:rsidR="0083067C" w:rsidRPr="0083067C" w:rsidRDefault="00B92F45" w:rsidP="00B92F45">
            <w:pPr>
              <w:spacing w:before="60" w:after="20" w:line="288" w:lineRule="auto"/>
              <w:ind w:firstLine="0"/>
              <w:jc w:val="right"/>
              <w:rPr>
                <w:rFonts w:cs="Tahoma"/>
                <w:sz w:val="20"/>
                <w:szCs w:val="20"/>
              </w:rPr>
            </w:pPr>
            <w:r>
              <w:rPr>
                <w:rFonts w:cs="Tahoma"/>
                <w:sz w:val="20"/>
                <w:szCs w:val="20"/>
              </w:rPr>
              <w:t>43 372,5</w:t>
            </w:r>
          </w:p>
        </w:tc>
        <w:tc>
          <w:tcPr>
            <w:tcW w:w="1244" w:type="dxa"/>
            <w:tcBorders>
              <w:top w:val="single" w:sz="4" w:space="0" w:color="auto"/>
              <w:left w:val="single" w:sz="4" w:space="0" w:color="auto"/>
              <w:bottom w:val="single" w:sz="4" w:space="0" w:color="auto"/>
              <w:right w:val="single" w:sz="4" w:space="0" w:color="auto"/>
            </w:tcBorders>
          </w:tcPr>
          <w:p w14:paraId="032EACE7" w14:textId="63463825" w:rsidR="0083067C" w:rsidRPr="0083067C" w:rsidRDefault="00B92F45" w:rsidP="00B92F45">
            <w:pPr>
              <w:spacing w:before="60" w:after="20" w:line="288" w:lineRule="auto"/>
              <w:ind w:firstLine="0"/>
              <w:jc w:val="right"/>
              <w:rPr>
                <w:rFonts w:cs="Tahoma"/>
                <w:sz w:val="20"/>
                <w:szCs w:val="20"/>
              </w:rPr>
            </w:pPr>
            <w:r>
              <w:rPr>
                <w:rFonts w:cs="Tahoma"/>
                <w:sz w:val="20"/>
                <w:szCs w:val="20"/>
              </w:rPr>
              <w:t>66 799,2</w:t>
            </w:r>
          </w:p>
        </w:tc>
        <w:tc>
          <w:tcPr>
            <w:tcW w:w="1244" w:type="dxa"/>
            <w:tcBorders>
              <w:top w:val="single" w:sz="4" w:space="0" w:color="auto"/>
              <w:left w:val="single" w:sz="4" w:space="0" w:color="auto"/>
              <w:bottom w:val="single" w:sz="4" w:space="0" w:color="auto"/>
              <w:right w:val="single" w:sz="4" w:space="0" w:color="auto"/>
            </w:tcBorders>
          </w:tcPr>
          <w:p w14:paraId="30ABDC4E" w14:textId="599318D6" w:rsidR="0083067C" w:rsidRPr="0083067C" w:rsidRDefault="00B92F45" w:rsidP="00B92F45">
            <w:pPr>
              <w:spacing w:before="60" w:after="20" w:line="288" w:lineRule="auto"/>
              <w:ind w:firstLine="0"/>
              <w:jc w:val="right"/>
              <w:rPr>
                <w:rFonts w:cs="Tahoma"/>
                <w:sz w:val="20"/>
                <w:szCs w:val="20"/>
              </w:rPr>
            </w:pPr>
            <w:r>
              <w:rPr>
                <w:rFonts w:cs="Tahoma"/>
                <w:sz w:val="20"/>
                <w:szCs w:val="20"/>
              </w:rPr>
              <w:t>2 081,3</w:t>
            </w:r>
          </w:p>
        </w:tc>
        <w:tc>
          <w:tcPr>
            <w:tcW w:w="1181" w:type="dxa"/>
            <w:tcBorders>
              <w:top w:val="single" w:sz="4" w:space="0" w:color="auto"/>
              <w:left w:val="single" w:sz="4" w:space="0" w:color="auto"/>
              <w:bottom w:val="single" w:sz="4" w:space="0" w:color="auto"/>
              <w:right w:val="single" w:sz="4" w:space="0" w:color="auto"/>
            </w:tcBorders>
            <w:vAlign w:val="center"/>
          </w:tcPr>
          <w:p w14:paraId="4C2F73A1" w14:textId="5C1E56EE" w:rsidR="0083067C" w:rsidRPr="0083067C" w:rsidRDefault="00B92F45" w:rsidP="00B92F45">
            <w:pPr>
              <w:spacing w:before="60" w:after="20" w:line="288" w:lineRule="auto"/>
              <w:ind w:firstLine="0"/>
              <w:jc w:val="right"/>
              <w:rPr>
                <w:rFonts w:cs="Tahoma"/>
                <w:sz w:val="20"/>
                <w:szCs w:val="20"/>
              </w:rPr>
            </w:pPr>
            <w:r>
              <w:rPr>
                <w:rFonts w:cs="Tahoma"/>
                <w:sz w:val="20"/>
                <w:szCs w:val="20"/>
              </w:rPr>
              <w:t>7 717,5</w:t>
            </w:r>
          </w:p>
        </w:tc>
      </w:tr>
      <w:tr w:rsidR="0083067C" w:rsidRPr="00821AF6" w14:paraId="38D30805" w14:textId="77777777" w:rsidTr="0053274D">
        <w:trPr>
          <w:cantSplit/>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02F739" w14:textId="62010A83" w:rsidR="0083067C" w:rsidRPr="0083067C" w:rsidRDefault="00B92F45" w:rsidP="00B92F45">
            <w:pPr>
              <w:spacing w:before="60" w:after="20" w:line="288" w:lineRule="auto"/>
              <w:ind w:firstLine="0"/>
              <w:jc w:val="center"/>
              <w:rPr>
                <w:rFonts w:cs="Tahoma"/>
                <w:b/>
                <w:sz w:val="20"/>
                <w:szCs w:val="20"/>
              </w:rPr>
            </w:pPr>
            <w:r>
              <w:rPr>
                <w:rFonts w:cs="Tahoma"/>
                <w:b/>
                <w:sz w:val="20"/>
                <w:szCs w:val="20"/>
              </w:rPr>
              <w:t xml:space="preserve">Wariant </w:t>
            </w:r>
            <w:r w:rsidR="0083067C" w:rsidRPr="00821AF6">
              <w:rPr>
                <w:rFonts w:cs="Tahoma"/>
                <w:b/>
                <w:sz w:val="20"/>
                <w:szCs w:val="20"/>
              </w:rPr>
              <w:t>elektryczny</w:t>
            </w:r>
          </w:p>
        </w:tc>
      </w:tr>
      <w:tr w:rsidR="0083067C" w:rsidRPr="00821AF6" w14:paraId="5729DEF4" w14:textId="77777777" w:rsidTr="0053274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12E77825"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3.1</w:t>
            </w:r>
          </w:p>
        </w:tc>
        <w:tc>
          <w:tcPr>
            <w:tcW w:w="2620" w:type="dxa"/>
            <w:vMerge w:val="restart"/>
            <w:tcBorders>
              <w:top w:val="single" w:sz="4" w:space="0" w:color="auto"/>
              <w:left w:val="single" w:sz="4" w:space="0" w:color="auto"/>
              <w:right w:val="single" w:sz="4" w:space="0" w:color="auto"/>
            </w:tcBorders>
            <w:vAlign w:val="center"/>
          </w:tcPr>
          <w:p w14:paraId="54F8CC20"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Średniorocznie</w:t>
            </w:r>
          </w:p>
        </w:tc>
        <w:tc>
          <w:tcPr>
            <w:tcW w:w="906" w:type="dxa"/>
            <w:tcBorders>
              <w:top w:val="single" w:sz="4" w:space="0" w:color="auto"/>
              <w:left w:val="single" w:sz="4" w:space="0" w:color="auto"/>
              <w:bottom w:val="single" w:sz="4" w:space="0" w:color="auto"/>
              <w:right w:val="single" w:sz="4" w:space="0" w:color="auto"/>
            </w:tcBorders>
            <w:vAlign w:val="center"/>
          </w:tcPr>
          <w:p w14:paraId="67BBD9AA"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2C9A3A22" w14:textId="3EE16E5B" w:rsidR="0083067C" w:rsidRPr="0083067C" w:rsidRDefault="00B92F45" w:rsidP="00B92F45">
            <w:pPr>
              <w:spacing w:before="60" w:after="20" w:line="288" w:lineRule="auto"/>
              <w:ind w:firstLine="0"/>
              <w:jc w:val="right"/>
              <w:rPr>
                <w:rFonts w:cs="Tahoma"/>
                <w:sz w:val="20"/>
                <w:szCs w:val="20"/>
              </w:rPr>
            </w:pPr>
            <w:r>
              <w:rPr>
                <w:rFonts w:cs="Tahoma"/>
                <w:sz w:val="20"/>
                <w:szCs w:val="20"/>
              </w:rPr>
              <w:t>10 870,7</w:t>
            </w:r>
          </w:p>
        </w:tc>
        <w:tc>
          <w:tcPr>
            <w:tcW w:w="1244" w:type="dxa"/>
            <w:tcBorders>
              <w:top w:val="single" w:sz="4" w:space="0" w:color="auto"/>
              <w:left w:val="single" w:sz="4" w:space="0" w:color="auto"/>
              <w:bottom w:val="single" w:sz="4" w:space="0" w:color="auto"/>
              <w:right w:val="single" w:sz="4" w:space="0" w:color="auto"/>
            </w:tcBorders>
          </w:tcPr>
          <w:p w14:paraId="33B4E8FE" w14:textId="3F3F4E7C" w:rsidR="0083067C" w:rsidRPr="0083067C" w:rsidRDefault="00B92F45" w:rsidP="00B92F45">
            <w:pPr>
              <w:spacing w:before="60" w:after="20" w:line="288" w:lineRule="auto"/>
              <w:ind w:firstLine="0"/>
              <w:jc w:val="right"/>
              <w:rPr>
                <w:rFonts w:cs="Tahoma"/>
                <w:sz w:val="20"/>
                <w:szCs w:val="20"/>
              </w:rPr>
            </w:pPr>
            <w:r>
              <w:rPr>
                <w:rFonts w:cs="Tahoma"/>
                <w:sz w:val="20"/>
                <w:szCs w:val="20"/>
              </w:rPr>
              <w:t>41</w:t>
            </w:r>
            <w:r w:rsidR="0083067C" w:rsidRPr="0083067C">
              <w:rPr>
                <w:rFonts w:cs="Tahoma"/>
                <w:sz w:val="20"/>
                <w:szCs w:val="20"/>
              </w:rPr>
              <w:t>,6</w:t>
            </w:r>
          </w:p>
        </w:tc>
        <w:tc>
          <w:tcPr>
            <w:tcW w:w="1244" w:type="dxa"/>
            <w:tcBorders>
              <w:top w:val="single" w:sz="4" w:space="0" w:color="auto"/>
              <w:left w:val="single" w:sz="4" w:space="0" w:color="auto"/>
              <w:bottom w:val="single" w:sz="4" w:space="0" w:color="auto"/>
              <w:right w:val="single" w:sz="4" w:space="0" w:color="auto"/>
            </w:tcBorders>
          </w:tcPr>
          <w:p w14:paraId="3E5B2C6B" w14:textId="2265BB26" w:rsidR="0083067C" w:rsidRPr="0083067C" w:rsidRDefault="00B92F45" w:rsidP="00B92F45">
            <w:pPr>
              <w:spacing w:before="60" w:after="20" w:line="288" w:lineRule="auto"/>
              <w:ind w:firstLine="0"/>
              <w:jc w:val="right"/>
              <w:rPr>
                <w:rFonts w:cs="Tahoma"/>
                <w:sz w:val="20"/>
                <w:szCs w:val="20"/>
              </w:rPr>
            </w:pPr>
            <w:r>
              <w:rPr>
                <w:rFonts w:cs="Tahoma"/>
                <w:sz w:val="20"/>
                <w:szCs w:val="20"/>
              </w:rPr>
              <w:t>9,5</w:t>
            </w:r>
          </w:p>
        </w:tc>
        <w:tc>
          <w:tcPr>
            <w:tcW w:w="1181" w:type="dxa"/>
            <w:tcBorders>
              <w:top w:val="single" w:sz="4" w:space="0" w:color="auto"/>
              <w:left w:val="single" w:sz="4" w:space="0" w:color="auto"/>
              <w:bottom w:val="single" w:sz="4" w:space="0" w:color="auto"/>
              <w:right w:val="single" w:sz="4" w:space="0" w:color="auto"/>
            </w:tcBorders>
            <w:vAlign w:val="center"/>
          </w:tcPr>
          <w:p w14:paraId="4AC3DE09" w14:textId="3FF8AE6E"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0,</w:t>
            </w:r>
            <w:r w:rsidR="00B92F45">
              <w:rPr>
                <w:rFonts w:cs="Tahoma"/>
                <w:sz w:val="20"/>
                <w:szCs w:val="20"/>
              </w:rPr>
              <w:t>27</w:t>
            </w:r>
          </w:p>
        </w:tc>
      </w:tr>
      <w:tr w:rsidR="0083067C" w:rsidRPr="00821AF6" w14:paraId="16DE2057" w14:textId="77777777" w:rsidTr="0053274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7C5B0EC1"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3.2</w:t>
            </w:r>
          </w:p>
        </w:tc>
        <w:tc>
          <w:tcPr>
            <w:tcW w:w="2620" w:type="dxa"/>
            <w:vMerge/>
            <w:tcBorders>
              <w:left w:val="single" w:sz="4" w:space="0" w:color="auto"/>
              <w:bottom w:val="single" w:sz="4" w:space="0" w:color="auto"/>
              <w:right w:val="single" w:sz="4" w:space="0" w:color="auto"/>
            </w:tcBorders>
            <w:vAlign w:val="center"/>
          </w:tcPr>
          <w:p w14:paraId="4C51F354"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14:paraId="7EF0C909"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765D5135" w14:textId="080BA193" w:rsidR="0083067C" w:rsidRPr="0083067C" w:rsidRDefault="00B92F45" w:rsidP="00B92F45">
            <w:pPr>
              <w:spacing w:before="60" w:after="20" w:line="288" w:lineRule="auto"/>
              <w:ind w:firstLine="0"/>
              <w:jc w:val="right"/>
              <w:rPr>
                <w:rFonts w:cs="Tahoma"/>
                <w:sz w:val="20"/>
                <w:szCs w:val="20"/>
              </w:rPr>
            </w:pPr>
            <w:r>
              <w:rPr>
                <w:rFonts w:cs="Tahoma"/>
                <w:sz w:val="20"/>
                <w:szCs w:val="20"/>
              </w:rPr>
              <w:t>2 465,8</w:t>
            </w:r>
          </w:p>
        </w:tc>
        <w:tc>
          <w:tcPr>
            <w:tcW w:w="1244" w:type="dxa"/>
            <w:tcBorders>
              <w:top w:val="single" w:sz="4" w:space="0" w:color="auto"/>
              <w:left w:val="single" w:sz="4" w:space="0" w:color="auto"/>
              <w:bottom w:val="single" w:sz="4" w:space="0" w:color="auto"/>
              <w:right w:val="single" w:sz="4" w:space="0" w:color="auto"/>
            </w:tcBorders>
          </w:tcPr>
          <w:p w14:paraId="750150AB" w14:textId="1E58345C" w:rsidR="0083067C" w:rsidRPr="0083067C" w:rsidRDefault="00B92F45" w:rsidP="00B92F45">
            <w:pPr>
              <w:spacing w:before="60" w:after="20" w:line="288" w:lineRule="auto"/>
              <w:ind w:firstLine="0"/>
              <w:jc w:val="right"/>
              <w:rPr>
                <w:rFonts w:cs="Tahoma"/>
                <w:sz w:val="20"/>
                <w:szCs w:val="20"/>
              </w:rPr>
            </w:pPr>
            <w:r>
              <w:rPr>
                <w:rFonts w:cs="Tahoma"/>
                <w:sz w:val="20"/>
                <w:szCs w:val="20"/>
              </w:rPr>
              <w:t>3 892,8</w:t>
            </w:r>
          </w:p>
        </w:tc>
        <w:tc>
          <w:tcPr>
            <w:tcW w:w="1244" w:type="dxa"/>
            <w:tcBorders>
              <w:top w:val="single" w:sz="4" w:space="0" w:color="auto"/>
              <w:left w:val="single" w:sz="4" w:space="0" w:color="auto"/>
              <w:bottom w:val="single" w:sz="4" w:space="0" w:color="auto"/>
              <w:right w:val="single" w:sz="4" w:space="0" w:color="auto"/>
            </w:tcBorders>
          </w:tcPr>
          <w:p w14:paraId="4E80980C" w14:textId="4DCFDE89" w:rsidR="0083067C" w:rsidRPr="0083067C" w:rsidRDefault="00B92F45" w:rsidP="00B92F45">
            <w:pPr>
              <w:spacing w:before="60" w:after="20" w:line="288" w:lineRule="auto"/>
              <w:ind w:firstLine="0"/>
              <w:jc w:val="right"/>
              <w:rPr>
                <w:rFonts w:cs="Tahoma"/>
                <w:sz w:val="20"/>
                <w:szCs w:val="20"/>
              </w:rPr>
            </w:pPr>
            <w:r>
              <w:rPr>
                <w:rFonts w:cs="Tahoma"/>
                <w:sz w:val="20"/>
                <w:szCs w:val="20"/>
              </w:rPr>
              <w:t>112,9</w:t>
            </w:r>
          </w:p>
        </w:tc>
        <w:tc>
          <w:tcPr>
            <w:tcW w:w="1181" w:type="dxa"/>
            <w:tcBorders>
              <w:top w:val="single" w:sz="4" w:space="0" w:color="auto"/>
              <w:left w:val="single" w:sz="4" w:space="0" w:color="auto"/>
              <w:bottom w:val="single" w:sz="4" w:space="0" w:color="auto"/>
              <w:right w:val="single" w:sz="4" w:space="0" w:color="auto"/>
            </w:tcBorders>
            <w:vAlign w:val="center"/>
          </w:tcPr>
          <w:p w14:paraId="3655DBCD" w14:textId="736D318C" w:rsidR="0083067C" w:rsidRPr="0083067C" w:rsidRDefault="00B92F45" w:rsidP="00B92F45">
            <w:pPr>
              <w:spacing w:before="60" w:after="20" w:line="288" w:lineRule="auto"/>
              <w:ind w:firstLine="0"/>
              <w:jc w:val="right"/>
              <w:rPr>
                <w:rFonts w:cs="Tahoma"/>
                <w:sz w:val="20"/>
                <w:szCs w:val="20"/>
              </w:rPr>
            </w:pPr>
            <w:r>
              <w:rPr>
                <w:rFonts w:cs="Tahoma"/>
                <w:sz w:val="20"/>
                <w:szCs w:val="20"/>
              </w:rPr>
              <w:t>434,9</w:t>
            </w:r>
          </w:p>
        </w:tc>
      </w:tr>
      <w:tr w:rsidR="0083067C" w:rsidRPr="00821AF6" w14:paraId="43F18C5D" w14:textId="77777777" w:rsidTr="0053274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628B6D6A"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3.3</w:t>
            </w:r>
          </w:p>
        </w:tc>
        <w:tc>
          <w:tcPr>
            <w:tcW w:w="2620" w:type="dxa"/>
            <w:vMerge w:val="restart"/>
            <w:tcBorders>
              <w:top w:val="single" w:sz="4" w:space="0" w:color="auto"/>
              <w:left w:val="single" w:sz="4" w:space="0" w:color="auto"/>
              <w:right w:val="single" w:sz="4" w:space="0" w:color="auto"/>
            </w:tcBorders>
            <w:vAlign w:val="center"/>
          </w:tcPr>
          <w:p w14:paraId="19F1641C"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Cały okres analizy</w:t>
            </w:r>
          </w:p>
        </w:tc>
        <w:tc>
          <w:tcPr>
            <w:tcW w:w="906" w:type="dxa"/>
            <w:tcBorders>
              <w:top w:val="single" w:sz="4" w:space="0" w:color="auto"/>
              <w:left w:val="single" w:sz="4" w:space="0" w:color="auto"/>
              <w:bottom w:val="single" w:sz="4" w:space="0" w:color="auto"/>
              <w:right w:val="single" w:sz="4" w:space="0" w:color="auto"/>
            </w:tcBorders>
          </w:tcPr>
          <w:p w14:paraId="5C9A4F86"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26E9C137" w14:textId="1FD1271E" w:rsidR="0083067C" w:rsidRPr="0083067C" w:rsidRDefault="00B92F45" w:rsidP="00B92F45">
            <w:pPr>
              <w:spacing w:before="60" w:after="20" w:line="288" w:lineRule="auto"/>
              <w:ind w:firstLine="0"/>
              <w:jc w:val="right"/>
              <w:rPr>
                <w:rFonts w:cs="Tahoma"/>
                <w:sz w:val="20"/>
                <w:szCs w:val="20"/>
              </w:rPr>
            </w:pPr>
            <w:r>
              <w:rPr>
                <w:rFonts w:cs="Tahoma"/>
                <w:sz w:val="20"/>
                <w:szCs w:val="20"/>
              </w:rPr>
              <w:t>173 931,3</w:t>
            </w:r>
          </w:p>
        </w:tc>
        <w:tc>
          <w:tcPr>
            <w:tcW w:w="1244" w:type="dxa"/>
            <w:tcBorders>
              <w:top w:val="single" w:sz="4" w:space="0" w:color="auto"/>
              <w:left w:val="single" w:sz="4" w:space="0" w:color="auto"/>
              <w:bottom w:val="single" w:sz="4" w:space="0" w:color="auto"/>
              <w:right w:val="single" w:sz="4" w:space="0" w:color="auto"/>
            </w:tcBorders>
          </w:tcPr>
          <w:p w14:paraId="70A62648" w14:textId="2084C199" w:rsidR="0083067C" w:rsidRPr="0083067C" w:rsidRDefault="00B92F45" w:rsidP="00B92F45">
            <w:pPr>
              <w:spacing w:before="60" w:after="20" w:line="288" w:lineRule="auto"/>
              <w:ind w:firstLine="0"/>
              <w:jc w:val="right"/>
              <w:rPr>
                <w:rFonts w:cs="Tahoma"/>
                <w:sz w:val="20"/>
                <w:szCs w:val="20"/>
              </w:rPr>
            </w:pPr>
            <w:r>
              <w:rPr>
                <w:rFonts w:cs="Tahoma"/>
                <w:sz w:val="20"/>
                <w:szCs w:val="20"/>
              </w:rPr>
              <w:t>665,3</w:t>
            </w:r>
          </w:p>
        </w:tc>
        <w:tc>
          <w:tcPr>
            <w:tcW w:w="1244" w:type="dxa"/>
            <w:tcBorders>
              <w:top w:val="single" w:sz="4" w:space="0" w:color="auto"/>
              <w:left w:val="single" w:sz="4" w:space="0" w:color="auto"/>
              <w:bottom w:val="single" w:sz="4" w:space="0" w:color="auto"/>
              <w:right w:val="single" w:sz="4" w:space="0" w:color="auto"/>
            </w:tcBorders>
          </w:tcPr>
          <w:p w14:paraId="3117870D" w14:textId="1B474309" w:rsidR="0083067C" w:rsidRPr="0083067C" w:rsidRDefault="00B92F45" w:rsidP="00B92F45">
            <w:pPr>
              <w:spacing w:before="60" w:after="20" w:line="288" w:lineRule="auto"/>
              <w:ind w:firstLine="0"/>
              <w:jc w:val="right"/>
              <w:rPr>
                <w:rFonts w:cs="Tahoma"/>
                <w:sz w:val="20"/>
                <w:szCs w:val="20"/>
              </w:rPr>
            </w:pPr>
            <w:r>
              <w:rPr>
                <w:rFonts w:cs="Tahoma"/>
                <w:sz w:val="20"/>
                <w:szCs w:val="20"/>
              </w:rPr>
              <w:t>152,0</w:t>
            </w:r>
          </w:p>
        </w:tc>
        <w:tc>
          <w:tcPr>
            <w:tcW w:w="1181" w:type="dxa"/>
            <w:tcBorders>
              <w:top w:val="single" w:sz="4" w:space="0" w:color="auto"/>
              <w:left w:val="single" w:sz="4" w:space="0" w:color="auto"/>
              <w:bottom w:val="single" w:sz="4" w:space="0" w:color="auto"/>
              <w:right w:val="single" w:sz="4" w:space="0" w:color="auto"/>
            </w:tcBorders>
            <w:vAlign w:val="center"/>
          </w:tcPr>
          <w:p w14:paraId="6EA4D0F7" w14:textId="4E66C16C" w:rsidR="0083067C" w:rsidRPr="0083067C" w:rsidRDefault="00B92F45" w:rsidP="00B92F45">
            <w:pPr>
              <w:spacing w:before="60" w:after="20" w:line="288" w:lineRule="auto"/>
              <w:ind w:firstLine="0"/>
              <w:jc w:val="right"/>
              <w:rPr>
                <w:rFonts w:cs="Tahoma"/>
                <w:sz w:val="20"/>
                <w:szCs w:val="20"/>
              </w:rPr>
            </w:pPr>
            <w:r>
              <w:rPr>
                <w:rFonts w:cs="Tahoma"/>
                <w:sz w:val="20"/>
                <w:szCs w:val="20"/>
              </w:rPr>
              <w:t>4,35</w:t>
            </w:r>
          </w:p>
        </w:tc>
      </w:tr>
      <w:tr w:rsidR="0083067C" w:rsidRPr="00821AF6" w14:paraId="565A25FF" w14:textId="77777777" w:rsidTr="0053274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24A2B6B6"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3.4</w:t>
            </w:r>
          </w:p>
        </w:tc>
        <w:tc>
          <w:tcPr>
            <w:tcW w:w="2620" w:type="dxa"/>
            <w:vMerge/>
            <w:tcBorders>
              <w:left w:val="single" w:sz="4" w:space="0" w:color="auto"/>
              <w:right w:val="single" w:sz="4" w:space="0" w:color="auto"/>
            </w:tcBorders>
          </w:tcPr>
          <w:p w14:paraId="11481F50"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tcPr>
          <w:p w14:paraId="16E60693"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1196E5F6" w14:textId="6373AFD7" w:rsidR="0083067C" w:rsidRPr="0083067C" w:rsidRDefault="00B92F45" w:rsidP="00B92F45">
            <w:pPr>
              <w:spacing w:before="60" w:after="20" w:line="288" w:lineRule="auto"/>
              <w:ind w:firstLine="0"/>
              <w:jc w:val="right"/>
              <w:rPr>
                <w:rFonts w:cs="Tahoma"/>
                <w:sz w:val="20"/>
                <w:szCs w:val="20"/>
              </w:rPr>
            </w:pPr>
            <w:r>
              <w:rPr>
                <w:rFonts w:cs="Tahoma"/>
                <w:sz w:val="20"/>
                <w:szCs w:val="20"/>
              </w:rPr>
              <w:t>39 452,9</w:t>
            </w:r>
          </w:p>
        </w:tc>
        <w:tc>
          <w:tcPr>
            <w:tcW w:w="1244" w:type="dxa"/>
            <w:tcBorders>
              <w:top w:val="single" w:sz="4" w:space="0" w:color="auto"/>
              <w:left w:val="single" w:sz="4" w:space="0" w:color="auto"/>
              <w:bottom w:val="single" w:sz="4" w:space="0" w:color="auto"/>
              <w:right w:val="single" w:sz="4" w:space="0" w:color="auto"/>
            </w:tcBorders>
          </w:tcPr>
          <w:p w14:paraId="6500B674" w14:textId="1572A7D3" w:rsidR="0083067C" w:rsidRPr="0083067C" w:rsidRDefault="00B92F45" w:rsidP="00B92F45">
            <w:pPr>
              <w:spacing w:before="60" w:after="20" w:line="288" w:lineRule="auto"/>
              <w:ind w:firstLine="0"/>
              <w:jc w:val="right"/>
              <w:rPr>
                <w:rFonts w:cs="Tahoma"/>
                <w:sz w:val="20"/>
                <w:szCs w:val="20"/>
              </w:rPr>
            </w:pPr>
            <w:r>
              <w:rPr>
                <w:rFonts w:cs="Tahoma"/>
                <w:sz w:val="20"/>
                <w:szCs w:val="20"/>
              </w:rPr>
              <w:t>62 284,4</w:t>
            </w:r>
          </w:p>
        </w:tc>
        <w:tc>
          <w:tcPr>
            <w:tcW w:w="1244" w:type="dxa"/>
            <w:tcBorders>
              <w:top w:val="single" w:sz="4" w:space="0" w:color="auto"/>
              <w:left w:val="single" w:sz="4" w:space="0" w:color="auto"/>
              <w:bottom w:val="single" w:sz="4" w:space="0" w:color="auto"/>
              <w:right w:val="single" w:sz="4" w:space="0" w:color="auto"/>
            </w:tcBorders>
          </w:tcPr>
          <w:p w14:paraId="676460CC" w14:textId="576E7FAF" w:rsidR="0083067C" w:rsidRPr="0083067C" w:rsidRDefault="00B92F45" w:rsidP="00B92F45">
            <w:pPr>
              <w:spacing w:before="60" w:after="20" w:line="288" w:lineRule="auto"/>
              <w:ind w:firstLine="0"/>
              <w:jc w:val="right"/>
              <w:rPr>
                <w:rFonts w:cs="Tahoma"/>
                <w:sz w:val="20"/>
                <w:szCs w:val="20"/>
              </w:rPr>
            </w:pPr>
            <w:r>
              <w:rPr>
                <w:rFonts w:cs="Tahoma"/>
                <w:sz w:val="20"/>
                <w:szCs w:val="20"/>
              </w:rPr>
              <w:t>1 806,3</w:t>
            </w:r>
          </w:p>
        </w:tc>
        <w:tc>
          <w:tcPr>
            <w:tcW w:w="1181" w:type="dxa"/>
            <w:tcBorders>
              <w:top w:val="single" w:sz="4" w:space="0" w:color="auto"/>
              <w:left w:val="single" w:sz="4" w:space="0" w:color="auto"/>
              <w:bottom w:val="single" w:sz="4" w:space="0" w:color="auto"/>
              <w:right w:val="single" w:sz="4" w:space="0" w:color="auto"/>
            </w:tcBorders>
            <w:vAlign w:val="center"/>
          </w:tcPr>
          <w:p w14:paraId="10E25817" w14:textId="114E4F7F" w:rsidR="0083067C" w:rsidRPr="0083067C" w:rsidRDefault="00B92F45" w:rsidP="00B92F45">
            <w:pPr>
              <w:spacing w:before="60" w:after="20" w:line="288" w:lineRule="auto"/>
              <w:ind w:firstLine="0"/>
              <w:jc w:val="right"/>
              <w:rPr>
                <w:rFonts w:cs="Tahoma"/>
                <w:sz w:val="20"/>
                <w:szCs w:val="20"/>
              </w:rPr>
            </w:pPr>
            <w:r>
              <w:rPr>
                <w:rFonts w:cs="Tahoma"/>
                <w:sz w:val="20"/>
                <w:szCs w:val="20"/>
              </w:rPr>
              <w:t>6 958,6</w:t>
            </w:r>
          </w:p>
        </w:tc>
      </w:tr>
      <w:tr w:rsidR="0083067C" w:rsidRPr="00821AF6" w14:paraId="09825033" w14:textId="77777777" w:rsidTr="004C19CE">
        <w:trPr>
          <w:cantSplit/>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7097F4" w14:textId="051C54F3" w:rsidR="0083067C" w:rsidRPr="00821AF6" w:rsidRDefault="0083067C" w:rsidP="00B92F45">
            <w:pPr>
              <w:spacing w:before="60" w:after="20" w:line="288" w:lineRule="auto"/>
              <w:ind w:firstLine="0"/>
              <w:jc w:val="center"/>
              <w:rPr>
                <w:rFonts w:cs="Tahoma"/>
                <w:b/>
                <w:sz w:val="20"/>
                <w:szCs w:val="20"/>
              </w:rPr>
            </w:pPr>
            <w:r w:rsidRPr="00821AF6">
              <w:rPr>
                <w:rFonts w:cs="Tahoma"/>
                <w:b/>
                <w:sz w:val="20"/>
                <w:szCs w:val="20"/>
              </w:rPr>
              <w:t xml:space="preserve">Różnica wysokości </w:t>
            </w:r>
            <w:r>
              <w:rPr>
                <w:rFonts w:cs="Tahoma"/>
                <w:b/>
                <w:sz w:val="20"/>
                <w:szCs w:val="20"/>
              </w:rPr>
              <w:t>emisji i jej kosztów</w:t>
            </w:r>
            <w:r>
              <w:rPr>
                <w:rFonts w:cs="Tahoma"/>
                <w:b/>
                <w:sz w:val="20"/>
                <w:szCs w:val="20"/>
              </w:rPr>
              <w:br/>
              <w:t>– wariant</w:t>
            </w:r>
            <w:r w:rsidR="00B92F45">
              <w:rPr>
                <w:rFonts w:cs="Tahoma"/>
                <w:b/>
                <w:sz w:val="20"/>
                <w:szCs w:val="20"/>
              </w:rPr>
              <w:t xml:space="preserve"> </w:t>
            </w:r>
            <w:r w:rsidRPr="00821AF6">
              <w:rPr>
                <w:rFonts w:cs="Tahoma"/>
                <w:b/>
                <w:sz w:val="20"/>
                <w:szCs w:val="20"/>
              </w:rPr>
              <w:t>elektryczny</w:t>
            </w:r>
            <w:r>
              <w:rPr>
                <w:rFonts w:cs="Tahoma"/>
                <w:b/>
                <w:sz w:val="20"/>
                <w:szCs w:val="20"/>
              </w:rPr>
              <w:t xml:space="preserve"> versus wariant</w:t>
            </w:r>
            <w:r w:rsidR="00B92F45">
              <w:rPr>
                <w:rFonts w:cs="Tahoma"/>
                <w:b/>
                <w:sz w:val="20"/>
                <w:szCs w:val="20"/>
              </w:rPr>
              <w:t xml:space="preserve"> konwencjonalny</w:t>
            </w:r>
          </w:p>
        </w:tc>
      </w:tr>
      <w:tr w:rsidR="0083067C" w:rsidRPr="00821AF6" w14:paraId="6A8605C2"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674B5EDC" w14:textId="2EEC79EF"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5.1</w:t>
            </w:r>
          </w:p>
        </w:tc>
        <w:tc>
          <w:tcPr>
            <w:tcW w:w="2620" w:type="dxa"/>
            <w:vMerge w:val="restart"/>
            <w:tcBorders>
              <w:top w:val="single" w:sz="4" w:space="0" w:color="auto"/>
              <w:left w:val="single" w:sz="4" w:space="0" w:color="auto"/>
              <w:right w:val="single" w:sz="4" w:space="0" w:color="auto"/>
            </w:tcBorders>
            <w:vAlign w:val="center"/>
          </w:tcPr>
          <w:p w14:paraId="51830FD0"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Średniorocznie</w:t>
            </w:r>
          </w:p>
        </w:tc>
        <w:tc>
          <w:tcPr>
            <w:tcW w:w="906" w:type="dxa"/>
            <w:tcBorders>
              <w:top w:val="single" w:sz="4" w:space="0" w:color="auto"/>
              <w:left w:val="single" w:sz="4" w:space="0" w:color="auto"/>
              <w:bottom w:val="single" w:sz="4" w:space="0" w:color="auto"/>
              <w:right w:val="single" w:sz="4" w:space="0" w:color="auto"/>
            </w:tcBorders>
            <w:vAlign w:val="center"/>
          </w:tcPr>
          <w:p w14:paraId="2C027C00"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765BD2E1" w14:textId="01C69F86"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w:t>
            </w:r>
            <w:r w:rsidR="00B92F45">
              <w:rPr>
                <w:rFonts w:cs="Tahoma"/>
                <w:sz w:val="20"/>
                <w:szCs w:val="20"/>
              </w:rPr>
              <w:t>991,0</w:t>
            </w:r>
          </w:p>
        </w:tc>
        <w:tc>
          <w:tcPr>
            <w:tcW w:w="1244" w:type="dxa"/>
            <w:tcBorders>
              <w:top w:val="single" w:sz="4" w:space="0" w:color="auto"/>
              <w:left w:val="single" w:sz="4" w:space="0" w:color="auto"/>
              <w:bottom w:val="single" w:sz="4" w:space="0" w:color="auto"/>
              <w:right w:val="single" w:sz="4" w:space="0" w:color="auto"/>
            </w:tcBorders>
          </w:tcPr>
          <w:p w14:paraId="3BB5FB7F" w14:textId="7905C0C1"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2,8</w:t>
            </w:r>
          </w:p>
        </w:tc>
        <w:tc>
          <w:tcPr>
            <w:tcW w:w="1244" w:type="dxa"/>
            <w:tcBorders>
              <w:top w:val="single" w:sz="4" w:space="0" w:color="auto"/>
              <w:left w:val="single" w:sz="4" w:space="0" w:color="auto"/>
              <w:bottom w:val="single" w:sz="4" w:space="0" w:color="auto"/>
              <w:right w:val="single" w:sz="4" w:space="0" w:color="auto"/>
            </w:tcBorders>
          </w:tcPr>
          <w:p w14:paraId="4F7E176B" w14:textId="165E120F"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1,3</w:t>
            </w:r>
          </w:p>
        </w:tc>
        <w:tc>
          <w:tcPr>
            <w:tcW w:w="1181" w:type="dxa"/>
            <w:tcBorders>
              <w:top w:val="single" w:sz="4" w:space="0" w:color="auto"/>
              <w:left w:val="single" w:sz="4" w:space="0" w:color="auto"/>
              <w:bottom w:val="single" w:sz="4" w:space="0" w:color="auto"/>
              <w:right w:val="single" w:sz="4" w:space="0" w:color="auto"/>
            </w:tcBorders>
            <w:vAlign w:val="center"/>
          </w:tcPr>
          <w:p w14:paraId="33554D5F" w14:textId="4DAC9429"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-0,0</w:t>
            </w:r>
            <w:r w:rsidR="00E87913">
              <w:rPr>
                <w:rFonts w:cs="Tahoma"/>
                <w:sz w:val="20"/>
                <w:szCs w:val="20"/>
              </w:rPr>
              <w:t>3</w:t>
            </w:r>
          </w:p>
        </w:tc>
      </w:tr>
      <w:tr w:rsidR="0083067C" w:rsidRPr="00821AF6" w14:paraId="172575E8"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3297D1EC" w14:textId="68BCB22E"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5.2</w:t>
            </w:r>
          </w:p>
        </w:tc>
        <w:tc>
          <w:tcPr>
            <w:tcW w:w="2620" w:type="dxa"/>
            <w:vMerge/>
            <w:tcBorders>
              <w:left w:val="single" w:sz="4" w:space="0" w:color="auto"/>
              <w:bottom w:val="single" w:sz="4" w:space="0" w:color="auto"/>
              <w:right w:val="single" w:sz="4" w:space="0" w:color="auto"/>
            </w:tcBorders>
            <w:vAlign w:val="center"/>
          </w:tcPr>
          <w:p w14:paraId="055D1A89"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14:paraId="5FCFBE67"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3FC85DF1" w14:textId="449426D0"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w:t>
            </w:r>
            <w:r w:rsidR="00B92F45">
              <w:rPr>
                <w:rFonts w:cs="Tahoma"/>
                <w:sz w:val="20"/>
                <w:szCs w:val="20"/>
              </w:rPr>
              <w:t>245,0</w:t>
            </w:r>
          </w:p>
        </w:tc>
        <w:tc>
          <w:tcPr>
            <w:tcW w:w="1244" w:type="dxa"/>
            <w:tcBorders>
              <w:top w:val="single" w:sz="4" w:space="0" w:color="auto"/>
              <w:left w:val="single" w:sz="4" w:space="0" w:color="auto"/>
              <w:bottom w:val="single" w:sz="4" w:space="0" w:color="auto"/>
              <w:right w:val="single" w:sz="4" w:space="0" w:color="auto"/>
            </w:tcBorders>
          </w:tcPr>
          <w:p w14:paraId="04C8CF4E" w14:textId="358B7D97"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282,2</w:t>
            </w:r>
          </w:p>
        </w:tc>
        <w:tc>
          <w:tcPr>
            <w:tcW w:w="1244" w:type="dxa"/>
            <w:tcBorders>
              <w:top w:val="single" w:sz="4" w:space="0" w:color="auto"/>
              <w:left w:val="single" w:sz="4" w:space="0" w:color="auto"/>
              <w:bottom w:val="single" w:sz="4" w:space="0" w:color="auto"/>
              <w:right w:val="single" w:sz="4" w:space="0" w:color="auto"/>
            </w:tcBorders>
          </w:tcPr>
          <w:p w14:paraId="26C59444" w14:textId="1AD56912"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17,2</w:t>
            </w:r>
          </w:p>
        </w:tc>
        <w:tc>
          <w:tcPr>
            <w:tcW w:w="1181" w:type="dxa"/>
            <w:tcBorders>
              <w:top w:val="single" w:sz="4" w:space="0" w:color="auto"/>
              <w:left w:val="single" w:sz="4" w:space="0" w:color="auto"/>
              <w:bottom w:val="single" w:sz="4" w:space="0" w:color="auto"/>
              <w:right w:val="single" w:sz="4" w:space="0" w:color="auto"/>
            </w:tcBorders>
            <w:vAlign w:val="center"/>
          </w:tcPr>
          <w:p w14:paraId="04D5BFA3" w14:textId="143F9B34"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47,4</w:t>
            </w:r>
          </w:p>
        </w:tc>
      </w:tr>
      <w:tr w:rsidR="0083067C" w:rsidRPr="00821AF6" w14:paraId="5883C3F0"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132906C6" w14:textId="39AC140A"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5.3</w:t>
            </w:r>
          </w:p>
        </w:tc>
        <w:tc>
          <w:tcPr>
            <w:tcW w:w="2620" w:type="dxa"/>
            <w:vMerge w:val="restart"/>
            <w:tcBorders>
              <w:top w:val="single" w:sz="4" w:space="0" w:color="auto"/>
              <w:left w:val="single" w:sz="4" w:space="0" w:color="auto"/>
              <w:right w:val="single" w:sz="4" w:space="0" w:color="auto"/>
            </w:tcBorders>
            <w:vAlign w:val="center"/>
          </w:tcPr>
          <w:p w14:paraId="27F583F7"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Cały okres analizy</w:t>
            </w:r>
          </w:p>
        </w:tc>
        <w:tc>
          <w:tcPr>
            <w:tcW w:w="906" w:type="dxa"/>
            <w:tcBorders>
              <w:top w:val="single" w:sz="4" w:space="0" w:color="auto"/>
              <w:left w:val="single" w:sz="4" w:space="0" w:color="auto"/>
              <w:bottom w:val="single" w:sz="4" w:space="0" w:color="auto"/>
              <w:right w:val="single" w:sz="4" w:space="0" w:color="auto"/>
            </w:tcBorders>
          </w:tcPr>
          <w:p w14:paraId="10D470C0"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40F63D4F" w14:textId="311D5663"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15 855,4</w:t>
            </w:r>
          </w:p>
        </w:tc>
        <w:tc>
          <w:tcPr>
            <w:tcW w:w="1244" w:type="dxa"/>
            <w:tcBorders>
              <w:top w:val="single" w:sz="4" w:space="0" w:color="auto"/>
              <w:left w:val="single" w:sz="4" w:space="0" w:color="auto"/>
              <w:bottom w:val="single" w:sz="4" w:space="0" w:color="auto"/>
              <w:right w:val="single" w:sz="4" w:space="0" w:color="auto"/>
            </w:tcBorders>
          </w:tcPr>
          <w:p w14:paraId="419AC515" w14:textId="2ED78A7F" w:rsidR="0083067C" w:rsidRPr="0083067C" w:rsidRDefault="00E87913" w:rsidP="00E87913">
            <w:pPr>
              <w:spacing w:before="60" w:after="20" w:line="288" w:lineRule="auto"/>
              <w:ind w:firstLine="0"/>
              <w:jc w:val="right"/>
              <w:rPr>
                <w:rFonts w:cs="Tahoma"/>
                <w:sz w:val="20"/>
                <w:szCs w:val="20"/>
              </w:rPr>
            </w:pPr>
            <w:r>
              <w:rPr>
                <w:rFonts w:cs="Tahoma"/>
                <w:sz w:val="20"/>
                <w:szCs w:val="20"/>
              </w:rPr>
              <w:t>-44,4</w:t>
            </w:r>
          </w:p>
        </w:tc>
        <w:tc>
          <w:tcPr>
            <w:tcW w:w="1244" w:type="dxa"/>
            <w:tcBorders>
              <w:top w:val="single" w:sz="4" w:space="0" w:color="auto"/>
              <w:left w:val="single" w:sz="4" w:space="0" w:color="auto"/>
              <w:bottom w:val="single" w:sz="4" w:space="0" w:color="auto"/>
              <w:right w:val="single" w:sz="4" w:space="0" w:color="auto"/>
            </w:tcBorders>
          </w:tcPr>
          <w:p w14:paraId="6987981C" w14:textId="3292AAF5"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20,9</w:t>
            </w:r>
          </w:p>
        </w:tc>
        <w:tc>
          <w:tcPr>
            <w:tcW w:w="1181" w:type="dxa"/>
            <w:tcBorders>
              <w:top w:val="single" w:sz="4" w:space="0" w:color="auto"/>
              <w:left w:val="single" w:sz="4" w:space="0" w:color="auto"/>
              <w:bottom w:val="single" w:sz="4" w:space="0" w:color="auto"/>
              <w:right w:val="single" w:sz="4" w:space="0" w:color="auto"/>
            </w:tcBorders>
            <w:vAlign w:val="center"/>
          </w:tcPr>
          <w:p w14:paraId="11E35014" w14:textId="0082F414"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-0,</w:t>
            </w:r>
            <w:r w:rsidR="00E87913">
              <w:rPr>
                <w:rFonts w:cs="Tahoma"/>
                <w:sz w:val="20"/>
                <w:szCs w:val="20"/>
              </w:rPr>
              <w:t>43</w:t>
            </w:r>
          </w:p>
        </w:tc>
      </w:tr>
      <w:tr w:rsidR="0083067C" w:rsidRPr="00821AF6" w14:paraId="759918EE" w14:textId="77777777" w:rsidTr="004C19C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5200C2A0" w14:textId="511D091A"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5.4</w:t>
            </w:r>
          </w:p>
        </w:tc>
        <w:tc>
          <w:tcPr>
            <w:tcW w:w="2620" w:type="dxa"/>
            <w:vMerge/>
            <w:tcBorders>
              <w:left w:val="single" w:sz="4" w:space="0" w:color="auto"/>
              <w:right w:val="single" w:sz="4" w:space="0" w:color="auto"/>
            </w:tcBorders>
          </w:tcPr>
          <w:p w14:paraId="0237584F"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tcPr>
          <w:p w14:paraId="20437C8F"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580E33B8" w14:textId="5F345D25"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3 919,6</w:t>
            </w:r>
          </w:p>
        </w:tc>
        <w:tc>
          <w:tcPr>
            <w:tcW w:w="1244" w:type="dxa"/>
            <w:tcBorders>
              <w:top w:val="single" w:sz="4" w:space="0" w:color="auto"/>
              <w:left w:val="single" w:sz="4" w:space="0" w:color="auto"/>
              <w:bottom w:val="single" w:sz="4" w:space="0" w:color="auto"/>
              <w:right w:val="single" w:sz="4" w:space="0" w:color="auto"/>
            </w:tcBorders>
          </w:tcPr>
          <w:p w14:paraId="33E30C69" w14:textId="06FF8C8D"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4 514,8</w:t>
            </w:r>
          </w:p>
        </w:tc>
        <w:tc>
          <w:tcPr>
            <w:tcW w:w="1244" w:type="dxa"/>
            <w:tcBorders>
              <w:top w:val="single" w:sz="4" w:space="0" w:color="auto"/>
              <w:left w:val="single" w:sz="4" w:space="0" w:color="auto"/>
              <w:bottom w:val="single" w:sz="4" w:space="0" w:color="auto"/>
              <w:right w:val="single" w:sz="4" w:space="0" w:color="auto"/>
            </w:tcBorders>
          </w:tcPr>
          <w:p w14:paraId="285FE792" w14:textId="2ACA938C"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275,0</w:t>
            </w:r>
          </w:p>
        </w:tc>
        <w:tc>
          <w:tcPr>
            <w:tcW w:w="1181" w:type="dxa"/>
            <w:tcBorders>
              <w:top w:val="single" w:sz="4" w:space="0" w:color="auto"/>
              <w:left w:val="single" w:sz="4" w:space="0" w:color="auto"/>
              <w:bottom w:val="single" w:sz="4" w:space="0" w:color="auto"/>
              <w:right w:val="single" w:sz="4" w:space="0" w:color="auto"/>
            </w:tcBorders>
            <w:vAlign w:val="center"/>
          </w:tcPr>
          <w:p w14:paraId="02439433" w14:textId="64361498"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759,0</w:t>
            </w:r>
          </w:p>
        </w:tc>
      </w:tr>
      <w:tr w:rsidR="0083067C" w:rsidRPr="00821AF6" w14:paraId="5A2AD529" w14:textId="77777777" w:rsidTr="0025196E">
        <w:trPr>
          <w:cantSplit/>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FA30B1" w14:textId="38BE4CCD" w:rsidR="0083067C" w:rsidRPr="0083067C" w:rsidRDefault="0083067C" w:rsidP="00B92F45">
            <w:pPr>
              <w:spacing w:before="60" w:after="20" w:line="288" w:lineRule="auto"/>
              <w:ind w:firstLine="0"/>
              <w:jc w:val="center"/>
              <w:rPr>
                <w:rFonts w:cs="Tahoma"/>
                <w:b/>
                <w:sz w:val="20"/>
                <w:szCs w:val="20"/>
              </w:rPr>
            </w:pPr>
            <w:r w:rsidRPr="00821AF6">
              <w:rPr>
                <w:rFonts w:cs="Tahoma"/>
                <w:b/>
                <w:sz w:val="20"/>
                <w:szCs w:val="20"/>
              </w:rPr>
              <w:t>O</w:t>
            </w:r>
            <w:r>
              <w:rPr>
                <w:rFonts w:cs="Tahoma"/>
                <w:b/>
                <w:sz w:val="20"/>
                <w:szCs w:val="20"/>
              </w:rPr>
              <w:t>graniczenie emisji w w</w:t>
            </w:r>
            <w:r w:rsidR="00B92F45">
              <w:rPr>
                <w:rFonts w:cs="Tahoma"/>
                <w:b/>
                <w:sz w:val="20"/>
                <w:szCs w:val="20"/>
              </w:rPr>
              <w:t>ariancie elektrycznym</w:t>
            </w:r>
            <w:r>
              <w:rPr>
                <w:rFonts w:cs="Tahoma"/>
                <w:b/>
                <w:sz w:val="20"/>
                <w:szCs w:val="20"/>
              </w:rPr>
              <w:br/>
            </w:r>
            <w:r w:rsidRPr="00821AF6">
              <w:rPr>
                <w:rFonts w:cs="Tahoma"/>
                <w:b/>
                <w:sz w:val="20"/>
                <w:szCs w:val="20"/>
              </w:rPr>
              <w:t xml:space="preserve">w porównaniu do wariantu </w:t>
            </w:r>
            <w:r w:rsidR="00B92F45">
              <w:rPr>
                <w:rFonts w:cs="Tahoma"/>
                <w:b/>
                <w:sz w:val="20"/>
                <w:szCs w:val="20"/>
              </w:rPr>
              <w:t>konwencjonalnego</w:t>
            </w:r>
            <w:r w:rsidRPr="00821AF6">
              <w:rPr>
                <w:rFonts w:cs="Tahoma"/>
                <w:b/>
                <w:sz w:val="20"/>
                <w:szCs w:val="20"/>
              </w:rPr>
              <w:t xml:space="preserve"> [%]</w:t>
            </w:r>
          </w:p>
        </w:tc>
      </w:tr>
      <w:tr w:rsidR="0083067C" w:rsidRPr="00821AF6" w14:paraId="5B6A2F85" w14:textId="77777777" w:rsidTr="0025196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38405E16" w14:textId="41A22595"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6.1</w:t>
            </w:r>
          </w:p>
        </w:tc>
        <w:tc>
          <w:tcPr>
            <w:tcW w:w="2620" w:type="dxa"/>
            <w:vMerge w:val="restart"/>
            <w:tcBorders>
              <w:top w:val="single" w:sz="4" w:space="0" w:color="auto"/>
              <w:left w:val="single" w:sz="4" w:space="0" w:color="auto"/>
              <w:right w:val="single" w:sz="4" w:space="0" w:color="auto"/>
            </w:tcBorders>
            <w:vAlign w:val="center"/>
          </w:tcPr>
          <w:p w14:paraId="186643D1"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Średniorocznie</w:t>
            </w:r>
          </w:p>
        </w:tc>
        <w:tc>
          <w:tcPr>
            <w:tcW w:w="906" w:type="dxa"/>
            <w:tcBorders>
              <w:top w:val="single" w:sz="4" w:space="0" w:color="auto"/>
              <w:left w:val="single" w:sz="4" w:space="0" w:color="auto"/>
              <w:bottom w:val="single" w:sz="4" w:space="0" w:color="auto"/>
              <w:right w:val="single" w:sz="4" w:space="0" w:color="auto"/>
            </w:tcBorders>
            <w:vAlign w:val="center"/>
          </w:tcPr>
          <w:p w14:paraId="264469E4"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299F15D0" w14:textId="491A56DF"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8,4</w:t>
            </w:r>
          </w:p>
        </w:tc>
        <w:tc>
          <w:tcPr>
            <w:tcW w:w="1244" w:type="dxa"/>
            <w:tcBorders>
              <w:top w:val="single" w:sz="4" w:space="0" w:color="auto"/>
              <w:left w:val="single" w:sz="4" w:space="0" w:color="auto"/>
              <w:bottom w:val="single" w:sz="4" w:space="0" w:color="auto"/>
              <w:right w:val="single" w:sz="4" w:space="0" w:color="auto"/>
            </w:tcBorders>
          </w:tcPr>
          <w:p w14:paraId="57149910" w14:textId="22E6925D"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6,3</w:t>
            </w:r>
          </w:p>
        </w:tc>
        <w:tc>
          <w:tcPr>
            <w:tcW w:w="1244" w:type="dxa"/>
            <w:tcBorders>
              <w:top w:val="single" w:sz="4" w:space="0" w:color="auto"/>
              <w:left w:val="single" w:sz="4" w:space="0" w:color="auto"/>
              <w:bottom w:val="single" w:sz="4" w:space="0" w:color="auto"/>
              <w:right w:val="single" w:sz="4" w:space="0" w:color="auto"/>
            </w:tcBorders>
          </w:tcPr>
          <w:p w14:paraId="4C40E61C" w14:textId="478CBDF1"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12,1</w:t>
            </w:r>
          </w:p>
        </w:tc>
        <w:tc>
          <w:tcPr>
            <w:tcW w:w="1181" w:type="dxa"/>
            <w:tcBorders>
              <w:top w:val="single" w:sz="4" w:space="0" w:color="auto"/>
              <w:left w:val="single" w:sz="4" w:space="0" w:color="auto"/>
              <w:bottom w:val="single" w:sz="4" w:space="0" w:color="auto"/>
              <w:right w:val="single" w:sz="4" w:space="0" w:color="auto"/>
            </w:tcBorders>
            <w:vAlign w:val="center"/>
          </w:tcPr>
          <w:p w14:paraId="70C89E34" w14:textId="0669A8D4"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9,0</w:t>
            </w:r>
          </w:p>
        </w:tc>
      </w:tr>
      <w:tr w:rsidR="0083067C" w:rsidRPr="00821AF6" w14:paraId="151864B0" w14:textId="77777777" w:rsidTr="0025196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13ADDA42" w14:textId="06F710E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6.2</w:t>
            </w:r>
          </w:p>
        </w:tc>
        <w:tc>
          <w:tcPr>
            <w:tcW w:w="2620" w:type="dxa"/>
            <w:vMerge/>
            <w:tcBorders>
              <w:left w:val="single" w:sz="4" w:space="0" w:color="auto"/>
              <w:bottom w:val="single" w:sz="4" w:space="0" w:color="auto"/>
              <w:right w:val="single" w:sz="4" w:space="0" w:color="auto"/>
            </w:tcBorders>
            <w:vAlign w:val="center"/>
          </w:tcPr>
          <w:p w14:paraId="0F9AE0C2"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14:paraId="43AD3098"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662E00F2" w14:textId="2719C4C1"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9,0</w:t>
            </w:r>
          </w:p>
        </w:tc>
        <w:tc>
          <w:tcPr>
            <w:tcW w:w="1244" w:type="dxa"/>
            <w:tcBorders>
              <w:top w:val="single" w:sz="4" w:space="0" w:color="auto"/>
              <w:left w:val="single" w:sz="4" w:space="0" w:color="auto"/>
              <w:bottom w:val="single" w:sz="4" w:space="0" w:color="auto"/>
              <w:right w:val="single" w:sz="4" w:space="0" w:color="auto"/>
            </w:tcBorders>
          </w:tcPr>
          <w:p w14:paraId="0DE739EE" w14:textId="78C57E1E"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-6,</w:t>
            </w:r>
            <w:r w:rsidR="00E87913">
              <w:rPr>
                <w:rFonts w:cs="Tahoma"/>
                <w:sz w:val="20"/>
                <w:szCs w:val="20"/>
              </w:rPr>
              <w:t>8</w:t>
            </w:r>
          </w:p>
        </w:tc>
        <w:tc>
          <w:tcPr>
            <w:tcW w:w="1244" w:type="dxa"/>
            <w:tcBorders>
              <w:top w:val="single" w:sz="4" w:space="0" w:color="auto"/>
              <w:left w:val="single" w:sz="4" w:space="0" w:color="auto"/>
              <w:bottom w:val="single" w:sz="4" w:space="0" w:color="auto"/>
              <w:right w:val="single" w:sz="4" w:space="0" w:color="auto"/>
            </w:tcBorders>
          </w:tcPr>
          <w:p w14:paraId="7AA61628" w14:textId="29F779CB"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13,2</w:t>
            </w:r>
          </w:p>
        </w:tc>
        <w:tc>
          <w:tcPr>
            <w:tcW w:w="1181" w:type="dxa"/>
            <w:tcBorders>
              <w:top w:val="single" w:sz="4" w:space="0" w:color="auto"/>
              <w:left w:val="single" w:sz="4" w:space="0" w:color="auto"/>
              <w:bottom w:val="single" w:sz="4" w:space="0" w:color="auto"/>
              <w:right w:val="single" w:sz="4" w:space="0" w:color="auto"/>
            </w:tcBorders>
            <w:vAlign w:val="center"/>
          </w:tcPr>
          <w:p w14:paraId="50ACED4C" w14:textId="65F63B1C"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9</w:t>
            </w:r>
            <w:r w:rsidRPr="0083067C">
              <w:rPr>
                <w:rFonts w:cs="Tahoma"/>
                <w:sz w:val="20"/>
                <w:szCs w:val="20"/>
              </w:rPr>
              <w:t>,8</w:t>
            </w:r>
          </w:p>
        </w:tc>
      </w:tr>
      <w:tr w:rsidR="0083067C" w:rsidRPr="00821AF6" w14:paraId="587C46F2" w14:textId="77777777" w:rsidTr="0025196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63DB72E0" w14:textId="4D916EB8"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lastRenderedPageBreak/>
              <w:t>6.3</w:t>
            </w:r>
          </w:p>
        </w:tc>
        <w:tc>
          <w:tcPr>
            <w:tcW w:w="2620" w:type="dxa"/>
            <w:vMerge w:val="restart"/>
            <w:tcBorders>
              <w:top w:val="single" w:sz="4" w:space="0" w:color="auto"/>
              <w:left w:val="single" w:sz="4" w:space="0" w:color="auto"/>
              <w:right w:val="single" w:sz="4" w:space="0" w:color="auto"/>
            </w:tcBorders>
            <w:vAlign w:val="center"/>
          </w:tcPr>
          <w:p w14:paraId="74D2EB64"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Cały okres analizy</w:t>
            </w:r>
          </w:p>
        </w:tc>
        <w:tc>
          <w:tcPr>
            <w:tcW w:w="906" w:type="dxa"/>
            <w:tcBorders>
              <w:top w:val="single" w:sz="4" w:space="0" w:color="auto"/>
              <w:left w:val="single" w:sz="4" w:space="0" w:color="auto"/>
              <w:bottom w:val="single" w:sz="4" w:space="0" w:color="auto"/>
              <w:right w:val="single" w:sz="4" w:space="0" w:color="auto"/>
            </w:tcBorders>
          </w:tcPr>
          <w:p w14:paraId="5A9D4A5F"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5F3AFFD8" w14:textId="5831AE88"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8,4</w:t>
            </w:r>
          </w:p>
        </w:tc>
        <w:tc>
          <w:tcPr>
            <w:tcW w:w="1244" w:type="dxa"/>
            <w:tcBorders>
              <w:top w:val="single" w:sz="4" w:space="0" w:color="auto"/>
              <w:left w:val="single" w:sz="4" w:space="0" w:color="auto"/>
              <w:bottom w:val="single" w:sz="4" w:space="0" w:color="auto"/>
              <w:right w:val="single" w:sz="4" w:space="0" w:color="auto"/>
            </w:tcBorders>
          </w:tcPr>
          <w:p w14:paraId="7575D96E" w14:textId="2C3680E1"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6,3</w:t>
            </w:r>
          </w:p>
        </w:tc>
        <w:tc>
          <w:tcPr>
            <w:tcW w:w="1244" w:type="dxa"/>
            <w:tcBorders>
              <w:top w:val="single" w:sz="4" w:space="0" w:color="auto"/>
              <w:left w:val="single" w:sz="4" w:space="0" w:color="auto"/>
              <w:bottom w:val="single" w:sz="4" w:space="0" w:color="auto"/>
              <w:right w:val="single" w:sz="4" w:space="0" w:color="auto"/>
            </w:tcBorders>
          </w:tcPr>
          <w:p w14:paraId="45235A9B" w14:textId="5948461C"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12,1</w:t>
            </w:r>
          </w:p>
        </w:tc>
        <w:tc>
          <w:tcPr>
            <w:tcW w:w="1181" w:type="dxa"/>
            <w:tcBorders>
              <w:top w:val="single" w:sz="4" w:space="0" w:color="auto"/>
              <w:left w:val="single" w:sz="4" w:space="0" w:color="auto"/>
              <w:bottom w:val="single" w:sz="4" w:space="0" w:color="auto"/>
              <w:right w:val="single" w:sz="4" w:space="0" w:color="auto"/>
            </w:tcBorders>
            <w:vAlign w:val="center"/>
          </w:tcPr>
          <w:p w14:paraId="7857B9B5" w14:textId="76CC2B2A"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9,0</w:t>
            </w:r>
          </w:p>
        </w:tc>
      </w:tr>
      <w:tr w:rsidR="0083067C" w:rsidRPr="00821AF6" w14:paraId="643C0E4F" w14:textId="77777777" w:rsidTr="0025196E">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32BA84DC" w14:textId="5268AC8B"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6.4</w:t>
            </w:r>
          </w:p>
        </w:tc>
        <w:tc>
          <w:tcPr>
            <w:tcW w:w="2620" w:type="dxa"/>
            <w:vMerge/>
            <w:tcBorders>
              <w:left w:val="single" w:sz="4" w:space="0" w:color="auto"/>
              <w:right w:val="single" w:sz="4" w:space="0" w:color="auto"/>
            </w:tcBorders>
          </w:tcPr>
          <w:p w14:paraId="3887C8AF"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tcPr>
          <w:p w14:paraId="4C2AB678"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1DA6EBB8" w14:textId="1E465CF3"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9,0</w:t>
            </w:r>
          </w:p>
        </w:tc>
        <w:tc>
          <w:tcPr>
            <w:tcW w:w="1244" w:type="dxa"/>
            <w:tcBorders>
              <w:top w:val="single" w:sz="4" w:space="0" w:color="auto"/>
              <w:left w:val="single" w:sz="4" w:space="0" w:color="auto"/>
              <w:bottom w:val="single" w:sz="4" w:space="0" w:color="auto"/>
              <w:right w:val="single" w:sz="4" w:space="0" w:color="auto"/>
            </w:tcBorders>
          </w:tcPr>
          <w:p w14:paraId="27ADA852" w14:textId="540438CC"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-6,</w:t>
            </w:r>
            <w:r w:rsidR="00E87913">
              <w:rPr>
                <w:rFonts w:cs="Tahoma"/>
                <w:sz w:val="20"/>
                <w:szCs w:val="20"/>
              </w:rPr>
              <w:t>8</w:t>
            </w:r>
          </w:p>
        </w:tc>
        <w:tc>
          <w:tcPr>
            <w:tcW w:w="1244" w:type="dxa"/>
            <w:tcBorders>
              <w:top w:val="single" w:sz="4" w:space="0" w:color="auto"/>
              <w:left w:val="single" w:sz="4" w:space="0" w:color="auto"/>
              <w:bottom w:val="single" w:sz="4" w:space="0" w:color="auto"/>
              <w:right w:val="single" w:sz="4" w:space="0" w:color="auto"/>
            </w:tcBorders>
          </w:tcPr>
          <w:p w14:paraId="4C1F074A" w14:textId="544F2314"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13,2</w:t>
            </w:r>
          </w:p>
        </w:tc>
        <w:tc>
          <w:tcPr>
            <w:tcW w:w="1181" w:type="dxa"/>
            <w:tcBorders>
              <w:top w:val="single" w:sz="4" w:space="0" w:color="auto"/>
              <w:left w:val="single" w:sz="4" w:space="0" w:color="auto"/>
              <w:bottom w:val="single" w:sz="4" w:space="0" w:color="auto"/>
              <w:right w:val="single" w:sz="4" w:space="0" w:color="auto"/>
            </w:tcBorders>
            <w:vAlign w:val="center"/>
          </w:tcPr>
          <w:p w14:paraId="5D676FE2" w14:textId="5A50958E"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9</w:t>
            </w:r>
            <w:r w:rsidRPr="0083067C">
              <w:rPr>
                <w:rFonts w:cs="Tahoma"/>
                <w:sz w:val="20"/>
                <w:szCs w:val="20"/>
              </w:rPr>
              <w:t>,8</w:t>
            </w:r>
          </w:p>
        </w:tc>
      </w:tr>
      <w:tr w:rsidR="00E87913" w:rsidRPr="00821AF6" w14:paraId="34FC99A4" w14:textId="77777777" w:rsidTr="0087459C">
        <w:trPr>
          <w:cantSplit/>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E597C7" w14:textId="518C0B4E" w:rsidR="00E87913" w:rsidRPr="0083067C" w:rsidRDefault="00E87913" w:rsidP="00E87913">
            <w:pPr>
              <w:spacing w:before="60" w:after="20" w:line="288" w:lineRule="auto"/>
              <w:ind w:firstLine="0"/>
              <w:jc w:val="center"/>
              <w:rPr>
                <w:rFonts w:cs="Tahoma"/>
                <w:b/>
                <w:sz w:val="20"/>
                <w:szCs w:val="20"/>
              </w:rPr>
            </w:pPr>
            <w:r>
              <w:rPr>
                <w:rFonts w:cs="Tahoma"/>
                <w:b/>
                <w:sz w:val="20"/>
                <w:szCs w:val="20"/>
              </w:rPr>
              <w:t>Wariant wodorowy</w:t>
            </w:r>
          </w:p>
        </w:tc>
      </w:tr>
      <w:tr w:rsidR="00E87913" w:rsidRPr="00821AF6" w14:paraId="6D5428DE" w14:textId="77777777" w:rsidTr="0087459C">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599EF514" w14:textId="77777777" w:rsidR="00E87913" w:rsidRPr="00821AF6" w:rsidRDefault="00E87913" w:rsidP="0087459C">
            <w:pPr>
              <w:spacing w:before="60" w:after="20" w:line="288" w:lineRule="auto"/>
              <w:ind w:firstLine="0"/>
              <w:jc w:val="center"/>
              <w:rPr>
                <w:rFonts w:cs="Tahoma"/>
                <w:sz w:val="20"/>
                <w:szCs w:val="20"/>
              </w:rPr>
            </w:pPr>
            <w:r w:rsidRPr="00821AF6">
              <w:rPr>
                <w:rFonts w:cs="Tahoma"/>
                <w:sz w:val="20"/>
                <w:szCs w:val="20"/>
              </w:rPr>
              <w:t>3.1</w:t>
            </w:r>
          </w:p>
        </w:tc>
        <w:tc>
          <w:tcPr>
            <w:tcW w:w="2620" w:type="dxa"/>
            <w:vMerge w:val="restart"/>
            <w:tcBorders>
              <w:top w:val="single" w:sz="4" w:space="0" w:color="auto"/>
              <w:left w:val="single" w:sz="4" w:space="0" w:color="auto"/>
              <w:right w:val="single" w:sz="4" w:space="0" w:color="auto"/>
            </w:tcBorders>
            <w:vAlign w:val="center"/>
          </w:tcPr>
          <w:p w14:paraId="422CEB90" w14:textId="77777777" w:rsidR="00E87913" w:rsidRPr="00821AF6" w:rsidRDefault="00E87913" w:rsidP="0087459C">
            <w:pPr>
              <w:spacing w:before="60" w:after="20" w:line="288" w:lineRule="auto"/>
              <w:ind w:firstLine="0"/>
              <w:jc w:val="left"/>
              <w:rPr>
                <w:rFonts w:cs="Tahoma"/>
                <w:sz w:val="20"/>
                <w:szCs w:val="20"/>
              </w:rPr>
            </w:pPr>
            <w:r w:rsidRPr="00821AF6">
              <w:rPr>
                <w:rFonts w:cs="Tahoma"/>
                <w:sz w:val="20"/>
                <w:szCs w:val="20"/>
              </w:rPr>
              <w:t>Średniorocznie</w:t>
            </w:r>
          </w:p>
        </w:tc>
        <w:tc>
          <w:tcPr>
            <w:tcW w:w="906" w:type="dxa"/>
            <w:tcBorders>
              <w:top w:val="single" w:sz="4" w:space="0" w:color="auto"/>
              <w:left w:val="single" w:sz="4" w:space="0" w:color="auto"/>
              <w:bottom w:val="single" w:sz="4" w:space="0" w:color="auto"/>
              <w:right w:val="single" w:sz="4" w:space="0" w:color="auto"/>
            </w:tcBorders>
            <w:vAlign w:val="center"/>
          </w:tcPr>
          <w:p w14:paraId="5055D159" w14:textId="77777777" w:rsidR="00E87913" w:rsidRPr="00821AF6" w:rsidRDefault="00E87913" w:rsidP="0087459C">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074D1B9A" w14:textId="22E3984B" w:rsidR="00E87913" w:rsidRPr="0083067C" w:rsidRDefault="00E87913" w:rsidP="00E87913">
            <w:pPr>
              <w:spacing w:before="60" w:after="20" w:line="288" w:lineRule="auto"/>
              <w:ind w:firstLine="0"/>
              <w:jc w:val="right"/>
              <w:rPr>
                <w:rFonts w:cs="Tahoma"/>
                <w:sz w:val="20"/>
                <w:szCs w:val="20"/>
              </w:rPr>
            </w:pPr>
            <w:r>
              <w:rPr>
                <w:rFonts w:cs="Tahoma"/>
                <w:sz w:val="20"/>
                <w:szCs w:val="20"/>
              </w:rPr>
              <w:t>10 743,6</w:t>
            </w:r>
          </w:p>
        </w:tc>
        <w:tc>
          <w:tcPr>
            <w:tcW w:w="1244" w:type="dxa"/>
            <w:tcBorders>
              <w:top w:val="single" w:sz="4" w:space="0" w:color="auto"/>
              <w:left w:val="single" w:sz="4" w:space="0" w:color="auto"/>
              <w:bottom w:val="single" w:sz="4" w:space="0" w:color="auto"/>
              <w:right w:val="single" w:sz="4" w:space="0" w:color="auto"/>
            </w:tcBorders>
          </w:tcPr>
          <w:p w14:paraId="34289560" w14:textId="3E3BDC96" w:rsidR="00E87913" w:rsidRPr="0083067C" w:rsidRDefault="00E87913" w:rsidP="00E87913">
            <w:pPr>
              <w:spacing w:before="60" w:after="20" w:line="288" w:lineRule="auto"/>
              <w:ind w:firstLine="0"/>
              <w:jc w:val="right"/>
              <w:rPr>
                <w:rFonts w:cs="Tahoma"/>
                <w:sz w:val="20"/>
                <w:szCs w:val="20"/>
              </w:rPr>
            </w:pPr>
            <w:r>
              <w:rPr>
                <w:rFonts w:cs="Tahoma"/>
                <w:sz w:val="20"/>
                <w:szCs w:val="20"/>
              </w:rPr>
              <w:t>41</w:t>
            </w:r>
            <w:r w:rsidRPr="0083067C">
              <w:rPr>
                <w:rFonts w:cs="Tahoma"/>
                <w:sz w:val="20"/>
                <w:szCs w:val="20"/>
              </w:rPr>
              <w:t>,</w:t>
            </w:r>
            <w:r>
              <w:rPr>
                <w:rFonts w:cs="Tahoma"/>
                <w:sz w:val="20"/>
                <w:szCs w:val="20"/>
              </w:rPr>
              <w:t>2</w:t>
            </w:r>
          </w:p>
        </w:tc>
        <w:tc>
          <w:tcPr>
            <w:tcW w:w="1244" w:type="dxa"/>
            <w:tcBorders>
              <w:top w:val="single" w:sz="4" w:space="0" w:color="auto"/>
              <w:left w:val="single" w:sz="4" w:space="0" w:color="auto"/>
              <w:bottom w:val="single" w:sz="4" w:space="0" w:color="auto"/>
              <w:right w:val="single" w:sz="4" w:space="0" w:color="auto"/>
            </w:tcBorders>
          </w:tcPr>
          <w:p w14:paraId="13F740B8" w14:textId="77777777" w:rsidR="00E87913" w:rsidRPr="0083067C" w:rsidRDefault="00E87913" w:rsidP="0087459C">
            <w:pPr>
              <w:spacing w:before="60" w:after="20" w:line="288" w:lineRule="auto"/>
              <w:ind w:firstLine="0"/>
              <w:jc w:val="right"/>
              <w:rPr>
                <w:rFonts w:cs="Tahoma"/>
                <w:sz w:val="20"/>
                <w:szCs w:val="20"/>
              </w:rPr>
            </w:pPr>
            <w:r>
              <w:rPr>
                <w:rFonts w:cs="Tahoma"/>
                <w:sz w:val="20"/>
                <w:szCs w:val="20"/>
              </w:rPr>
              <w:t>9,5</w:t>
            </w:r>
          </w:p>
        </w:tc>
        <w:tc>
          <w:tcPr>
            <w:tcW w:w="1181" w:type="dxa"/>
            <w:tcBorders>
              <w:top w:val="single" w:sz="4" w:space="0" w:color="auto"/>
              <w:left w:val="single" w:sz="4" w:space="0" w:color="auto"/>
              <w:bottom w:val="single" w:sz="4" w:space="0" w:color="auto"/>
              <w:right w:val="single" w:sz="4" w:space="0" w:color="auto"/>
            </w:tcBorders>
            <w:vAlign w:val="center"/>
          </w:tcPr>
          <w:p w14:paraId="0F7A9934" w14:textId="244E981A" w:rsidR="00E87913" w:rsidRPr="0083067C" w:rsidRDefault="00E87913" w:rsidP="00E87913">
            <w:pPr>
              <w:spacing w:before="60" w:after="20" w:line="288" w:lineRule="auto"/>
              <w:ind w:firstLine="0"/>
              <w:jc w:val="right"/>
              <w:rPr>
                <w:rFonts w:cs="Tahoma"/>
                <w:sz w:val="20"/>
                <w:szCs w:val="20"/>
              </w:rPr>
            </w:pPr>
            <w:r w:rsidRPr="0083067C">
              <w:rPr>
                <w:rFonts w:cs="Tahoma"/>
                <w:sz w:val="20"/>
                <w:szCs w:val="20"/>
              </w:rPr>
              <w:t>0,</w:t>
            </w:r>
            <w:r>
              <w:rPr>
                <w:rFonts w:cs="Tahoma"/>
                <w:sz w:val="20"/>
                <w:szCs w:val="20"/>
              </w:rPr>
              <w:t>26</w:t>
            </w:r>
          </w:p>
        </w:tc>
      </w:tr>
      <w:tr w:rsidR="00E87913" w:rsidRPr="00821AF6" w14:paraId="65B77674" w14:textId="77777777" w:rsidTr="0087459C">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50B0C9B4" w14:textId="77777777" w:rsidR="00E87913" w:rsidRPr="00821AF6" w:rsidRDefault="00E87913" w:rsidP="0087459C">
            <w:pPr>
              <w:spacing w:before="60" w:after="20" w:line="288" w:lineRule="auto"/>
              <w:ind w:firstLine="0"/>
              <w:jc w:val="center"/>
              <w:rPr>
                <w:rFonts w:cs="Tahoma"/>
                <w:sz w:val="20"/>
                <w:szCs w:val="20"/>
              </w:rPr>
            </w:pPr>
            <w:r w:rsidRPr="00821AF6">
              <w:rPr>
                <w:rFonts w:cs="Tahoma"/>
                <w:sz w:val="20"/>
                <w:szCs w:val="20"/>
              </w:rPr>
              <w:t>3.2</w:t>
            </w:r>
          </w:p>
        </w:tc>
        <w:tc>
          <w:tcPr>
            <w:tcW w:w="2620" w:type="dxa"/>
            <w:vMerge/>
            <w:tcBorders>
              <w:left w:val="single" w:sz="4" w:space="0" w:color="auto"/>
              <w:bottom w:val="single" w:sz="4" w:space="0" w:color="auto"/>
              <w:right w:val="single" w:sz="4" w:space="0" w:color="auto"/>
            </w:tcBorders>
            <w:vAlign w:val="center"/>
          </w:tcPr>
          <w:p w14:paraId="2936DE60" w14:textId="77777777" w:rsidR="00E87913" w:rsidRPr="00821AF6" w:rsidRDefault="00E87913" w:rsidP="0087459C">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14:paraId="38FDD680" w14:textId="77777777" w:rsidR="00E87913" w:rsidRPr="00821AF6" w:rsidRDefault="00E87913" w:rsidP="0087459C">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7D1ACD3B" w14:textId="5750330F" w:rsidR="00E87913" w:rsidRPr="0083067C" w:rsidRDefault="00E87913" w:rsidP="00E87913">
            <w:pPr>
              <w:spacing w:before="60" w:after="20" w:line="288" w:lineRule="auto"/>
              <w:ind w:firstLine="0"/>
              <w:jc w:val="right"/>
              <w:rPr>
                <w:rFonts w:cs="Tahoma"/>
                <w:sz w:val="20"/>
                <w:szCs w:val="20"/>
              </w:rPr>
            </w:pPr>
            <w:r>
              <w:rPr>
                <w:rFonts w:cs="Tahoma"/>
                <w:sz w:val="20"/>
                <w:szCs w:val="20"/>
              </w:rPr>
              <w:t>2 434,3</w:t>
            </w:r>
          </w:p>
        </w:tc>
        <w:tc>
          <w:tcPr>
            <w:tcW w:w="1244" w:type="dxa"/>
            <w:tcBorders>
              <w:top w:val="single" w:sz="4" w:space="0" w:color="auto"/>
              <w:left w:val="single" w:sz="4" w:space="0" w:color="auto"/>
              <w:bottom w:val="single" w:sz="4" w:space="0" w:color="auto"/>
              <w:right w:val="single" w:sz="4" w:space="0" w:color="auto"/>
            </w:tcBorders>
          </w:tcPr>
          <w:p w14:paraId="08403D62" w14:textId="294F436C" w:rsidR="00E87913" w:rsidRPr="0083067C" w:rsidRDefault="00E87913" w:rsidP="00E87913">
            <w:pPr>
              <w:spacing w:before="60" w:after="20" w:line="288" w:lineRule="auto"/>
              <w:ind w:firstLine="0"/>
              <w:jc w:val="right"/>
              <w:rPr>
                <w:rFonts w:cs="Tahoma"/>
                <w:sz w:val="20"/>
                <w:szCs w:val="20"/>
              </w:rPr>
            </w:pPr>
            <w:r>
              <w:rPr>
                <w:rFonts w:cs="Tahoma"/>
                <w:sz w:val="20"/>
                <w:szCs w:val="20"/>
              </w:rPr>
              <w:t>3 854,9</w:t>
            </w:r>
          </w:p>
        </w:tc>
        <w:tc>
          <w:tcPr>
            <w:tcW w:w="1244" w:type="dxa"/>
            <w:tcBorders>
              <w:top w:val="single" w:sz="4" w:space="0" w:color="auto"/>
              <w:left w:val="single" w:sz="4" w:space="0" w:color="auto"/>
              <w:bottom w:val="single" w:sz="4" w:space="0" w:color="auto"/>
              <w:right w:val="single" w:sz="4" w:space="0" w:color="auto"/>
            </w:tcBorders>
          </w:tcPr>
          <w:p w14:paraId="237F9046" w14:textId="334E2C55" w:rsidR="00E87913" w:rsidRPr="0083067C" w:rsidRDefault="00E87913" w:rsidP="00E87913">
            <w:pPr>
              <w:spacing w:before="60" w:after="20" w:line="288" w:lineRule="auto"/>
              <w:ind w:firstLine="0"/>
              <w:jc w:val="right"/>
              <w:rPr>
                <w:rFonts w:cs="Tahoma"/>
                <w:sz w:val="20"/>
                <w:szCs w:val="20"/>
              </w:rPr>
            </w:pPr>
            <w:r>
              <w:rPr>
                <w:rFonts w:cs="Tahoma"/>
                <w:sz w:val="20"/>
                <w:szCs w:val="20"/>
              </w:rPr>
              <w:t>112,8</w:t>
            </w:r>
          </w:p>
        </w:tc>
        <w:tc>
          <w:tcPr>
            <w:tcW w:w="1181" w:type="dxa"/>
            <w:tcBorders>
              <w:top w:val="single" w:sz="4" w:space="0" w:color="auto"/>
              <w:left w:val="single" w:sz="4" w:space="0" w:color="auto"/>
              <w:bottom w:val="single" w:sz="4" w:space="0" w:color="auto"/>
              <w:right w:val="single" w:sz="4" w:space="0" w:color="auto"/>
            </w:tcBorders>
            <w:vAlign w:val="center"/>
          </w:tcPr>
          <w:p w14:paraId="6FCEA5B1" w14:textId="5BBC8578" w:rsidR="00E87913" w:rsidRPr="0083067C" w:rsidRDefault="00E87913" w:rsidP="0087459C">
            <w:pPr>
              <w:spacing w:before="60" w:after="20" w:line="288" w:lineRule="auto"/>
              <w:ind w:firstLine="0"/>
              <w:jc w:val="right"/>
              <w:rPr>
                <w:rFonts w:cs="Tahoma"/>
                <w:sz w:val="20"/>
                <w:szCs w:val="20"/>
              </w:rPr>
            </w:pPr>
            <w:r>
              <w:rPr>
                <w:rFonts w:cs="Tahoma"/>
                <w:sz w:val="20"/>
                <w:szCs w:val="20"/>
              </w:rPr>
              <w:t>421,5</w:t>
            </w:r>
          </w:p>
        </w:tc>
      </w:tr>
      <w:tr w:rsidR="00E87913" w:rsidRPr="00821AF6" w14:paraId="48F4EA9A" w14:textId="77777777" w:rsidTr="0087459C">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4A48236C" w14:textId="77777777" w:rsidR="00E87913" w:rsidRPr="00821AF6" w:rsidRDefault="00E87913" w:rsidP="0087459C">
            <w:pPr>
              <w:spacing w:before="60" w:after="20" w:line="288" w:lineRule="auto"/>
              <w:ind w:firstLine="0"/>
              <w:jc w:val="center"/>
              <w:rPr>
                <w:rFonts w:cs="Tahoma"/>
                <w:sz w:val="20"/>
                <w:szCs w:val="20"/>
              </w:rPr>
            </w:pPr>
            <w:r w:rsidRPr="00821AF6">
              <w:rPr>
                <w:rFonts w:cs="Tahoma"/>
                <w:sz w:val="20"/>
                <w:szCs w:val="20"/>
              </w:rPr>
              <w:t>3.3</w:t>
            </w:r>
          </w:p>
        </w:tc>
        <w:tc>
          <w:tcPr>
            <w:tcW w:w="2620" w:type="dxa"/>
            <w:vMerge w:val="restart"/>
            <w:tcBorders>
              <w:top w:val="single" w:sz="4" w:space="0" w:color="auto"/>
              <w:left w:val="single" w:sz="4" w:space="0" w:color="auto"/>
              <w:right w:val="single" w:sz="4" w:space="0" w:color="auto"/>
            </w:tcBorders>
            <w:vAlign w:val="center"/>
          </w:tcPr>
          <w:p w14:paraId="4C83B38F" w14:textId="77777777" w:rsidR="00E87913" w:rsidRPr="00821AF6" w:rsidRDefault="00E87913" w:rsidP="0087459C">
            <w:pPr>
              <w:spacing w:before="60" w:after="20" w:line="288" w:lineRule="auto"/>
              <w:ind w:firstLine="0"/>
              <w:jc w:val="left"/>
              <w:rPr>
                <w:rFonts w:cs="Tahoma"/>
                <w:sz w:val="20"/>
                <w:szCs w:val="20"/>
              </w:rPr>
            </w:pPr>
            <w:r w:rsidRPr="00821AF6">
              <w:rPr>
                <w:rFonts w:cs="Tahoma"/>
                <w:sz w:val="20"/>
                <w:szCs w:val="20"/>
              </w:rPr>
              <w:t>Cały okres analizy</w:t>
            </w:r>
          </w:p>
        </w:tc>
        <w:tc>
          <w:tcPr>
            <w:tcW w:w="906" w:type="dxa"/>
            <w:tcBorders>
              <w:top w:val="single" w:sz="4" w:space="0" w:color="auto"/>
              <w:left w:val="single" w:sz="4" w:space="0" w:color="auto"/>
              <w:bottom w:val="single" w:sz="4" w:space="0" w:color="auto"/>
              <w:right w:val="single" w:sz="4" w:space="0" w:color="auto"/>
            </w:tcBorders>
          </w:tcPr>
          <w:p w14:paraId="738C602B" w14:textId="77777777" w:rsidR="00E87913" w:rsidRPr="00821AF6" w:rsidRDefault="00E87913" w:rsidP="0087459C">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6B524F0C" w14:textId="71EAD8F5" w:rsidR="00E87913" w:rsidRPr="0083067C" w:rsidRDefault="00E87913" w:rsidP="0087459C">
            <w:pPr>
              <w:spacing w:before="60" w:after="20" w:line="288" w:lineRule="auto"/>
              <w:ind w:firstLine="0"/>
              <w:jc w:val="right"/>
              <w:rPr>
                <w:rFonts w:cs="Tahoma"/>
                <w:sz w:val="20"/>
                <w:szCs w:val="20"/>
              </w:rPr>
            </w:pPr>
            <w:r>
              <w:rPr>
                <w:rFonts w:cs="Tahoma"/>
                <w:sz w:val="20"/>
                <w:szCs w:val="20"/>
              </w:rPr>
              <w:t>171 897,0</w:t>
            </w:r>
          </w:p>
        </w:tc>
        <w:tc>
          <w:tcPr>
            <w:tcW w:w="1244" w:type="dxa"/>
            <w:tcBorders>
              <w:top w:val="single" w:sz="4" w:space="0" w:color="auto"/>
              <w:left w:val="single" w:sz="4" w:space="0" w:color="auto"/>
              <w:bottom w:val="single" w:sz="4" w:space="0" w:color="auto"/>
              <w:right w:val="single" w:sz="4" w:space="0" w:color="auto"/>
            </w:tcBorders>
          </w:tcPr>
          <w:p w14:paraId="4FAF8242" w14:textId="34DE07FD" w:rsidR="00E87913" w:rsidRPr="0083067C" w:rsidRDefault="00E87913" w:rsidP="0087459C">
            <w:pPr>
              <w:spacing w:before="60" w:after="20" w:line="288" w:lineRule="auto"/>
              <w:ind w:firstLine="0"/>
              <w:jc w:val="right"/>
              <w:rPr>
                <w:rFonts w:cs="Tahoma"/>
                <w:sz w:val="20"/>
                <w:szCs w:val="20"/>
              </w:rPr>
            </w:pPr>
            <w:r>
              <w:rPr>
                <w:rFonts w:cs="Tahoma"/>
                <w:sz w:val="20"/>
                <w:szCs w:val="20"/>
              </w:rPr>
              <w:t>659,7</w:t>
            </w:r>
          </w:p>
        </w:tc>
        <w:tc>
          <w:tcPr>
            <w:tcW w:w="1244" w:type="dxa"/>
            <w:tcBorders>
              <w:top w:val="single" w:sz="4" w:space="0" w:color="auto"/>
              <w:left w:val="single" w:sz="4" w:space="0" w:color="auto"/>
              <w:bottom w:val="single" w:sz="4" w:space="0" w:color="auto"/>
              <w:right w:val="single" w:sz="4" w:space="0" w:color="auto"/>
            </w:tcBorders>
          </w:tcPr>
          <w:p w14:paraId="1B250468" w14:textId="0FB1AFC1" w:rsidR="00E87913" w:rsidRPr="0083067C" w:rsidRDefault="00E87913" w:rsidP="0087459C">
            <w:pPr>
              <w:spacing w:before="60" w:after="20" w:line="288" w:lineRule="auto"/>
              <w:ind w:firstLine="0"/>
              <w:jc w:val="right"/>
              <w:rPr>
                <w:rFonts w:cs="Tahoma"/>
                <w:sz w:val="20"/>
                <w:szCs w:val="20"/>
              </w:rPr>
            </w:pPr>
            <w:r>
              <w:rPr>
                <w:rFonts w:cs="Tahoma"/>
                <w:sz w:val="20"/>
                <w:szCs w:val="20"/>
              </w:rPr>
              <w:t>151,8</w:t>
            </w:r>
          </w:p>
        </w:tc>
        <w:tc>
          <w:tcPr>
            <w:tcW w:w="1181" w:type="dxa"/>
            <w:tcBorders>
              <w:top w:val="single" w:sz="4" w:space="0" w:color="auto"/>
              <w:left w:val="single" w:sz="4" w:space="0" w:color="auto"/>
              <w:bottom w:val="single" w:sz="4" w:space="0" w:color="auto"/>
              <w:right w:val="single" w:sz="4" w:space="0" w:color="auto"/>
            </w:tcBorders>
            <w:vAlign w:val="center"/>
          </w:tcPr>
          <w:p w14:paraId="7626C8DE" w14:textId="7860CAC9" w:rsidR="00E87913" w:rsidRPr="0083067C" w:rsidRDefault="00E87913" w:rsidP="00E87913">
            <w:pPr>
              <w:spacing w:before="60" w:after="20" w:line="288" w:lineRule="auto"/>
              <w:ind w:firstLine="0"/>
              <w:jc w:val="right"/>
              <w:rPr>
                <w:rFonts w:cs="Tahoma"/>
                <w:sz w:val="20"/>
                <w:szCs w:val="20"/>
              </w:rPr>
            </w:pPr>
            <w:r>
              <w:rPr>
                <w:rFonts w:cs="Tahoma"/>
                <w:sz w:val="20"/>
                <w:szCs w:val="20"/>
              </w:rPr>
              <w:t>4,23</w:t>
            </w:r>
          </w:p>
        </w:tc>
      </w:tr>
      <w:tr w:rsidR="00E87913" w:rsidRPr="00821AF6" w14:paraId="091013AB" w14:textId="77777777" w:rsidTr="0087459C">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76D8FCD2" w14:textId="77777777" w:rsidR="00E87913" w:rsidRPr="00821AF6" w:rsidRDefault="00E87913" w:rsidP="0087459C">
            <w:pPr>
              <w:spacing w:before="60" w:after="20" w:line="288" w:lineRule="auto"/>
              <w:ind w:firstLine="0"/>
              <w:jc w:val="center"/>
              <w:rPr>
                <w:rFonts w:cs="Tahoma"/>
                <w:sz w:val="20"/>
                <w:szCs w:val="20"/>
              </w:rPr>
            </w:pPr>
            <w:r w:rsidRPr="00821AF6">
              <w:rPr>
                <w:rFonts w:cs="Tahoma"/>
                <w:sz w:val="20"/>
                <w:szCs w:val="20"/>
              </w:rPr>
              <w:t>3.4</w:t>
            </w:r>
          </w:p>
        </w:tc>
        <w:tc>
          <w:tcPr>
            <w:tcW w:w="2620" w:type="dxa"/>
            <w:vMerge/>
            <w:tcBorders>
              <w:left w:val="single" w:sz="4" w:space="0" w:color="auto"/>
              <w:right w:val="single" w:sz="4" w:space="0" w:color="auto"/>
            </w:tcBorders>
          </w:tcPr>
          <w:p w14:paraId="7D67ED2F" w14:textId="77777777" w:rsidR="00E87913" w:rsidRPr="00821AF6" w:rsidRDefault="00E87913" w:rsidP="0087459C">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tcPr>
          <w:p w14:paraId="17032FAB" w14:textId="77777777" w:rsidR="00E87913" w:rsidRPr="00821AF6" w:rsidRDefault="00E87913" w:rsidP="0087459C">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704875E1" w14:textId="473E3F2D" w:rsidR="00E87913" w:rsidRPr="0083067C" w:rsidRDefault="00E87913" w:rsidP="0087459C">
            <w:pPr>
              <w:spacing w:before="60" w:after="20" w:line="288" w:lineRule="auto"/>
              <w:ind w:firstLine="0"/>
              <w:jc w:val="right"/>
              <w:rPr>
                <w:rFonts w:cs="Tahoma"/>
                <w:sz w:val="20"/>
                <w:szCs w:val="20"/>
              </w:rPr>
            </w:pPr>
            <w:r>
              <w:rPr>
                <w:rFonts w:cs="Tahoma"/>
                <w:sz w:val="20"/>
                <w:szCs w:val="20"/>
              </w:rPr>
              <w:t>38 948,5</w:t>
            </w:r>
          </w:p>
        </w:tc>
        <w:tc>
          <w:tcPr>
            <w:tcW w:w="1244" w:type="dxa"/>
            <w:tcBorders>
              <w:top w:val="single" w:sz="4" w:space="0" w:color="auto"/>
              <w:left w:val="single" w:sz="4" w:space="0" w:color="auto"/>
              <w:bottom w:val="single" w:sz="4" w:space="0" w:color="auto"/>
              <w:right w:val="single" w:sz="4" w:space="0" w:color="auto"/>
            </w:tcBorders>
          </w:tcPr>
          <w:p w14:paraId="26DF32E0" w14:textId="3AB3DD31" w:rsidR="00E87913" w:rsidRPr="0083067C" w:rsidRDefault="00E87913" w:rsidP="0087459C">
            <w:pPr>
              <w:spacing w:before="60" w:after="20" w:line="288" w:lineRule="auto"/>
              <w:ind w:firstLine="0"/>
              <w:jc w:val="right"/>
              <w:rPr>
                <w:rFonts w:cs="Tahoma"/>
                <w:sz w:val="20"/>
                <w:szCs w:val="20"/>
              </w:rPr>
            </w:pPr>
            <w:r>
              <w:rPr>
                <w:rFonts w:cs="Tahoma"/>
                <w:sz w:val="20"/>
                <w:szCs w:val="20"/>
              </w:rPr>
              <w:t>61 678,2</w:t>
            </w:r>
          </w:p>
        </w:tc>
        <w:tc>
          <w:tcPr>
            <w:tcW w:w="1244" w:type="dxa"/>
            <w:tcBorders>
              <w:top w:val="single" w:sz="4" w:space="0" w:color="auto"/>
              <w:left w:val="single" w:sz="4" w:space="0" w:color="auto"/>
              <w:bottom w:val="single" w:sz="4" w:space="0" w:color="auto"/>
              <w:right w:val="single" w:sz="4" w:space="0" w:color="auto"/>
            </w:tcBorders>
          </w:tcPr>
          <w:p w14:paraId="5BAF71D9" w14:textId="4E88F485" w:rsidR="00E87913" w:rsidRPr="0083067C" w:rsidRDefault="00E87913" w:rsidP="00E87913">
            <w:pPr>
              <w:spacing w:before="60" w:after="20" w:line="288" w:lineRule="auto"/>
              <w:ind w:firstLine="0"/>
              <w:jc w:val="right"/>
              <w:rPr>
                <w:rFonts w:cs="Tahoma"/>
                <w:sz w:val="20"/>
                <w:szCs w:val="20"/>
              </w:rPr>
            </w:pPr>
            <w:r>
              <w:rPr>
                <w:rFonts w:cs="Tahoma"/>
                <w:sz w:val="20"/>
                <w:szCs w:val="20"/>
              </w:rPr>
              <w:t>1 804,1</w:t>
            </w:r>
          </w:p>
        </w:tc>
        <w:tc>
          <w:tcPr>
            <w:tcW w:w="1181" w:type="dxa"/>
            <w:tcBorders>
              <w:top w:val="single" w:sz="4" w:space="0" w:color="auto"/>
              <w:left w:val="single" w:sz="4" w:space="0" w:color="auto"/>
              <w:bottom w:val="single" w:sz="4" w:space="0" w:color="auto"/>
              <w:right w:val="single" w:sz="4" w:space="0" w:color="auto"/>
            </w:tcBorders>
            <w:vAlign w:val="center"/>
          </w:tcPr>
          <w:p w14:paraId="74AF6DB1" w14:textId="3B363EDC" w:rsidR="00E87913" w:rsidRPr="0083067C" w:rsidRDefault="00E87913" w:rsidP="00E87913">
            <w:pPr>
              <w:spacing w:before="60" w:after="20" w:line="288" w:lineRule="auto"/>
              <w:ind w:firstLine="0"/>
              <w:jc w:val="right"/>
              <w:rPr>
                <w:rFonts w:cs="Tahoma"/>
                <w:sz w:val="20"/>
                <w:szCs w:val="20"/>
              </w:rPr>
            </w:pPr>
            <w:r>
              <w:rPr>
                <w:rFonts w:cs="Tahoma"/>
                <w:sz w:val="20"/>
                <w:szCs w:val="20"/>
              </w:rPr>
              <w:t>6 743,2</w:t>
            </w:r>
          </w:p>
        </w:tc>
      </w:tr>
      <w:tr w:rsidR="0083067C" w:rsidRPr="00821AF6" w14:paraId="4FB1DD3C" w14:textId="77777777" w:rsidTr="0054129D">
        <w:trPr>
          <w:cantSplit/>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DD23C4" w14:textId="3D8ED342" w:rsidR="0083067C" w:rsidRPr="0083067C" w:rsidRDefault="0083067C" w:rsidP="00B92F45">
            <w:pPr>
              <w:spacing w:before="60" w:after="20" w:line="288" w:lineRule="auto"/>
              <w:ind w:firstLine="0"/>
              <w:jc w:val="center"/>
              <w:rPr>
                <w:rFonts w:cs="Tahoma"/>
                <w:b/>
                <w:sz w:val="20"/>
                <w:szCs w:val="20"/>
              </w:rPr>
            </w:pPr>
            <w:r w:rsidRPr="00821AF6">
              <w:rPr>
                <w:rFonts w:cs="Tahoma"/>
                <w:b/>
                <w:sz w:val="20"/>
                <w:szCs w:val="20"/>
              </w:rPr>
              <w:t>Różnica wysokości</w:t>
            </w:r>
            <w:r>
              <w:rPr>
                <w:rFonts w:cs="Tahoma"/>
                <w:b/>
                <w:sz w:val="20"/>
                <w:szCs w:val="20"/>
              </w:rPr>
              <w:t xml:space="preserve"> emisji i jej kosztów</w:t>
            </w:r>
            <w:r>
              <w:rPr>
                <w:rFonts w:cs="Tahoma"/>
                <w:b/>
                <w:sz w:val="20"/>
                <w:szCs w:val="20"/>
              </w:rPr>
              <w:br/>
              <w:t>– wariant</w:t>
            </w:r>
            <w:r w:rsidRPr="00821AF6">
              <w:rPr>
                <w:rFonts w:cs="Tahoma"/>
                <w:b/>
                <w:sz w:val="20"/>
                <w:szCs w:val="20"/>
              </w:rPr>
              <w:t xml:space="preserve"> </w:t>
            </w:r>
            <w:r w:rsidR="00B92F45">
              <w:rPr>
                <w:rFonts w:cs="Tahoma"/>
                <w:b/>
                <w:sz w:val="20"/>
                <w:szCs w:val="20"/>
              </w:rPr>
              <w:t>wodorowy</w:t>
            </w:r>
            <w:r>
              <w:rPr>
                <w:rFonts w:cs="Tahoma"/>
                <w:b/>
                <w:sz w:val="20"/>
                <w:szCs w:val="20"/>
              </w:rPr>
              <w:t xml:space="preserve"> versus wariant</w:t>
            </w:r>
            <w:r w:rsidR="00B92F45">
              <w:rPr>
                <w:rFonts w:cs="Tahoma"/>
                <w:b/>
                <w:sz w:val="20"/>
                <w:szCs w:val="20"/>
              </w:rPr>
              <w:t xml:space="preserve"> </w:t>
            </w:r>
            <w:r w:rsidRPr="00821AF6">
              <w:rPr>
                <w:rFonts w:cs="Tahoma"/>
                <w:b/>
                <w:sz w:val="20"/>
                <w:szCs w:val="20"/>
              </w:rPr>
              <w:t>konwencjonalny</w:t>
            </w:r>
          </w:p>
        </w:tc>
      </w:tr>
      <w:tr w:rsidR="0083067C" w:rsidRPr="00821AF6" w14:paraId="2CA71145" w14:textId="77777777" w:rsidTr="0054129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75812820" w14:textId="5F9B8B5C"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7.1</w:t>
            </w:r>
          </w:p>
        </w:tc>
        <w:tc>
          <w:tcPr>
            <w:tcW w:w="2620" w:type="dxa"/>
            <w:vMerge w:val="restart"/>
            <w:tcBorders>
              <w:top w:val="single" w:sz="4" w:space="0" w:color="auto"/>
              <w:left w:val="single" w:sz="4" w:space="0" w:color="auto"/>
              <w:right w:val="single" w:sz="4" w:space="0" w:color="auto"/>
            </w:tcBorders>
            <w:vAlign w:val="center"/>
          </w:tcPr>
          <w:p w14:paraId="76ED51F3"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Średniorocznie</w:t>
            </w:r>
          </w:p>
        </w:tc>
        <w:tc>
          <w:tcPr>
            <w:tcW w:w="906" w:type="dxa"/>
            <w:tcBorders>
              <w:top w:val="single" w:sz="4" w:space="0" w:color="auto"/>
              <w:left w:val="single" w:sz="4" w:space="0" w:color="auto"/>
              <w:bottom w:val="single" w:sz="4" w:space="0" w:color="auto"/>
              <w:right w:val="single" w:sz="4" w:space="0" w:color="auto"/>
            </w:tcBorders>
            <w:vAlign w:val="center"/>
          </w:tcPr>
          <w:p w14:paraId="096DE113"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57604AE0" w14:textId="12E73D87"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1 118,1</w:t>
            </w:r>
          </w:p>
        </w:tc>
        <w:tc>
          <w:tcPr>
            <w:tcW w:w="1244" w:type="dxa"/>
            <w:tcBorders>
              <w:top w:val="single" w:sz="4" w:space="0" w:color="auto"/>
              <w:left w:val="single" w:sz="4" w:space="0" w:color="auto"/>
              <w:bottom w:val="single" w:sz="4" w:space="0" w:color="auto"/>
              <w:right w:val="single" w:sz="4" w:space="0" w:color="auto"/>
            </w:tcBorders>
          </w:tcPr>
          <w:p w14:paraId="24255D53" w14:textId="7A782E9E"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3,1</w:t>
            </w:r>
          </w:p>
        </w:tc>
        <w:tc>
          <w:tcPr>
            <w:tcW w:w="1244" w:type="dxa"/>
            <w:tcBorders>
              <w:top w:val="single" w:sz="4" w:space="0" w:color="auto"/>
              <w:left w:val="single" w:sz="4" w:space="0" w:color="auto"/>
              <w:bottom w:val="single" w:sz="4" w:space="0" w:color="auto"/>
              <w:right w:val="single" w:sz="4" w:space="0" w:color="auto"/>
            </w:tcBorders>
          </w:tcPr>
          <w:p w14:paraId="487A0CD9" w14:textId="638DF37A"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w:t>
            </w:r>
            <w:r w:rsidRPr="0083067C">
              <w:rPr>
                <w:rFonts w:cs="Tahoma"/>
                <w:sz w:val="20"/>
                <w:szCs w:val="20"/>
              </w:rPr>
              <w:t>,3</w:t>
            </w:r>
          </w:p>
        </w:tc>
        <w:tc>
          <w:tcPr>
            <w:tcW w:w="1181" w:type="dxa"/>
            <w:tcBorders>
              <w:top w:val="single" w:sz="4" w:space="0" w:color="auto"/>
              <w:left w:val="single" w:sz="4" w:space="0" w:color="auto"/>
              <w:bottom w:val="single" w:sz="4" w:space="0" w:color="auto"/>
              <w:right w:val="single" w:sz="4" w:space="0" w:color="auto"/>
            </w:tcBorders>
            <w:vAlign w:val="center"/>
          </w:tcPr>
          <w:p w14:paraId="0D4BB68E" w14:textId="43C6E114"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-0,0</w:t>
            </w:r>
            <w:r w:rsidR="00E87913">
              <w:rPr>
                <w:rFonts w:cs="Tahoma"/>
                <w:sz w:val="20"/>
                <w:szCs w:val="20"/>
              </w:rPr>
              <w:t>3</w:t>
            </w:r>
          </w:p>
        </w:tc>
      </w:tr>
      <w:tr w:rsidR="0083067C" w:rsidRPr="00821AF6" w14:paraId="4119AC83" w14:textId="77777777" w:rsidTr="0054129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204E59F0" w14:textId="06E59149"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7.2</w:t>
            </w:r>
          </w:p>
        </w:tc>
        <w:tc>
          <w:tcPr>
            <w:tcW w:w="2620" w:type="dxa"/>
            <w:vMerge/>
            <w:tcBorders>
              <w:left w:val="single" w:sz="4" w:space="0" w:color="auto"/>
              <w:bottom w:val="single" w:sz="4" w:space="0" w:color="auto"/>
              <w:right w:val="single" w:sz="4" w:space="0" w:color="auto"/>
            </w:tcBorders>
            <w:vAlign w:val="center"/>
          </w:tcPr>
          <w:p w14:paraId="78DD05CE"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14:paraId="5234A3D3"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487DB662" w14:textId="6C59571B"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276,5</w:t>
            </w:r>
          </w:p>
        </w:tc>
        <w:tc>
          <w:tcPr>
            <w:tcW w:w="1244" w:type="dxa"/>
            <w:tcBorders>
              <w:top w:val="single" w:sz="4" w:space="0" w:color="auto"/>
              <w:left w:val="single" w:sz="4" w:space="0" w:color="auto"/>
              <w:bottom w:val="single" w:sz="4" w:space="0" w:color="auto"/>
              <w:right w:val="single" w:sz="4" w:space="0" w:color="auto"/>
            </w:tcBorders>
          </w:tcPr>
          <w:p w14:paraId="19CABA8D" w14:textId="68097D17"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320,1</w:t>
            </w:r>
          </w:p>
        </w:tc>
        <w:tc>
          <w:tcPr>
            <w:tcW w:w="1244" w:type="dxa"/>
            <w:tcBorders>
              <w:top w:val="single" w:sz="4" w:space="0" w:color="auto"/>
              <w:left w:val="single" w:sz="4" w:space="0" w:color="auto"/>
              <w:bottom w:val="single" w:sz="4" w:space="0" w:color="auto"/>
              <w:right w:val="single" w:sz="4" w:space="0" w:color="auto"/>
            </w:tcBorders>
          </w:tcPr>
          <w:p w14:paraId="11636ABF" w14:textId="58D3155C"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17,3</w:t>
            </w:r>
          </w:p>
        </w:tc>
        <w:tc>
          <w:tcPr>
            <w:tcW w:w="1181" w:type="dxa"/>
            <w:tcBorders>
              <w:top w:val="single" w:sz="4" w:space="0" w:color="auto"/>
              <w:left w:val="single" w:sz="4" w:space="0" w:color="auto"/>
              <w:bottom w:val="single" w:sz="4" w:space="0" w:color="auto"/>
              <w:right w:val="single" w:sz="4" w:space="0" w:color="auto"/>
            </w:tcBorders>
            <w:vAlign w:val="center"/>
          </w:tcPr>
          <w:p w14:paraId="2E02EBB8" w14:textId="34355C84"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60,9</w:t>
            </w:r>
          </w:p>
        </w:tc>
      </w:tr>
      <w:tr w:rsidR="0083067C" w:rsidRPr="00821AF6" w14:paraId="104D69CB" w14:textId="77777777" w:rsidTr="0054129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10FC000C" w14:textId="0D0FF83D"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7.3</w:t>
            </w:r>
          </w:p>
        </w:tc>
        <w:tc>
          <w:tcPr>
            <w:tcW w:w="2620" w:type="dxa"/>
            <w:vMerge w:val="restart"/>
            <w:tcBorders>
              <w:top w:val="single" w:sz="4" w:space="0" w:color="auto"/>
              <w:left w:val="single" w:sz="4" w:space="0" w:color="auto"/>
              <w:right w:val="single" w:sz="4" w:space="0" w:color="auto"/>
            </w:tcBorders>
            <w:vAlign w:val="center"/>
          </w:tcPr>
          <w:p w14:paraId="2E9A99C3"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Cały okres analizy</w:t>
            </w:r>
          </w:p>
        </w:tc>
        <w:tc>
          <w:tcPr>
            <w:tcW w:w="906" w:type="dxa"/>
            <w:tcBorders>
              <w:top w:val="single" w:sz="4" w:space="0" w:color="auto"/>
              <w:left w:val="single" w:sz="4" w:space="0" w:color="auto"/>
              <w:bottom w:val="single" w:sz="4" w:space="0" w:color="auto"/>
              <w:right w:val="single" w:sz="4" w:space="0" w:color="auto"/>
            </w:tcBorders>
          </w:tcPr>
          <w:p w14:paraId="7C0999AA"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17590812" w14:textId="53753912"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17 889,7</w:t>
            </w:r>
          </w:p>
        </w:tc>
        <w:tc>
          <w:tcPr>
            <w:tcW w:w="1244" w:type="dxa"/>
            <w:tcBorders>
              <w:top w:val="single" w:sz="4" w:space="0" w:color="auto"/>
              <w:left w:val="single" w:sz="4" w:space="0" w:color="auto"/>
              <w:bottom w:val="single" w:sz="4" w:space="0" w:color="auto"/>
              <w:right w:val="single" w:sz="4" w:space="0" w:color="auto"/>
            </w:tcBorders>
          </w:tcPr>
          <w:p w14:paraId="4D975103" w14:textId="3663858C"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50,1</w:t>
            </w:r>
          </w:p>
        </w:tc>
        <w:tc>
          <w:tcPr>
            <w:tcW w:w="1244" w:type="dxa"/>
            <w:tcBorders>
              <w:top w:val="single" w:sz="4" w:space="0" w:color="auto"/>
              <w:left w:val="single" w:sz="4" w:space="0" w:color="auto"/>
              <w:bottom w:val="single" w:sz="4" w:space="0" w:color="auto"/>
              <w:right w:val="single" w:sz="4" w:space="0" w:color="auto"/>
            </w:tcBorders>
          </w:tcPr>
          <w:p w14:paraId="410BBBF4" w14:textId="263B5B23"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21,1</w:t>
            </w:r>
          </w:p>
        </w:tc>
        <w:tc>
          <w:tcPr>
            <w:tcW w:w="1181" w:type="dxa"/>
            <w:tcBorders>
              <w:top w:val="single" w:sz="4" w:space="0" w:color="auto"/>
              <w:left w:val="single" w:sz="4" w:space="0" w:color="auto"/>
              <w:bottom w:val="single" w:sz="4" w:space="0" w:color="auto"/>
              <w:right w:val="single" w:sz="4" w:space="0" w:color="auto"/>
            </w:tcBorders>
            <w:vAlign w:val="center"/>
          </w:tcPr>
          <w:p w14:paraId="7A364DA3" w14:textId="56D1FCCA"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-0,</w:t>
            </w:r>
            <w:r w:rsidR="00E87913">
              <w:rPr>
                <w:rFonts w:cs="Tahoma"/>
                <w:sz w:val="20"/>
                <w:szCs w:val="20"/>
              </w:rPr>
              <w:t>55</w:t>
            </w:r>
          </w:p>
        </w:tc>
      </w:tr>
      <w:tr w:rsidR="0083067C" w:rsidRPr="00821AF6" w14:paraId="55A9DA9E" w14:textId="77777777" w:rsidTr="0054129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04E042BA" w14:textId="459FBADE"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7.4</w:t>
            </w:r>
          </w:p>
        </w:tc>
        <w:tc>
          <w:tcPr>
            <w:tcW w:w="2620" w:type="dxa"/>
            <w:vMerge/>
            <w:tcBorders>
              <w:left w:val="single" w:sz="4" w:space="0" w:color="auto"/>
              <w:right w:val="single" w:sz="4" w:space="0" w:color="auto"/>
            </w:tcBorders>
          </w:tcPr>
          <w:p w14:paraId="2A6C92F8"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tcPr>
          <w:p w14:paraId="224EECD1"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48DFD4A8" w14:textId="2B11BA6E"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4 424,0</w:t>
            </w:r>
          </w:p>
        </w:tc>
        <w:tc>
          <w:tcPr>
            <w:tcW w:w="1244" w:type="dxa"/>
            <w:tcBorders>
              <w:top w:val="single" w:sz="4" w:space="0" w:color="auto"/>
              <w:left w:val="single" w:sz="4" w:space="0" w:color="auto"/>
              <w:bottom w:val="single" w:sz="4" w:space="0" w:color="auto"/>
              <w:right w:val="single" w:sz="4" w:space="0" w:color="auto"/>
            </w:tcBorders>
          </w:tcPr>
          <w:p w14:paraId="4DEE1CDA" w14:textId="358D8884"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5 121,1</w:t>
            </w:r>
          </w:p>
        </w:tc>
        <w:tc>
          <w:tcPr>
            <w:tcW w:w="1244" w:type="dxa"/>
            <w:tcBorders>
              <w:top w:val="single" w:sz="4" w:space="0" w:color="auto"/>
              <w:left w:val="single" w:sz="4" w:space="0" w:color="auto"/>
              <w:bottom w:val="single" w:sz="4" w:space="0" w:color="auto"/>
              <w:right w:val="single" w:sz="4" w:space="0" w:color="auto"/>
            </w:tcBorders>
          </w:tcPr>
          <w:p w14:paraId="42D5BFA5" w14:textId="579BF778"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277,2</w:t>
            </w:r>
          </w:p>
        </w:tc>
        <w:tc>
          <w:tcPr>
            <w:tcW w:w="1181" w:type="dxa"/>
            <w:tcBorders>
              <w:top w:val="single" w:sz="4" w:space="0" w:color="auto"/>
              <w:left w:val="single" w:sz="4" w:space="0" w:color="auto"/>
              <w:bottom w:val="single" w:sz="4" w:space="0" w:color="auto"/>
              <w:right w:val="single" w:sz="4" w:space="0" w:color="auto"/>
            </w:tcBorders>
            <w:vAlign w:val="center"/>
          </w:tcPr>
          <w:p w14:paraId="1D25FEBA" w14:textId="15E59FA6"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974,3</w:t>
            </w:r>
          </w:p>
        </w:tc>
      </w:tr>
      <w:tr w:rsidR="0083067C" w:rsidRPr="00821AF6" w14:paraId="35288300" w14:textId="77777777" w:rsidTr="0054129D">
        <w:trPr>
          <w:cantSplit/>
          <w:jc w:val="center"/>
        </w:trPr>
        <w:tc>
          <w:tcPr>
            <w:tcW w:w="9072"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34D050" w14:textId="62516E52" w:rsidR="0083067C" w:rsidRPr="0083067C" w:rsidRDefault="0083067C" w:rsidP="00B92F45">
            <w:pPr>
              <w:spacing w:before="60" w:after="20" w:line="288" w:lineRule="auto"/>
              <w:ind w:firstLine="0"/>
              <w:jc w:val="center"/>
              <w:rPr>
                <w:rFonts w:cs="Tahoma"/>
                <w:b/>
                <w:sz w:val="20"/>
                <w:szCs w:val="20"/>
              </w:rPr>
            </w:pPr>
            <w:r w:rsidRPr="00821AF6">
              <w:rPr>
                <w:rFonts w:cs="Tahoma"/>
                <w:b/>
                <w:sz w:val="20"/>
                <w:szCs w:val="20"/>
              </w:rPr>
              <w:t>O</w:t>
            </w:r>
            <w:r>
              <w:rPr>
                <w:rFonts w:cs="Tahoma"/>
                <w:b/>
                <w:sz w:val="20"/>
                <w:szCs w:val="20"/>
              </w:rPr>
              <w:t xml:space="preserve">graniczenie emisji w wariancie </w:t>
            </w:r>
            <w:r w:rsidR="00B92F45">
              <w:rPr>
                <w:rFonts w:cs="Tahoma"/>
                <w:b/>
                <w:sz w:val="20"/>
                <w:szCs w:val="20"/>
              </w:rPr>
              <w:t>wodorowym</w:t>
            </w:r>
            <w:r w:rsidR="00B92F45">
              <w:rPr>
                <w:rFonts w:cs="Tahoma"/>
                <w:b/>
                <w:sz w:val="20"/>
                <w:szCs w:val="20"/>
              </w:rPr>
              <w:br/>
              <w:t>w porównaniu do wariantu konwencjonalnego</w:t>
            </w:r>
            <w:r w:rsidRPr="00821AF6">
              <w:rPr>
                <w:rFonts w:cs="Tahoma"/>
                <w:b/>
                <w:sz w:val="20"/>
                <w:szCs w:val="20"/>
              </w:rPr>
              <w:t xml:space="preserve"> [%]</w:t>
            </w:r>
          </w:p>
        </w:tc>
      </w:tr>
      <w:tr w:rsidR="0083067C" w:rsidRPr="00821AF6" w14:paraId="77DC4B6F" w14:textId="77777777" w:rsidTr="0054129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6E366D3D" w14:textId="2F4C05E1"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8.1</w:t>
            </w:r>
          </w:p>
        </w:tc>
        <w:tc>
          <w:tcPr>
            <w:tcW w:w="2620" w:type="dxa"/>
            <w:vMerge w:val="restart"/>
            <w:tcBorders>
              <w:top w:val="single" w:sz="4" w:space="0" w:color="auto"/>
              <w:left w:val="single" w:sz="4" w:space="0" w:color="auto"/>
              <w:right w:val="single" w:sz="4" w:space="0" w:color="auto"/>
            </w:tcBorders>
            <w:vAlign w:val="center"/>
          </w:tcPr>
          <w:p w14:paraId="3909BFFC"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Średniorocznie</w:t>
            </w:r>
          </w:p>
        </w:tc>
        <w:tc>
          <w:tcPr>
            <w:tcW w:w="906" w:type="dxa"/>
            <w:tcBorders>
              <w:top w:val="single" w:sz="4" w:space="0" w:color="auto"/>
              <w:left w:val="single" w:sz="4" w:space="0" w:color="auto"/>
              <w:bottom w:val="single" w:sz="4" w:space="0" w:color="auto"/>
              <w:right w:val="single" w:sz="4" w:space="0" w:color="auto"/>
            </w:tcBorders>
            <w:vAlign w:val="center"/>
          </w:tcPr>
          <w:p w14:paraId="46170615"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7C511DCE" w14:textId="3BD9F884"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-9,4</w:t>
            </w:r>
          </w:p>
        </w:tc>
        <w:tc>
          <w:tcPr>
            <w:tcW w:w="1244" w:type="dxa"/>
            <w:tcBorders>
              <w:top w:val="single" w:sz="4" w:space="0" w:color="auto"/>
              <w:left w:val="single" w:sz="4" w:space="0" w:color="auto"/>
              <w:bottom w:val="single" w:sz="4" w:space="0" w:color="auto"/>
              <w:right w:val="single" w:sz="4" w:space="0" w:color="auto"/>
            </w:tcBorders>
          </w:tcPr>
          <w:p w14:paraId="4EF1614B" w14:textId="5646859E"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-7,</w:t>
            </w:r>
            <w:r w:rsidR="00E87913">
              <w:rPr>
                <w:rFonts w:cs="Tahoma"/>
                <w:sz w:val="20"/>
                <w:szCs w:val="20"/>
              </w:rPr>
              <w:t>1</w:t>
            </w:r>
          </w:p>
        </w:tc>
        <w:tc>
          <w:tcPr>
            <w:tcW w:w="1244" w:type="dxa"/>
            <w:tcBorders>
              <w:top w:val="single" w:sz="4" w:space="0" w:color="auto"/>
              <w:left w:val="single" w:sz="4" w:space="0" w:color="auto"/>
              <w:bottom w:val="single" w:sz="4" w:space="0" w:color="auto"/>
              <w:right w:val="single" w:sz="4" w:space="0" w:color="auto"/>
            </w:tcBorders>
          </w:tcPr>
          <w:p w14:paraId="1D2E6505" w14:textId="59D7642F"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12,2</w:t>
            </w:r>
          </w:p>
        </w:tc>
        <w:tc>
          <w:tcPr>
            <w:tcW w:w="1181" w:type="dxa"/>
            <w:tcBorders>
              <w:top w:val="single" w:sz="4" w:space="0" w:color="auto"/>
              <w:left w:val="single" w:sz="4" w:space="0" w:color="auto"/>
              <w:bottom w:val="single" w:sz="4" w:space="0" w:color="auto"/>
              <w:right w:val="single" w:sz="4" w:space="0" w:color="auto"/>
            </w:tcBorders>
            <w:vAlign w:val="center"/>
          </w:tcPr>
          <w:p w14:paraId="17E64470" w14:textId="5A268E3B"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11</w:t>
            </w:r>
            <w:r w:rsidRPr="0083067C">
              <w:rPr>
                <w:rFonts w:cs="Tahoma"/>
                <w:sz w:val="20"/>
                <w:szCs w:val="20"/>
              </w:rPr>
              <w:t>,5</w:t>
            </w:r>
          </w:p>
        </w:tc>
      </w:tr>
      <w:tr w:rsidR="0083067C" w:rsidRPr="00821AF6" w14:paraId="0702BD90" w14:textId="77777777" w:rsidTr="0054129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5946DDDB" w14:textId="5DE40840"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8.2</w:t>
            </w:r>
          </w:p>
        </w:tc>
        <w:tc>
          <w:tcPr>
            <w:tcW w:w="2620" w:type="dxa"/>
            <w:vMerge/>
            <w:tcBorders>
              <w:left w:val="single" w:sz="4" w:space="0" w:color="auto"/>
              <w:bottom w:val="single" w:sz="4" w:space="0" w:color="auto"/>
              <w:right w:val="single" w:sz="4" w:space="0" w:color="auto"/>
            </w:tcBorders>
            <w:vAlign w:val="center"/>
          </w:tcPr>
          <w:p w14:paraId="0EB9F034"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14:paraId="0E40C5F9"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65F79515" w14:textId="6760C505"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-10,</w:t>
            </w:r>
            <w:r w:rsidR="00E87913">
              <w:rPr>
                <w:rFonts w:cs="Tahoma"/>
                <w:sz w:val="20"/>
                <w:szCs w:val="20"/>
              </w:rPr>
              <w:t>2</w:t>
            </w:r>
          </w:p>
        </w:tc>
        <w:tc>
          <w:tcPr>
            <w:tcW w:w="1244" w:type="dxa"/>
            <w:tcBorders>
              <w:top w:val="single" w:sz="4" w:space="0" w:color="auto"/>
              <w:left w:val="single" w:sz="4" w:space="0" w:color="auto"/>
              <w:bottom w:val="single" w:sz="4" w:space="0" w:color="auto"/>
              <w:right w:val="single" w:sz="4" w:space="0" w:color="auto"/>
            </w:tcBorders>
          </w:tcPr>
          <w:p w14:paraId="661F263C" w14:textId="0D4E821F"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7,7</w:t>
            </w:r>
          </w:p>
        </w:tc>
        <w:tc>
          <w:tcPr>
            <w:tcW w:w="1244" w:type="dxa"/>
            <w:tcBorders>
              <w:top w:val="single" w:sz="4" w:space="0" w:color="auto"/>
              <w:left w:val="single" w:sz="4" w:space="0" w:color="auto"/>
              <w:bottom w:val="single" w:sz="4" w:space="0" w:color="auto"/>
              <w:right w:val="single" w:sz="4" w:space="0" w:color="auto"/>
            </w:tcBorders>
          </w:tcPr>
          <w:p w14:paraId="540AC34E" w14:textId="76AD159B"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13,3</w:t>
            </w:r>
          </w:p>
        </w:tc>
        <w:tc>
          <w:tcPr>
            <w:tcW w:w="1181" w:type="dxa"/>
            <w:tcBorders>
              <w:top w:val="single" w:sz="4" w:space="0" w:color="auto"/>
              <w:left w:val="single" w:sz="4" w:space="0" w:color="auto"/>
              <w:bottom w:val="single" w:sz="4" w:space="0" w:color="auto"/>
              <w:right w:val="single" w:sz="4" w:space="0" w:color="auto"/>
            </w:tcBorders>
            <w:vAlign w:val="center"/>
          </w:tcPr>
          <w:p w14:paraId="3BF37CAD" w14:textId="36C2F95A"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12,6</w:t>
            </w:r>
          </w:p>
        </w:tc>
      </w:tr>
      <w:tr w:rsidR="0083067C" w:rsidRPr="00821AF6" w14:paraId="74BCF253" w14:textId="77777777" w:rsidTr="0054129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0F2EE015" w14:textId="55F75F1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8.3</w:t>
            </w:r>
          </w:p>
        </w:tc>
        <w:tc>
          <w:tcPr>
            <w:tcW w:w="2620" w:type="dxa"/>
            <w:vMerge w:val="restart"/>
            <w:tcBorders>
              <w:top w:val="single" w:sz="4" w:space="0" w:color="auto"/>
              <w:left w:val="single" w:sz="4" w:space="0" w:color="auto"/>
              <w:right w:val="single" w:sz="4" w:space="0" w:color="auto"/>
            </w:tcBorders>
            <w:vAlign w:val="center"/>
          </w:tcPr>
          <w:p w14:paraId="145743E6" w14:textId="77777777" w:rsidR="0083067C" w:rsidRPr="00821AF6" w:rsidRDefault="0083067C" w:rsidP="00B92F45">
            <w:pPr>
              <w:spacing w:before="60" w:after="20" w:line="288" w:lineRule="auto"/>
              <w:ind w:firstLine="0"/>
              <w:jc w:val="left"/>
              <w:rPr>
                <w:rFonts w:cs="Tahoma"/>
                <w:sz w:val="20"/>
                <w:szCs w:val="20"/>
              </w:rPr>
            </w:pPr>
            <w:r w:rsidRPr="00821AF6">
              <w:rPr>
                <w:rFonts w:cs="Tahoma"/>
                <w:sz w:val="20"/>
                <w:szCs w:val="20"/>
              </w:rPr>
              <w:t>Cały okres analizy</w:t>
            </w:r>
          </w:p>
        </w:tc>
        <w:tc>
          <w:tcPr>
            <w:tcW w:w="906" w:type="dxa"/>
            <w:tcBorders>
              <w:top w:val="single" w:sz="4" w:space="0" w:color="auto"/>
              <w:left w:val="single" w:sz="4" w:space="0" w:color="auto"/>
              <w:bottom w:val="single" w:sz="4" w:space="0" w:color="auto"/>
              <w:right w:val="single" w:sz="4" w:space="0" w:color="auto"/>
            </w:tcBorders>
          </w:tcPr>
          <w:p w14:paraId="72D47FDB"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tona</w:t>
            </w:r>
          </w:p>
        </w:tc>
        <w:tc>
          <w:tcPr>
            <w:tcW w:w="1244" w:type="dxa"/>
            <w:tcBorders>
              <w:top w:val="single" w:sz="4" w:space="0" w:color="auto"/>
              <w:left w:val="single" w:sz="4" w:space="0" w:color="auto"/>
              <w:bottom w:val="single" w:sz="4" w:space="0" w:color="auto"/>
              <w:right w:val="single" w:sz="4" w:space="0" w:color="auto"/>
            </w:tcBorders>
          </w:tcPr>
          <w:p w14:paraId="5D39E254" w14:textId="6E64A9E5"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-9,4</w:t>
            </w:r>
          </w:p>
        </w:tc>
        <w:tc>
          <w:tcPr>
            <w:tcW w:w="1244" w:type="dxa"/>
            <w:tcBorders>
              <w:top w:val="single" w:sz="4" w:space="0" w:color="auto"/>
              <w:left w:val="single" w:sz="4" w:space="0" w:color="auto"/>
              <w:bottom w:val="single" w:sz="4" w:space="0" w:color="auto"/>
              <w:right w:val="single" w:sz="4" w:space="0" w:color="auto"/>
            </w:tcBorders>
          </w:tcPr>
          <w:p w14:paraId="10AC8E67" w14:textId="6EE86BD1"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-7,</w:t>
            </w:r>
            <w:r w:rsidR="00E87913">
              <w:rPr>
                <w:rFonts w:cs="Tahoma"/>
                <w:sz w:val="20"/>
                <w:szCs w:val="20"/>
              </w:rPr>
              <w:t>1</w:t>
            </w:r>
          </w:p>
        </w:tc>
        <w:tc>
          <w:tcPr>
            <w:tcW w:w="1244" w:type="dxa"/>
            <w:tcBorders>
              <w:top w:val="single" w:sz="4" w:space="0" w:color="auto"/>
              <w:left w:val="single" w:sz="4" w:space="0" w:color="auto"/>
              <w:bottom w:val="single" w:sz="4" w:space="0" w:color="auto"/>
              <w:right w:val="single" w:sz="4" w:space="0" w:color="auto"/>
            </w:tcBorders>
          </w:tcPr>
          <w:p w14:paraId="46DFCFBF" w14:textId="139A337F"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12,2</w:t>
            </w:r>
          </w:p>
        </w:tc>
        <w:tc>
          <w:tcPr>
            <w:tcW w:w="1181" w:type="dxa"/>
            <w:tcBorders>
              <w:top w:val="single" w:sz="4" w:space="0" w:color="auto"/>
              <w:left w:val="single" w:sz="4" w:space="0" w:color="auto"/>
              <w:bottom w:val="single" w:sz="4" w:space="0" w:color="auto"/>
              <w:right w:val="single" w:sz="4" w:space="0" w:color="auto"/>
            </w:tcBorders>
            <w:vAlign w:val="center"/>
          </w:tcPr>
          <w:p w14:paraId="1331B36C" w14:textId="5E879580" w:rsidR="0083067C" w:rsidRPr="0083067C" w:rsidRDefault="0083067C" w:rsidP="00B92F45">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11</w:t>
            </w:r>
            <w:r w:rsidRPr="0083067C">
              <w:rPr>
                <w:rFonts w:cs="Tahoma"/>
                <w:sz w:val="20"/>
                <w:szCs w:val="20"/>
              </w:rPr>
              <w:t>,5</w:t>
            </w:r>
          </w:p>
        </w:tc>
      </w:tr>
      <w:tr w:rsidR="0083067C" w:rsidRPr="00821AF6" w14:paraId="51AE1E92" w14:textId="77777777" w:rsidTr="0054129D">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14:paraId="0FA94DEB" w14:textId="5BDB4BE3"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8.4</w:t>
            </w:r>
          </w:p>
        </w:tc>
        <w:tc>
          <w:tcPr>
            <w:tcW w:w="2620" w:type="dxa"/>
            <w:vMerge/>
            <w:tcBorders>
              <w:left w:val="single" w:sz="4" w:space="0" w:color="auto"/>
              <w:right w:val="single" w:sz="4" w:space="0" w:color="auto"/>
            </w:tcBorders>
          </w:tcPr>
          <w:p w14:paraId="6D1EFC45" w14:textId="77777777" w:rsidR="0083067C" w:rsidRPr="00821AF6" w:rsidRDefault="0083067C" w:rsidP="00B92F45">
            <w:pPr>
              <w:spacing w:before="60" w:after="20" w:line="288" w:lineRule="auto"/>
              <w:ind w:firstLine="0"/>
              <w:jc w:val="left"/>
              <w:rPr>
                <w:rFonts w:cs="Tahoma"/>
                <w:sz w:val="20"/>
                <w:szCs w:val="20"/>
              </w:rPr>
            </w:pPr>
          </w:p>
        </w:tc>
        <w:tc>
          <w:tcPr>
            <w:tcW w:w="906" w:type="dxa"/>
            <w:tcBorders>
              <w:top w:val="single" w:sz="4" w:space="0" w:color="auto"/>
              <w:left w:val="single" w:sz="4" w:space="0" w:color="auto"/>
              <w:bottom w:val="single" w:sz="4" w:space="0" w:color="auto"/>
              <w:right w:val="single" w:sz="4" w:space="0" w:color="auto"/>
            </w:tcBorders>
          </w:tcPr>
          <w:p w14:paraId="58C0E358" w14:textId="77777777" w:rsidR="0083067C" w:rsidRPr="00821AF6" w:rsidRDefault="0083067C" w:rsidP="00B92F45">
            <w:pPr>
              <w:spacing w:before="60" w:after="20" w:line="288" w:lineRule="auto"/>
              <w:ind w:firstLine="0"/>
              <w:jc w:val="center"/>
              <w:rPr>
                <w:rFonts w:cs="Tahoma"/>
                <w:sz w:val="20"/>
                <w:szCs w:val="20"/>
              </w:rPr>
            </w:pPr>
            <w:r w:rsidRPr="00821AF6">
              <w:rPr>
                <w:rFonts w:cs="Tahoma"/>
                <w:sz w:val="20"/>
                <w:szCs w:val="20"/>
              </w:rPr>
              <w:t>tys. zł</w:t>
            </w:r>
          </w:p>
        </w:tc>
        <w:tc>
          <w:tcPr>
            <w:tcW w:w="1244" w:type="dxa"/>
            <w:tcBorders>
              <w:top w:val="single" w:sz="4" w:space="0" w:color="auto"/>
              <w:left w:val="single" w:sz="4" w:space="0" w:color="auto"/>
              <w:bottom w:val="single" w:sz="4" w:space="0" w:color="auto"/>
              <w:right w:val="single" w:sz="4" w:space="0" w:color="auto"/>
            </w:tcBorders>
          </w:tcPr>
          <w:p w14:paraId="7ADE7F9B" w14:textId="0F06B4DD"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-10,</w:t>
            </w:r>
            <w:r w:rsidR="00E87913">
              <w:rPr>
                <w:rFonts w:cs="Tahoma"/>
                <w:sz w:val="20"/>
                <w:szCs w:val="20"/>
              </w:rPr>
              <w:t>2</w:t>
            </w:r>
          </w:p>
        </w:tc>
        <w:tc>
          <w:tcPr>
            <w:tcW w:w="1244" w:type="dxa"/>
            <w:tcBorders>
              <w:top w:val="single" w:sz="4" w:space="0" w:color="auto"/>
              <w:left w:val="single" w:sz="4" w:space="0" w:color="auto"/>
              <w:bottom w:val="single" w:sz="4" w:space="0" w:color="auto"/>
              <w:right w:val="single" w:sz="4" w:space="0" w:color="auto"/>
            </w:tcBorders>
          </w:tcPr>
          <w:p w14:paraId="44D258F1" w14:textId="6CF5ADDE"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7,7</w:t>
            </w:r>
          </w:p>
        </w:tc>
        <w:tc>
          <w:tcPr>
            <w:tcW w:w="1244" w:type="dxa"/>
            <w:tcBorders>
              <w:top w:val="single" w:sz="4" w:space="0" w:color="auto"/>
              <w:left w:val="single" w:sz="4" w:space="0" w:color="auto"/>
              <w:bottom w:val="single" w:sz="4" w:space="0" w:color="auto"/>
              <w:right w:val="single" w:sz="4" w:space="0" w:color="auto"/>
            </w:tcBorders>
          </w:tcPr>
          <w:p w14:paraId="54AAE44D" w14:textId="7840AE70"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13,3</w:t>
            </w:r>
          </w:p>
        </w:tc>
        <w:tc>
          <w:tcPr>
            <w:tcW w:w="1181" w:type="dxa"/>
            <w:tcBorders>
              <w:top w:val="single" w:sz="4" w:space="0" w:color="auto"/>
              <w:left w:val="single" w:sz="4" w:space="0" w:color="auto"/>
              <w:bottom w:val="single" w:sz="4" w:space="0" w:color="auto"/>
              <w:right w:val="single" w:sz="4" w:space="0" w:color="auto"/>
            </w:tcBorders>
            <w:vAlign w:val="center"/>
          </w:tcPr>
          <w:p w14:paraId="3B053424" w14:textId="12644F56" w:rsidR="0083067C" w:rsidRPr="0083067C" w:rsidRDefault="0083067C" w:rsidP="00E87913">
            <w:pPr>
              <w:spacing w:before="60" w:after="20" w:line="288" w:lineRule="auto"/>
              <w:ind w:firstLine="0"/>
              <w:jc w:val="right"/>
              <w:rPr>
                <w:rFonts w:cs="Tahoma"/>
                <w:sz w:val="20"/>
                <w:szCs w:val="20"/>
              </w:rPr>
            </w:pPr>
            <w:r w:rsidRPr="0083067C">
              <w:rPr>
                <w:rFonts w:cs="Tahoma"/>
                <w:sz w:val="20"/>
                <w:szCs w:val="20"/>
              </w:rPr>
              <w:t>-</w:t>
            </w:r>
            <w:r w:rsidR="00E87913">
              <w:rPr>
                <w:rFonts w:cs="Tahoma"/>
                <w:sz w:val="20"/>
                <w:szCs w:val="20"/>
              </w:rPr>
              <w:t>12,6</w:t>
            </w:r>
          </w:p>
        </w:tc>
      </w:tr>
    </w:tbl>
    <w:p w14:paraId="0D5E4958" w14:textId="6EE64FA4" w:rsidR="00865852" w:rsidRPr="00821AF6" w:rsidRDefault="00865852" w:rsidP="00B92F45">
      <w:pPr>
        <w:spacing w:before="120" w:after="240"/>
        <w:ind w:firstLine="0"/>
        <w:jc w:val="left"/>
        <w:rPr>
          <w:rFonts w:cs="Tahoma"/>
          <w:sz w:val="20"/>
          <w:szCs w:val="20"/>
        </w:rPr>
      </w:pPr>
      <w:r w:rsidRPr="00821AF6">
        <w:rPr>
          <w:rFonts w:cs="Tahoma"/>
          <w:sz w:val="20"/>
          <w:szCs w:val="20"/>
        </w:rPr>
        <w:t>Źródło: opracowanie własne.</w:t>
      </w:r>
    </w:p>
    <w:p w14:paraId="22504FDE" w14:textId="0800FC42" w:rsidR="00B92F45" w:rsidRPr="00821AF6" w:rsidRDefault="00C96610" w:rsidP="00C96610">
      <w:pPr>
        <w:rPr>
          <w:rFonts w:cs="Tahoma"/>
          <w:color w:val="000000"/>
        </w:rPr>
      </w:pPr>
      <w:bookmarkStart w:id="95" w:name="_Hlk85150814"/>
      <w:r>
        <w:rPr>
          <w:rFonts w:cs="Tahoma"/>
          <w:color w:val="000000"/>
        </w:rPr>
        <w:t>W</w:t>
      </w:r>
      <w:r w:rsidR="00B92F45" w:rsidRPr="00821AF6">
        <w:rPr>
          <w:rFonts w:cs="Tahoma"/>
          <w:color w:val="000000"/>
        </w:rPr>
        <w:t xml:space="preserve"> </w:t>
      </w:r>
      <w:r>
        <w:rPr>
          <w:rFonts w:cs="Tahoma"/>
          <w:color w:val="000000"/>
        </w:rPr>
        <w:t>obydwu</w:t>
      </w:r>
      <w:r w:rsidR="00B92F45" w:rsidRPr="00821AF6">
        <w:rPr>
          <w:rFonts w:cs="Tahoma"/>
          <w:color w:val="000000"/>
        </w:rPr>
        <w:t xml:space="preserve"> wariantach </w:t>
      </w:r>
      <w:r>
        <w:rPr>
          <w:rFonts w:cs="Tahoma"/>
          <w:color w:val="000000"/>
        </w:rPr>
        <w:t xml:space="preserve">inwestycyjnych </w:t>
      </w:r>
      <w:r w:rsidR="00B92F45" w:rsidRPr="00821AF6">
        <w:rPr>
          <w:rFonts w:cs="Tahoma"/>
          <w:color w:val="000000"/>
        </w:rPr>
        <w:t>z taborem zeroemisyjnym wartości ENPV przyjęły wielkości ujemne. W przypadku, gdy wartość ENPV wynosi zero, bieżąca wartość przyszłych korzyści ekonomicznych jest równa bieżącej wartości kosztów ekonomicznych wariantu. W</w:t>
      </w:r>
      <w:r w:rsidR="007F019A">
        <w:rPr>
          <w:rFonts w:cs="Tahoma"/>
          <w:color w:val="000000"/>
        </w:rPr>
        <w:t> </w:t>
      </w:r>
      <w:r w:rsidR="00B92F45" w:rsidRPr="00821AF6">
        <w:rPr>
          <w:rFonts w:cs="Tahoma"/>
          <w:color w:val="000000"/>
        </w:rPr>
        <w:t>analizowanym przypadku nie są jednak istotne osiągnięte wartości ENPV w porównaniu do</w:t>
      </w:r>
      <w:r w:rsidR="007F019A">
        <w:rPr>
          <w:rFonts w:cs="Tahoma"/>
          <w:color w:val="000000"/>
        </w:rPr>
        <w:t> </w:t>
      </w:r>
      <w:r w:rsidR="00B92F45" w:rsidRPr="00821AF6">
        <w:rPr>
          <w:rFonts w:cs="Tahoma"/>
          <w:color w:val="000000"/>
        </w:rPr>
        <w:t>scenariusza bazowego, lecz różnice wartości ENPV poszczególnych analizowanych wariantów. Scenariusz bazowy nie będzie bowiem realizowany i ma znaczenie wyłącznie porównawcze, ponieważ służy zaprognozowaniu przepływów dla poszczególnych wariantów przy zastosowaniu metody różnicowej.</w:t>
      </w:r>
    </w:p>
    <w:p w14:paraId="32D9670E" w14:textId="40D1795A" w:rsidR="005D68B9" w:rsidRDefault="005D68B9" w:rsidP="00C96610">
      <w:pPr>
        <w:rPr>
          <w:rFonts w:cs="Tahoma"/>
          <w:b/>
          <w:color w:val="000000"/>
        </w:rPr>
      </w:pPr>
      <w:r>
        <w:rPr>
          <w:rFonts w:cs="Tahoma"/>
          <w:b/>
          <w:color w:val="000000"/>
        </w:rPr>
        <w:t xml:space="preserve">Z porównania wariantów inwestycyjnych </w:t>
      </w:r>
      <w:r w:rsidRPr="000E7555">
        <w:rPr>
          <w:rFonts w:cs="Tahoma"/>
          <w:b/>
          <w:color w:val="000000"/>
        </w:rPr>
        <w:t>związan</w:t>
      </w:r>
      <w:r>
        <w:rPr>
          <w:rFonts w:cs="Tahoma"/>
          <w:b/>
          <w:color w:val="000000"/>
        </w:rPr>
        <w:t xml:space="preserve">ych </w:t>
      </w:r>
      <w:r w:rsidRPr="000E7555">
        <w:rPr>
          <w:rFonts w:cs="Tahoma"/>
          <w:b/>
          <w:color w:val="000000"/>
        </w:rPr>
        <w:t xml:space="preserve">z wymianą taboru </w:t>
      </w:r>
      <w:bookmarkEnd w:id="95"/>
      <w:r w:rsidR="00C73F5E">
        <w:rPr>
          <w:rFonts w:cs="Tahoma"/>
          <w:b/>
          <w:color w:val="000000"/>
        </w:rPr>
        <w:t>rzeszowskie</w:t>
      </w:r>
      <w:r>
        <w:rPr>
          <w:rFonts w:cs="Tahoma"/>
          <w:b/>
          <w:color w:val="000000"/>
        </w:rPr>
        <w:t xml:space="preserve">j </w:t>
      </w:r>
      <w:r w:rsidRPr="000E7555">
        <w:rPr>
          <w:rFonts w:cs="Tahoma"/>
          <w:b/>
          <w:color w:val="000000"/>
        </w:rPr>
        <w:t>komunikacji miejskiej</w:t>
      </w:r>
      <w:r>
        <w:rPr>
          <w:rFonts w:cs="Tahoma"/>
          <w:b/>
          <w:color w:val="000000"/>
        </w:rPr>
        <w:t xml:space="preserve"> wynika</w:t>
      </w:r>
      <w:r w:rsidRPr="000E7555">
        <w:rPr>
          <w:rFonts w:cs="Tahoma"/>
          <w:b/>
          <w:color w:val="000000"/>
        </w:rPr>
        <w:t xml:space="preserve">, </w:t>
      </w:r>
      <w:r>
        <w:rPr>
          <w:rFonts w:cs="Tahoma"/>
          <w:b/>
          <w:color w:val="000000"/>
        </w:rPr>
        <w:t xml:space="preserve">że </w:t>
      </w:r>
      <w:r w:rsidRPr="000E7555">
        <w:rPr>
          <w:rFonts w:cs="Tahoma"/>
          <w:b/>
          <w:color w:val="000000"/>
        </w:rPr>
        <w:t>korzystniejszą wartość ENPV osiągnięto dla wariantu konwencjonalnego</w:t>
      </w:r>
      <w:r w:rsidRPr="00821AF6">
        <w:rPr>
          <w:rFonts w:cs="Tahoma"/>
          <w:b/>
          <w:color w:val="000000"/>
        </w:rPr>
        <w:t>.</w:t>
      </w:r>
    </w:p>
    <w:p w14:paraId="59535169" w14:textId="6CCE3026" w:rsidR="005D68B9" w:rsidRPr="00821AF6" w:rsidRDefault="005D68B9" w:rsidP="00C96610">
      <w:pPr>
        <w:rPr>
          <w:rFonts w:cs="Tahoma"/>
          <w:color w:val="000000"/>
        </w:rPr>
      </w:pPr>
      <w:r w:rsidRPr="00821AF6">
        <w:rPr>
          <w:rFonts w:cs="Tahoma"/>
          <w:color w:val="000000"/>
        </w:rPr>
        <w:t xml:space="preserve">Z uwagi na znaczące różnice w wartości nakładów inwestycyjnych ocenianych wariantów, ENPV nie jest </w:t>
      </w:r>
      <w:r>
        <w:rPr>
          <w:rFonts w:cs="Tahoma"/>
          <w:color w:val="000000"/>
        </w:rPr>
        <w:t>jedyną</w:t>
      </w:r>
      <w:r w:rsidRPr="00821AF6">
        <w:rPr>
          <w:rFonts w:cs="Tahoma"/>
          <w:color w:val="000000"/>
        </w:rPr>
        <w:t xml:space="preserve"> determinantą, która powinna być uwzględniona w ocenie. Należy </w:t>
      </w:r>
      <w:r w:rsidRPr="00821AF6">
        <w:rPr>
          <w:rFonts w:cs="Tahoma"/>
          <w:color w:val="000000"/>
        </w:rPr>
        <w:lastRenderedPageBreak/>
        <w:t xml:space="preserve">odnieść się do efektywności ekonomicznej wariantów. Wskaźnikami, które informują o </w:t>
      </w:r>
      <w:r>
        <w:rPr>
          <w:rFonts w:cs="Tahoma"/>
          <w:color w:val="000000"/>
        </w:rPr>
        <w:t>efektywności ekonomicznej, są E</w:t>
      </w:r>
      <w:r w:rsidRPr="00821AF6">
        <w:rPr>
          <w:rFonts w:cs="Tahoma"/>
          <w:color w:val="000000"/>
        </w:rPr>
        <w:t>RR oraz BCR. Z uwagi na charakteryst</w:t>
      </w:r>
      <w:r>
        <w:rPr>
          <w:rFonts w:cs="Tahoma"/>
          <w:color w:val="000000"/>
        </w:rPr>
        <w:t>ykę przepływów ekonomicznych, E</w:t>
      </w:r>
      <w:r w:rsidRPr="00821AF6">
        <w:rPr>
          <w:rFonts w:cs="Tahoma"/>
          <w:color w:val="000000"/>
        </w:rPr>
        <w:t>RR jest niepoliczalna. Wskaźnik BCR wyka</w:t>
      </w:r>
      <w:r w:rsidR="00C96610">
        <w:rPr>
          <w:rFonts w:cs="Tahoma"/>
          <w:color w:val="000000"/>
        </w:rPr>
        <w:t>zuje wyższą wartość dla wariantów elektrycznego i wodorowego wobec wariantu</w:t>
      </w:r>
      <w:r w:rsidRPr="00821AF6">
        <w:rPr>
          <w:rFonts w:cs="Tahoma"/>
          <w:color w:val="000000"/>
        </w:rPr>
        <w:t xml:space="preserve"> </w:t>
      </w:r>
      <w:r w:rsidR="00C96610">
        <w:rPr>
          <w:rFonts w:cs="Tahoma"/>
          <w:color w:val="000000"/>
        </w:rPr>
        <w:t>konwencjonalnego</w:t>
      </w:r>
      <w:r w:rsidRPr="00821AF6">
        <w:rPr>
          <w:rFonts w:cs="Tahoma"/>
          <w:color w:val="000000"/>
        </w:rPr>
        <w:t>.</w:t>
      </w:r>
    </w:p>
    <w:p w14:paraId="5D182F9A" w14:textId="524A98EC" w:rsidR="00865852" w:rsidRPr="00821AF6" w:rsidRDefault="00865852" w:rsidP="00C96610">
      <w:pPr>
        <w:pStyle w:val="Legenda"/>
        <w:spacing w:before="240" w:after="0"/>
        <w:ind w:firstLine="0"/>
        <w:jc w:val="left"/>
        <w:rPr>
          <w:color w:val="000000"/>
          <w:sz w:val="22"/>
          <w:szCs w:val="22"/>
        </w:rPr>
      </w:pPr>
      <w:r w:rsidRPr="00821AF6">
        <w:rPr>
          <w:color w:val="000000"/>
          <w:sz w:val="22"/>
          <w:szCs w:val="22"/>
        </w:rPr>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17</w:t>
      </w:r>
      <w:r w:rsidR="00B60ABE" w:rsidRPr="00821AF6">
        <w:rPr>
          <w:color w:val="000000"/>
          <w:sz w:val="22"/>
          <w:szCs w:val="22"/>
        </w:rPr>
        <w:fldChar w:fldCharType="end"/>
      </w:r>
      <w:r w:rsidRPr="00821AF6">
        <w:rPr>
          <w:color w:val="000000"/>
          <w:sz w:val="22"/>
          <w:szCs w:val="22"/>
        </w:rPr>
        <w:t>. Podsumowanie wyników finansowo-ekonomicznych</w:t>
      </w:r>
      <w:r w:rsidR="004022D3" w:rsidRPr="00821AF6">
        <w:rPr>
          <w:color w:val="000000"/>
          <w:sz w:val="22"/>
          <w:szCs w:val="22"/>
        </w:rPr>
        <w:t xml:space="preserve"> </w:t>
      </w:r>
      <w:r w:rsidRPr="00821AF6">
        <w:rPr>
          <w:color w:val="000000"/>
          <w:sz w:val="22"/>
          <w:szCs w:val="22"/>
        </w:rPr>
        <w:t>poszczególnych</w:t>
      </w:r>
      <w:r w:rsidR="004022D3" w:rsidRPr="00821AF6">
        <w:rPr>
          <w:color w:val="000000"/>
          <w:sz w:val="22"/>
          <w:szCs w:val="22"/>
        </w:rPr>
        <w:br/>
      </w:r>
      <w:r w:rsidRPr="00821AF6">
        <w:rPr>
          <w:color w:val="000000"/>
          <w:sz w:val="22"/>
          <w:szCs w:val="22"/>
        </w:rPr>
        <w:t>wariantów w stosunku do scenariusza bazowego</w:t>
      </w:r>
      <w:r w:rsidR="006B30B2">
        <w:rPr>
          <w:color w:val="000000"/>
          <w:sz w:val="22"/>
          <w:szCs w:val="22"/>
        </w:rPr>
        <w:t xml:space="preserve"> w latach 2021-2036</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253"/>
        <w:gridCol w:w="1275"/>
        <w:gridCol w:w="1514"/>
        <w:gridCol w:w="1515"/>
        <w:gridCol w:w="1515"/>
      </w:tblGrid>
      <w:tr w:rsidR="00B420F7" w:rsidRPr="00821AF6" w14:paraId="3C5BF353" w14:textId="77777777" w:rsidTr="00E52732">
        <w:trPr>
          <w:cantSplit/>
          <w:tblHeader/>
          <w:jc w:val="center"/>
        </w:trPr>
        <w:tc>
          <w:tcPr>
            <w:tcW w:w="3253" w:type="dxa"/>
            <w:vMerge w:val="restart"/>
            <w:shd w:val="clear" w:color="auto" w:fill="FFFF99"/>
            <w:vAlign w:val="center"/>
          </w:tcPr>
          <w:p w14:paraId="03E710F9" w14:textId="77777777" w:rsidR="00B420F7" w:rsidRPr="00821AF6" w:rsidRDefault="00B420F7" w:rsidP="00C96610">
            <w:pPr>
              <w:spacing w:before="60" w:after="40" w:line="288" w:lineRule="auto"/>
              <w:ind w:firstLine="0"/>
              <w:jc w:val="center"/>
              <w:rPr>
                <w:rFonts w:cs="Tahoma"/>
                <w:b/>
                <w:sz w:val="20"/>
                <w:szCs w:val="20"/>
              </w:rPr>
            </w:pPr>
            <w:r w:rsidRPr="00821AF6">
              <w:rPr>
                <w:rFonts w:cs="Tahoma"/>
                <w:b/>
                <w:sz w:val="20"/>
                <w:szCs w:val="20"/>
              </w:rPr>
              <w:t>Wyszczególnienie</w:t>
            </w:r>
          </w:p>
        </w:tc>
        <w:tc>
          <w:tcPr>
            <w:tcW w:w="1275" w:type="dxa"/>
            <w:vMerge w:val="restart"/>
            <w:shd w:val="clear" w:color="auto" w:fill="FFFF99"/>
            <w:vAlign w:val="center"/>
          </w:tcPr>
          <w:p w14:paraId="5282D4C2" w14:textId="77777777" w:rsidR="00B420F7" w:rsidRPr="00821AF6" w:rsidRDefault="00B420F7" w:rsidP="00C96610">
            <w:pPr>
              <w:spacing w:before="60" w:after="40" w:line="288" w:lineRule="auto"/>
              <w:ind w:firstLine="0"/>
              <w:jc w:val="center"/>
              <w:rPr>
                <w:rFonts w:cs="Tahoma"/>
                <w:b/>
                <w:sz w:val="20"/>
                <w:szCs w:val="20"/>
              </w:rPr>
            </w:pPr>
            <w:r w:rsidRPr="00821AF6">
              <w:rPr>
                <w:rFonts w:cs="Tahoma"/>
                <w:b/>
                <w:sz w:val="20"/>
                <w:szCs w:val="20"/>
              </w:rPr>
              <w:t>Jednostka</w:t>
            </w:r>
          </w:p>
        </w:tc>
        <w:tc>
          <w:tcPr>
            <w:tcW w:w="4544" w:type="dxa"/>
            <w:gridSpan w:val="3"/>
            <w:shd w:val="clear" w:color="auto" w:fill="FFFF99"/>
            <w:vAlign w:val="center"/>
          </w:tcPr>
          <w:p w14:paraId="0028E814" w14:textId="77777777" w:rsidR="00B420F7" w:rsidRPr="00821AF6" w:rsidRDefault="00B420F7" w:rsidP="00C96610">
            <w:pPr>
              <w:spacing w:before="60" w:after="40" w:line="288" w:lineRule="auto"/>
              <w:ind w:firstLine="0"/>
              <w:jc w:val="center"/>
              <w:rPr>
                <w:rFonts w:cs="Tahoma"/>
                <w:b/>
                <w:sz w:val="20"/>
                <w:szCs w:val="20"/>
              </w:rPr>
            </w:pPr>
            <w:r w:rsidRPr="00821AF6">
              <w:rPr>
                <w:rFonts w:cs="Tahoma"/>
                <w:b/>
                <w:sz w:val="20"/>
                <w:szCs w:val="20"/>
              </w:rPr>
              <w:t>Wariant</w:t>
            </w:r>
          </w:p>
        </w:tc>
      </w:tr>
      <w:tr w:rsidR="00B420F7" w:rsidRPr="00821AF6" w14:paraId="6F7AE618" w14:textId="77777777" w:rsidTr="00E52732">
        <w:trPr>
          <w:cantSplit/>
          <w:tblHeader/>
          <w:jc w:val="center"/>
        </w:trPr>
        <w:tc>
          <w:tcPr>
            <w:tcW w:w="3253" w:type="dxa"/>
            <w:vMerge/>
            <w:shd w:val="clear" w:color="auto" w:fill="FFFF99"/>
            <w:vAlign w:val="center"/>
          </w:tcPr>
          <w:p w14:paraId="2E928980" w14:textId="77777777" w:rsidR="00B420F7" w:rsidRPr="00821AF6" w:rsidRDefault="00B420F7" w:rsidP="00C96610">
            <w:pPr>
              <w:spacing w:before="60" w:after="40" w:line="288" w:lineRule="auto"/>
              <w:ind w:firstLine="0"/>
              <w:jc w:val="center"/>
              <w:rPr>
                <w:rFonts w:cs="Tahoma"/>
                <w:b/>
                <w:sz w:val="20"/>
                <w:szCs w:val="20"/>
              </w:rPr>
            </w:pPr>
          </w:p>
        </w:tc>
        <w:tc>
          <w:tcPr>
            <w:tcW w:w="1275" w:type="dxa"/>
            <w:vMerge/>
            <w:shd w:val="clear" w:color="auto" w:fill="FFFF99"/>
            <w:vAlign w:val="center"/>
          </w:tcPr>
          <w:p w14:paraId="46B1CD44" w14:textId="77777777" w:rsidR="00B420F7" w:rsidRPr="00821AF6" w:rsidRDefault="00B420F7" w:rsidP="00C96610">
            <w:pPr>
              <w:spacing w:before="60" w:after="40" w:line="288" w:lineRule="auto"/>
              <w:ind w:firstLine="0"/>
              <w:jc w:val="center"/>
              <w:rPr>
                <w:rFonts w:cs="Tahoma"/>
                <w:b/>
                <w:sz w:val="20"/>
                <w:szCs w:val="20"/>
              </w:rPr>
            </w:pPr>
          </w:p>
        </w:tc>
        <w:tc>
          <w:tcPr>
            <w:tcW w:w="1514" w:type="dxa"/>
            <w:shd w:val="clear" w:color="auto" w:fill="FFFF99"/>
            <w:vAlign w:val="center"/>
          </w:tcPr>
          <w:p w14:paraId="2E1C7468" w14:textId="710F7436" w:rsidR="00B420F7" w:rsidRPr="00821AF6" w:rsidRDefault="00B420F7" w:rsidP="00C96610">
            <w:pPr>
              <w:spacing w:before="60" w:after="40" w:line="288" w:lineRule="auto"/>
              <w:ind w:firstLine="0"/>
              <w:jc w:val="center"/>
              <w:rPr>
                <w:rFonts w:cs="Tahoma"/>
                <w:b/>
                <w:sz w:val="20"/>
                <w:szCs w:val="20"/>
              </w:rPr>
            </w:pPr>
            <w:r w:rsidRPr="00821AF6">
              <w:rPr>
                <w:rFonts w:cs="Tahoma"/>
                <w:b/>
                <w:sz w:val="20"/>
                <w:szCs w:val="20"/>
              </w:rPr>
              <w:t>konwencjonalny</w:t>
            </w:r>
          </w:p>
        </w:tc>
        <w:tc>
          <w:tcPr>
            <w:tcW w:w="1515" w:type="dxa"/>
            <w:shd w:val="clear" w:color="auto" w:fill="FFFF99"/>
            <w:vAlign w:val="center"/>
          </w:tcPr>
          <w:p w14:paraId="539AADE8" w14:textId="16DD9E2F" w:rsidR="00B420F7" w:rsidRPr="00821AF6" w:rsidRDefault="003500BD" w:rsidP="00C96610">
            <w:pPr>
              <w:spacing w:before="60" w:after="40" w:line="288" w:lineRule="auto"/>
              <w:ind w:firstLine="0"/>
              <w:jc w:val="center"/>
              <w:rPr>
                <w:rFonts w:cs="Tahoma"/>
                <w:b/>
                <w:sz w:val="20"/>
                <w:szCs w:val="20"/>
              </w:rPr>
            </w:pPr>
            <w:r>
              <w:rPr>
                <w:rFonts w:cs="Tahoma"/>
                <w:b/>
                <w:sz w:val="20"/>
                <w:szCs w:val="20"/>
              </w:rPr>
              <w:t>e</w:t>
            </w:r>
            <w:r w:rsidR="00B420F7" w:rsidRPr="00821AF6">
              <w:rPr>
                <w:rFonts w:cs="Tahoma"/>
                <w:b/>
                <w:sz w:val="20"/>
                <w:szCs w:val="20"/>
              </w:rPr>
              <w:t>lektryczny</w:t>
            </w:r>
            <w:r>
              <w:rPr>
                <w:rFonts w:cs="Tahoma"/>
                <w:b/>
                <w:sz w:val="20"/>
                <w:szCs w:val="20"/>
              </w:rPr>
              <w:t xml:space="preserve"> </w:t>
            </w:r>
          </w:p>
        </w:tc>
        <w:tc>
          <w:tcPr>
            <w:tcW w:w="1515" w:type="dxa"/>
            <w:shd w:val="clear" w:color="auto" w:fill="FFFF99"/>
            <w:vAlign w:val="center"/>
          </w:tcPr>
          <w:p w14:paraId="14AA974B" w14:textId="5664E1A6" w:rsidR="00B420F7" w:rsidRPr="00821AF6" w:rsidRDefault="00C96610" w:rsidP="00C96610">
            <w:pPr>
              <w:spacing w:before="60" w:after="40" w:line="288" w:lineRule="auto"/>
              <w:ind w:firstLine="0"/>
              <w:jc w:val="center"/>
              <w:rPr>
                <w:rFonts w:cs="Tahoma"/>
                <w:b/>
                <w:sz w:val="20"/>
                <w:szCs w:val="20"/>
              </w:rPr>
            </w:pPr>
            <w:r>
              <w:rPr>
                <w:rFonts w:cs="Tahoma"/>
                <w:b/>
                <w:sz w:val="20"/>
                <w:szCs w:val="20"/>
              </w:rPr>
              <w:t>wodorowy</w:t>
            </w:r>
          </w:p>
        </w:tc>
      </w:tr>
      <w:tr w:rsidR="005D68B9" w:rsidRPr="00821AF6" w14:paraId="43990ABF"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58DA1C5B" w14:textId="77777777" w:rsidR="005D68B9" w:rsidRPr="00821AF6" w:rsidRDefault="005D68B9" w:rsidP="00C96610">
            <w:pPr>
              <w:spacing w:before="60" w:after="40" w:line="288" w:lineRule="auto"/>
              <w:ind w:firstLine="0"/>
              <w:jc w:val="left"/>
              <w:rPr>
                <w:rFonts w:cs="Tahoma"/>
                <w:b/>
                <w:sz w:val="20"/>
                <w:szCs w:val="20"/>
              </w:rPr>
            </w:pPr>
            <w:r w:rsidRPr="00821AF6">
              <w:rPr>
                <w:rFonts w:cs="Tahoma"/>
                <w:b/>
                <w:sz w:val="20"/>
                <w:szCs w:val="20"/>
              </w:rPr>
              <w:t xml:space="preserve">Koszty inwestycyjne </w:t>
            </w:r>
          </w:p>
        </w:tc>
        <w:tc>
          <w:tcPr>
            <w:tcW w:w="1275" w:type="dxa"/>
            <w:tcBorders>
              <w:top w:val="single" w:sz="4" w:space="0" w:color="auto"/>
              <w:left w:val="single" w:sz="4" w:space="0" w:color="auto"/>
              <w:bottom w:val="single" w:sz="4" w:space="0" w:color="auto"/>
              <w:right w:val="single" w:sz="4" w:space="0" w:color="auto"/>
            </w:tcBorders>
            <w:vAlign w:val="center"/>
          </w:tcPr>
          <w:p w14:paraId="427EAFCB" w14:textId="77777777" w:rsidR="005D68B9" w:rsidRPr="00821AF6" w:rsidRDefault="005D68B9" w:rsidP="00C96610">
            <w:pPr>
              <w:spacing w:before="60" w:after="40" w:line="288" w:lineRule="auto"/>
              <w:ind w:firstLine="0"/>
              <w:jc w:val="center"/>
              <w:rPr>
                <w:rFonts w:cs="Tahoma"/>
                <w:b/>
                <w:sz w:val="20"/>
                <w:szCs w:val="20"/>
              </w:rPr>
            </w:pPr>
            <w:r w:rsidRPr="00821AF6">
              <w:rPr>
                <w:rFonts w:cs="Tahoma"/>
                <w:b/>
                <w:sz w:val="20"/>
                <w:szCs w:val="20"/>
              </w:rPr>
              <w:t>tys. zł</w:t>
            </w:r>
          </w:p>
        </w:tc>
        <w:tc>
          <w:tcPr>
            <w:tcW w:w="1514" w:type="dxa"/>
            <w:tcBorders>
              <w:top w:val="single" w:sz="4" w:space="0" w:color="auto"/>
              <w:left w:val="single" w:sz="4" w:space="0" w:color="auto"/>
              <w:bottom w:val="single" w:sz="4" w:space="0" w:color="auto"/>
              <w:right w:val="single" w:sz="4" w:space="0" w:color="auto"/>
            </w:tcBorders>
            <w:vAlign w:val="center"/>
          </w:tcPr>
          <w:p w14:paraId="112AC555" w14:textId="6A35C776" w:rsidR="005D68B9" w:rsidRPr="005D68B9" w:rsidRDefault="00C96610" w:rsidP="00C96610">
            <w:pPr>
              <w:spacing w:before="60" w:after="40" w:line="288" w:lineRule="auto"/>
              <w:ind w:firstLine="0"/>
              <w:jc w:val="right"/>
              <w:rPr>
                <w:rFonts w:cs="Tahoma"/>
                <w:b/>
                <w:sz w:val="20"/>
                <w:szCs w:val="20"/>
              </w:rPr>
            </w:pPr>
            <w:r>
              <w:rPr>
                <w:rFonts w:cs="Tahoma"/>
                <w:b/>
                <w:sz w:val="20"/>
                <w:szCs w:val="20"/>
              </w:rPr>
              <w:t>138 870,0</w:t>
            </w:r>
          </w:p>
        </w:tc>
        <w:tc>
          <w:tcPr>
            <w:tcW w:w="1515" w:type="dxa"/>
            <w:tcBorders>
              <w:top w:val="single" w:sz="4" w:space="0" w:color="auto"/>
              <w:left w:val="single" w:sz="4" w:space="0" w:color="auto"/>
              <w:bottom w:val="single" w:sz="4" w:space="0" w:color="auto"/>
              <w:right w:val="single" w:sz="4" w:space="0" w:color="auto"/>
            </w:tcBorders>
            <w:vAlign w:val="center"/>
          </w:tcPr>
          <w:p w14:paraId="546710E4" w14:textId="07CD625F" w:rsidR="005D68B9" w:rsidRPr="005D68B9" w:rsidRDefault="00C96610" w:rsidP="00C96610">
            <w:pPr>
              <w:spacing w:before="60" w:after="40" w:line="288" w:lineRule="auto"/>
              <w:ind w:firstLine="0"/>
              <w:jc w:val="right"/>
              <w:rPr>
                <w:rFonts w:cs="Tahoma"/>
                <w:b/>
                <w:sz w:val="20"/>
                <w:szCs w:val="20"/>
              </w:rPr>
            </w:pPr>
            <w:r>
              <w:rPr>
                <w:rFonts w:cs="Tahoma"/>
                <w:b/>
                <w:sz w:val="20"/>
                <w:szCs w:val="20"/>
              </w:rPr>
              <w:t>229 995,0</w:t>
            </w:r>
          </w:p>
        </w:tc>
        <w:tc>
          <w:tcPr>
            <w:tcW w:w="1515" w:type="dxa"/>
            <w:tcBorders>
              <w:top w:val="single" w:sz="4" w:space="0" w:color="auto"/>
              <w:left w:val="single" w:sz="4" w:space="0" w:color="auto"/>
              <w:bottom w:val="single" w:sz="4" w:space="0" w:color="auto"/>
              <w:right w:val="single" w:sz="4" w:space="0" w:color="auto"/>
            </w:tcBorders>
            <w:vAlign w:val="center"/>
          </w:tcPr>
          <w:p w14:paraId="30E10567" w14:textId="63A25C5F" w:rsidR="005D68B9" w:rsidRPr="005D68B9" w:rsidRDefault="00C96610" w:rsidP="00C96610">
            <w:pPr>
              <w:spacing w:before="60" w:after="40" w:line="288" w:lineRule="auto"/>
              <w:ind w:firstLine="0"/>
              <w:jc w:val="right"/>
              <w:rPr>
                <w:rFonts w:cs="Tahoma"/>
                <w:b/>
                <w:sz w:val="20"/>
                <w:szCs w:val="20"/>
              </w:rPr>
            </w:pPr>
            <w:r>
              <w:rPr>
                <w:rFonts w:cs="Tahoma"/>
                <w:b/>
                <w:sz w:val="20"/>
                <w:szCs w:val="20"/>
              </w:rPr>
              <w:t>241 505,0</w:t>
            </w:r>
          </w:p>
        </w:tc>
      </w:tr>
      <w:tr w:rsidR="005D68B9" w:rsidRPr="00821AF6" w14:paraId="718DA278"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613E226B" w14:textId="77777777" w:rsidR="005D68B9" w:rsidRPr="00821AF6" w:rsidRDefault="005D68B9" w:rsidP="00C96610">
            <w:pPr>
              <w:spacing w:before="60" w:after="40" w:line="288" w:lineRule="auto"/>
              <w:ind w:firstLine="0"/>
              <w:jc w:val="left"/>
              <w:rPr>
                <w:rFonts w:cs="Tahoma"/>
                <w:sz w:val="20"/>
                <w:szCs w:val="20"/>
              </w:rPr>
            </w:pPr>
            <w:r w:rsidRPr="00821AF6">
              <w:rPr>
                <w:rFonts w:cs="Tahoma"/>
                <w:sz w:val="20"/>
                <w:szCs w:val="20"/>
              </w:rPr>
              <w:t>Infrastruktura i pozostałe koszty</w:t>
            </w:r>
          </w:p>
        </w:tc>
        <w:tc>
          <w:tcPr>
            <w:tcW w:w="1275" w:type="dxa"/>
            <w:tcBorders>
              <w:top w:val="single" w:sz="4" w:space="0" w:color="auto"/>
              <w:left w:val="single" w:sz="4" w:space="0" w:color="auto"/>
              <w:bottom w:val="single" w:sz="4" w:space="0" w:color="auto"/>
              <w:right w:val="single" w:sz="4" w:space="0" w:color="auto"/>
            </w:tcBorders>
            <w:vAlign w:val="center"/>
          </w:tcPr>
          <w:p w14:paraId="27BB4554" w14:textId="77777777" w:rsidR="005D68B9" w:rsidRPr="00821AF6" w:rsidRDefault="005D68B9" w:rsidP="00C96610">
            <w:pPr>
              <w:spacing w:before="60" w:after="40" w:line="288" w:lineRule="auto"/>
              <w:ind w:firstLine="0"/>
              <w:jc w:val="center"/>
              <w:rPr>
                <w:rFonts w:cs="Tahoma"/>
                <w:sz w:val="20"/>
                <w:szCs w:val="20"/>
              </w:rPr>
            </w:pPr>
            <w:r w:rsidRPr="00821AF6">
              <w:rPr>
                <w:rFonts w:cs="Tahoma"/>
                <w:sz w:val="20"/>
                <w:szCs w:val="20"/>
              </w:rPr>
              <w:t>tys. zł</w:t>
            </w:r>
          </w:p>
        </w:tc>
        <w:tc>
          <w:tcPr>
            <w:tcW w:w="1514" w:type="dxa"/>
            <w:tcBorders>
              <w:top w:val="single" w:sz="4" w:space="0" w:color="auto"/>
              <w:left w:val="single" w:sz="4" w:space="0" w:color="auto"/>
              <w:bottom w:val="single" w:sz="4" w:space="0" w:color="auto"/>
              <w:right w:val="single" w:sz="4" w:space="0" w:color="auto"/>
            </w:tcBorders>
            <w:vAlign w:val="center"/>
          </w:tcPr>
          <w:p w14:paraId="565F74EA" w14:textId="753F052C" w:rsidR="005D68B9" w:rsidRPr="005D68B9" w:rsidRDefault="00C96610" w:rsidP="00C96610">
            <w:pPr>
              <w:spacing w:before="60" w:after="40" w:line="288" w:lineRule="auto"/>
              <w:ind w:firstLine="0"/>
              <w:jc w:val="right"/>
              <w:rPr>
                <w:rFonts w:cs="Tahoma"/>
                <w:sz w:val="20"/>
                <w:szCs w:val="20"/>
              </w:rPr>
            </w:pPr>
            <w:r>
              <w:rPr>
                <w:rFonts w:cs="Tahoma"/>
                <w:sz w:val="20"/>
                <w:szCs w:val="20"/>
              </w:rPr>
              <w:t>2 250,0</w:t>
            </w:r>
          </w:p>
        </w:tc>
        <w:tc>
          <w:tcPr>
            <w:tcW w:w="1515" w:type="dxa"/>
            <w:tcBorders>
              <w:top w:val="single" w:sz="4" w:space="0" w:color="auto"/>
              <w:left w:val="single" w:sz="4" w:space="0" w:color="auto"/>
              <w:bottom w:val="single" w:sz="4" w:space="0" w:color="auto"/>
              <w:right w:val="single" w:sz="4" w:space="0" w:color="auto"/>
            </w:tcBorders>
            <w:vAlign w:val="center"/>
          </w:tcPr>
          <w:p w14:paraId="2E3CF620" w14:textId="4885DC53" w:rsidR="005D68B9" w:rsidRPr="005D68B9" w:rsidRDefault="00C96610" w:rsidP="00C96610">
            <w:pPr>
              <w:spacing w:before="60" w:after="40" w:line="288" w:lineRule="auto"/>
              <w:ind w:firstLine="0"/>
              <w:jc w:val="right"/>
              <w:rPr>
                <w:rFonts w:cs="Tahoma"/>
                <w:sz w:val="20"/>
                <w:szCs w:val="20"/>
              </w:rPr>
            </w:pPr>
            <w:r>
              <w:rPr>
                <w:rFonts w:cs="Tahoma"/>
                <w:sz w:val="20"/>
                <w:szCs w:val="20"/>
              </w:rPr>
              <w:t>15 525,0</w:t>
            </w:r>
          </w:p>
        </w:tc>
        <w:tc>
          <w:tcPr>
            <w:tcW w:w="1515" w:type="dxa"/>
            <w:tcBorders>
              <w:top w:val="single" w:sz="4" w:space="0" w:color="auto"/>
              <w:left w:val="single" w:sz="4" w:space="0" w:color="auto"/>
              <w:bottom w:val="single" w:sz="4" w:space="0" w:color="auto"/>
              <w:right w:val="single" w:sz="4" w:space="0" w:color="auto"/>
            </w:tcBorders>
            <w:vAlign w:val="center"/>
          </w:tcPr>
          <w:p w14:paraId="27152733" w14:textId="17E05B6B" w:rsidR="005D68B9" w:rsidRPr="005D68B9" w:rsidRDefault="00C96610" w:rsidP="00C96610">
            <w:pPr>
              <w:spacing w:before="60" w:after="40" w:line="288" w:lineRule="auto"/>
              <w:ind w:firstLine="0"/>
              <w:jc w:val="right"/>
              <w:rPr>
                <w:rFonts w:cs="Tahoma"/>
                <w:sz w:val="20"/>
                <w:szCs w:val="20"/>
              </w:rPr>
            </w:pPr>
            <w:r>
              <w:rPr>
                <w:rFonts w:cs="Tahoma"/>
                <w:sz w:val="20"/>
                <w:szCs w:val="20"/>
              </w:rPr>
              <w:t>14 975,0</w:t>
            </w:r>
          </w:p>
        </w:tc>
      </w:tr>
      <w:tr w:rsidR="005D68B9" w:rsidRPr="00821AF6" w14:paraId="039F5E0C"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619ED8B7" w14:textId="77777777" w:rsidR="005D68B9" w:rsidRPr="00821AF6" w:rsidRDefault="005D68B9" w:rsidP="00C96610">
            <w:pPr>
              <w:spacing w:before="60" w:after="40" w:line="288" w:lineRule="auto"/>
              <w:ind w:firstLine="0"/>
              <w:jc w:val="left"/>
              <w:rPr>
                <w:rFonts w:cs="Tahoma"/>
                <w:sz w:val="20"/>
                <w:szCs w:val="20"/>
              </w:rPr>
            </w:pPr>
            <w:r w:rsidRPr="00821AF6">
              <w:rPr>
                <w:rFonts w:cs="Tahoma"/>
                <w:sz w:val="20"/>
                <w:szCs w:val="20"/>
              </w:rPr>
              <w:t>Autobusy z wyposażeniem</w:t>
            </w:r>
          </w:p>
        </w:tc>
        <w:tc>
          <w:tcPr>
            <w:tcW w:w="1275" w:type="dxa"/>
            <w:tcBorders>
              <w:top w:val="single" w:sz="4" w:space="0" w:color="auto"/>
              <w:left w:val="single" w:sz="4" w:space="0" w:color="auto"/>
              <w:bottom w:val="single" w:sz="4" w:space="0" w:color="auto"/>
              <w:right w:val="single" w:sz="4" w:space="0" w:color="auto"/>
            </w:tcBorders>
            <w:vAlign w:val="center"/>
          </w:tcPr>
          <w:p w14:paraId="25ECDFE4" w14:textId="77777777" w:rsidR="005D68B9" w:rsidRPr="00821AF6" w:rsidRDefault="005D68B9" w:rsidP="00C96610">
            <w:pPr>
              <w:spacing w:before="60" w:after="40" w:line="288" w:lineRule="auto"/>
              <w:ind w:firstLine="0"/>
              <w:jc w:val="center"/>
              <w:rPr>
                <w:rFonts w:cs="Tahoma"/>
                <w:sz w:val="20"/>
                <w:szCs w:val="20"/>
              </w:rPr>
            </w:pPr>
            <w:r w:rsidRPr="00821AF6">
              <w:rPr>
                <w:rFonts w:cs="Tahoma"/>
                <w:sz w:val="20"/>
                <w:szCs w:val="20"/>
              </w:rPr>
              <w:t>tys. zł</w:t>
            </w:r>
          </w:p>
        </w:tc>
        <w:tc>
          <w:tcPr>
            <w:tcW w:w="1514" w:type="dxa"/>
            <w:tcBorders>
              <w:top w:val="single" w:sz="4" w:space="0" w:color="auto"/>
              <w:left w:val="single" w:sz="4" w:space="0" w:color="auto"/>
              <w:bottom w:val="single" w:sz="4" w:space="0" w:color="auto"/>
              <w:right w:val="single" w:sz="4" w:space="0" w:color="auto"/>
            </w:tcBorders>
            <w:vAlign w:val="center"/>
          </w:tcPr>
          <w:p w14:paraId="0B55E787" w14:textId="099B3B38" w:rsidR="005D68B9" w:rsidRPr="005D68B9" w:rsidRDefault="00C96610" w:rsidP="00C96610">
            <w:pPr>
              <w:spacing w:before="60" w:after="40" w:line="288" w:lineRule="auto"/>
              <w:ind w:firstLine="0"/>
              <w:jc w:val="right"/>
              <w:rPr>
                <w:rFonts w:cs="Tahoma"/>
                <w:sz w:val="20"/>
                <w:szCs w:val="20"/>
              </w:rPr>
            </w:pPr>
            <w:r>
              <w:rPr>
                <w:rFonts w:cs="Tahoma"/>
                <w:sz w:val="20"/>
                <w:szCs w:val="20"/>
              </w:rPr>
              <w:t>131 620,0</w:t>
            </w:r>
          </w:p>
        </w:tc>
        <w:tc>
          <w:tcPr>
            <w:tcW w:w="1515" w:type="dxa"/>
            <w:tcBorders>
              <w:top w:val="single" w:sz="4" w:space="0" w:color="auto"/>
              <w:left w:val="single" w:sz="4" w:space="0" w:color="auto"/>
              <w:bottom w:val="single" w:sz="4" w:space="0" w:color="auto"/>
              <w:right w:val="single" w:sz="4" w:space="0" w:color="auto"/>
            </w:tcBorders>
            <w:vAlign w:val="center"/>
          </w:tcPr>
          <w:p w14:paraId="3A46D246" w14:textId="15E12961" w:rsidR="005D68B9" w:rsidRPr="005D68B9" w:rsidRDefault="00C96610" w:rsidP="00C96610">
            <w:pPr>
              <w:spacing w:before="60" w:after="40" w:line="288" w:lineRule="auto"/>
              <w:ind w:firstLine="0"/>
              <w:jc w:val="right"/>
              <w:rPr>
                <w:rFonts w:cs="Tahoma"/>
                <w:sz w:val="20"/>
                <w:szCs w:val="20"/>
              </w:rPr>
            </w:pPr>
            <w:r>
              <w:rPr>
                <w:rFonts w:cs="Tahoma"/>
                <w:sz w:val="20"/>
                <w:szCs w:val="20"/>
              </w:rPr>
              <w:t>214 470,0</w:t>
            </w:r>
          </w:p>
        </w:tc>
        <w:tc>
          <w:tcPr>
            <w:tcW w:w="1515" w:type="dxa"/>
            <w:tcBorders>
              <w:top w:val="single" w:sz="4" w:space="0" w:color="auto"/>
              <w:left w:val="single" w:sz="4" w:space="0" w:color="auto"/>
              <w:bottom w:val="single" w:sz="4" w:space="0" w:color="auto"/>
              <w:right w:val="single" w:sz="4" w:space="0" w:color="auto"/>
            </w:tcBorders>
            <w:vAlign w:val="center"/>
          </w:tcPr>
          <w:p w14:paraId="799FD445" w14:textId="06042754" w:rsidR="005D68B9" w:rsidRPr="005D68B9" w:rsidRDefault="00C96610" w:rsidP="00C96610">
            <w:pPr>
              <w:spacing w:before="60" w:after="40" w:line="288" w:lineRule="auto"/>
              <w:ind w:firstLine="0"/>
              <w:jc w:val="right"/>
              <w:rPr>
                <w:rFonts w:cs="Tahoma"/>
                <w:sz w:val="20"/>
                <w:szCs w:val="20"/>
              </w:rPr>
            </w:pPr>
            <w:r>
              <w:rPr>
                <w:rFonts w:cs="Tahoma"/>
                <w:sz w:val="20"/>
                <w:szCs w:val="20"/>
              </w:rPr>
              <w:t>226 530,0</w:t>
            </w:r>
          </w:p>
        </w:tc>
      </w:tr>
      <w:tr w:rsidR="005D68B9" w:rsidRPr="00821AF6" w14:paraId="4397CB6C"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13E792F5" w14:textId="77777777" w:rsidR="005D68B9" w:rsidRPr="00821AF6" w:rsidRDefault="005D68B9" w:rsidP="00C96610">
            <w:pPr>
              <w:spacing w:before="60" w:after="40" w:line="288" w:lineRule="auto"/>
              <w:ind w:firstLine="0"/>
              <w:jc w:val="left"/>
              <w:rPr>
                <w:rFonts w:cs="Tahoma"/>
                <w:sz w:val="20"/>
                <w:szCs w:val="20"/>
              </w:rPr>
            </w:pPr>
            <w:r w:rsidRPr="00821AF6">
              <w:rPr>
                <w:rFonts w:cs="Tahoma"/>
                <w:sz w:val="20"/>
                <w:szCs w:val="20"/>
              </w:rPr>
              <w:t>Zmiany kosztów eksploatacyjnych</w:t>
            </w:r>
          </w:p>
        </w:tc>
        <w:tc>
          <w:tcPr>
            <w:tcW w:w="1275" w:type="dxa"/>
            <w:tcBorders>
              <w:top w:val="single" w:sz="4" w:space="0" w:color="auto"/>
              <w:left w:val="single" w:sz="4" w:space="0" w:color="auto"/>
              <w:bottom w:val="single" w:sz="4" w:space="0" w:color="auto"/>
              <w:right w:val="single" w:sz="4" w:space="0" w:color="auto"/>
            </w:tcBorders>
            <w:vAlign w:val="center"/>
          </w:tcPr>
          <w:p w14:paraId="35FD7501" w14:textId="77777777" w:rsidR="005D68B9" w:rsidRPr="00821AF6" w:rsidRDefault="005D68B9" w:rsidP="00C96610">
            <w:pPr>
              <w:spacing w:before="60" w:after="40" w:line="288" w:lineRule="auto"/>
              <w:ind w:firstLine="0"/>
              <w:jc w:val="center"/>
              <w:rPr>
                <w:rFonts w:cs="Tahoma"/>
                <w:sz w:val="20"/>
                <w:szCs w:val="20"/>
              </w:rPr>
            </w:pPr>
            <w:r w:rsidRPr="00821AF6">
              <w:rPr>
                <w:rFonts w:cs="Tahoma"/>
                <w:sz w:val="20"/>
                <w:szCs w:val="20"/>
              </w:rPr>
              <w:t>tys. zł/rok</w:t>
            </w:r>
          </w:p>
        </w:tc>
        <w:tc>
          <w:tcPr>
            <w:tcW w:w="1514" w:type="dxa"/>
            <w:tcBorders>
              <w:top w:val="single" w:sz="4" w:space="0" w:color="auto"/>
              <w:left w:val="single" w:sz="4" w:space="0" w:color="auto"/>
              <w:bottom w:val="single" w:sz="4" w:space="0" w:color="auto"/>
              <w:right w:val="single" w:sz="4" w:space="0" w:color="auto"/>
            </w:tcBorders>
            <w:vAlign w:val="center"/>
          </w:tcPr>
          <w:p w14:paraId="577E8373" w14:textId="3D0EFF34" w:rsidR="005D68B9" w:rsidRPr="005D68B9" w:rsidRDefault="005D68B9" w:rsidP="00C96610">
            <w:pPr>
              <w:spacing w:before="60" w:after="40" w:line="288" w:lineRule="auto"/>
              <w:ind w:firstLine="0"/>
              <w:jc w:val="right"/>
              <w:rPr>
                <w:rFonts w:cs="Tahoma"/>
                <w:sz w:val="20"/>
                <w:szCs w:val="20"/>
              </w:rPr>
            </w:pPr>
            <w:r w:rsidRPr="005D68B9">
              <w:rPr>
                <w:rFonts w:cs="Tahoma"/>
                <w:sz w:val="20"/>
                <w:szCs w:val="20"/>
              </w:rPr>
              <w:t>-</w:t>
            </w:r>
            <w:r w:rsidR="00C96610">
              <w:rPr>
                <w:rFonts w:cs="Tahoma"/>
                <w:sz w:val="20"/>
                <w:szCs w:val="20"/>
              </w:rPr>
              <w:t>695,8</w:t>
            </w:r>
          </w:p>
        </w:tc>
        <w:tc>
          <w:tcPr>
            <w:tcW w:w="1515" w:type="dxa"/>
            <w:tcBorders>
              <w:top w:val="single" w:sz="4" w:space="0" w:color="auto"/>
              <w:left w:val="single" w:sz="4" w:space="0" w:color="auto"/>
              <w:bottom w:val="single" w:sz="4" w:space="0" w:color="auto"/>
              <w:right w:val="single" w:sz="4" w:space="0" w:color="auto"/>
            </w:tcBorders>
            <w:vAlign w:val="center"/>
          </w:tcPr>
          <w:p w14:paraId="24D24B97" w14:textId="7E83CA26" w:rsidR="005D68B9" w:rsidRPr="005D68B9" w:rsidRDefault="00C96610" w:rsidP="00C96610">
            <w:pPr>
              <w:spacing w:before="60" w:after="40" w:line="288" w:lineRule="auto"/>
              <w:ind w:firstLine="0"/>
              <w:jc w:val="right"/>
              <w:rPr>
                <w:rFonts w:cs="Tahoma"/>
                <w:sz w:val="20"/>
                <w:szCs w:val="20"/>
              </w:rPr>
            </w:pPr>
            <w:r>
              <w:rPr>
                <w:rFonts w:cs="Tahoma"/>
                <w:sz w:val="20"/>
                <w:szCs w:val="20"/>
              </w:rPr>
              <w:t>-2 053,0</w:t>
            </w:r>
          </w:p>
        </w:tc>
        <w:tc>
          <w:tcPr>
            <w:tcW w:w="1515" w:type="dxa"/>
            <w:tcBorders>
              <w:top w:val="single" w:sz="4" w:space="0" w:color="auto"/>
              <w:left w:val="single" w:sz="4" w:space="0" w:color="auto"/>
              <w:bottom w:val="single" w:sz="4" w:space="0" w:color="auto"/>
              <w:right w:val="single" w:sz="4" w:space="0" w:color="auto"/>
            </w:tcBorders>
            <w:vAlign w:val="center"/>
          </w:tcPr>
          <w:p w14:paraId="2B85B5AF" w14:textId="5B0EEA12" w:rsidR="005D68B9" w:rsidRPr="005D68B9" w:rsidRDefault="00C96610" w:rsidP="00C96610">
            <w:pPr>
              <w:spacing w:before="60" w:after="40" w:line="288" w:lineRule="auto"/>
              <w:ind w:firstLine="0"/>
              <w:jc w:val="right"/>
              <w:rPr>
                <w:rFonts w:cs="Tahoma"/>
                <w:sz w:val="20"/>
                <w:szCs w:val="20"/>
              </w:rPr>
            </w:pPr>
            <w:r>
              <w:rPr>
                <w:rFonts w:cs="Tahoma"/>
                <w:sz w:val="20"/>
                <w:szCs w:val="20"/>
              </w:rPr>
              <w:t>-1 810,5</w:t>
            </w:r>
          </w:p>
        </w:tc>
      </w:tr>
      <w:tr w:rsidR="005D68B9" w:rsidRPr="00821AF6" w14:paraId="4B06165D"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3163C7B3" w14:textId="4B552017" w:rsidR="005D68B9" w:rsidRPr="00821AF6" w:rsidRDefault="005D68B9" w:rsidP="00C96610">
            <w:pPr>
              <w:spacing w:before="60" w:after="40" w:line="288" w:lineRule="auto"/>
              <w:ind w:firstLine="0"/>
              <w:jc w:val="left"/>
              <w:rPr>
                <w:rFonts w:cs="Tahoma"/>
                <w:sz w:val="20"/>
                <w:szCs w:val="20"/>
              </w:rPr>
            </w:pPr>
            <w:r w:rsidRPr="00821AF6">
              <w:rPr>
                <w:rFonts w:cs="Tahoma"/>
                <w:sz w:val="20"/>
                <w:szCs w:val="20"/>
              </w:rPr>
              <w:t>Zdyskontowane efekty</w:t>
            </w:r>
            <w:r w:rsidRPr="00821AF6">
              <w:rPr>
                <w:rFonts w:cs="Tahoma"/>
                <w:sz w:val="20"/>
                <w:szCs w:val="20"/>
              </w:rPr>
              <w:br/>
              <w:t>zewnętrzne</w:t>
            </w:r>
          </w:p>
        </w:tc>
        <w:tc>
          <w:tcPr>
            <w:tcW w:w="1275" w:type="dxa"/>
            <w:tcBorders>
              <w:top w:val="single" w:sz="4" w:space="0" w:color="auto"/>
              <w:left w:val="single" w:sz="4" w:space="0" w:color="auto"/>
              <w:bottom w:val="single" w:sz="4" w:space="0" w:color="auto"/>
              <w:right w:val="single" w:sz="4" w:space="0" w:color="auto"/>
            </w:tcBorders>
            <w:vAlign w:val="center"/>
          </w:tcPr>
          <w:p w14:paraId="5BF0F338" w14:textId="77777777" w:rsidR="005D68B9" w:rsidRPr="00821AF6" w:rsidRDefault="005D68B9" w:rsidP="00C96610">
            <w:pPr>
              <w:spacing w:before="60" w:after="40" w:line="288" w:lineRule="auto"/>
              <w:ind w:firstLine="0"/>
              <w:jc w:val="center"/>
              <w:rPr>
                <w:rFonts w:cs="Tahoma"/>
                <w:sz w:val="20"/>
                <w:szCs w:val="20"/>
              </w:rPr>
            </w:pPr>
            <w:r w:rsidRPr="00821AF6">
              <w:rPr>
                <w:rFonts w:cs="Tahoma"/>
                <w:sz w:val="20"/>
                <w:szCs w:val="20"/>
              </w:rPr>
              <w:t>tys. zł</w:t>
            </w:r>
          </w:p>
        </w:tc>
        <w:tc>
          <w:tcPr>
            <w:tcW w:w="1514" w:type="dxa"/>
            <w:tcBorders>
              <w:top w:val="single" w:sz="4" w:space="0" w:color="auto"/>
              <w:left w:val="single" w:sz="4" w:space="0" w:color="auto"/>
              <w:bottom w:val="single" w:sz="4" w:space="0" w:color="auto"/>
              <w:right w:val="single" w:sz="4" w:space="0" w:color="auto"/>
            </w:tcBorders>
            <w:vAlign w:val="center"/>
          </w:tcPr>
          <w:p w14:paraId="45AF9957" w14:textId="70BDCA1A" w:rsidR="005D68B9" w:rsidRPr="005D68B9" w:rsidRDefault="00C96610" w:rsidP="00C96610">
            <w:pPr>
              <w:spacing w:before="60" w:after="40" w:line="288" w:lineRule="auto"/>
              <w:ind w:firstLine="0"/>
              <w:jc w:val="right"/>
              <w:rPr>
                <w:rFonts w:cs="Tahoma"/>
                <w:sz w:val="20"/>
                <w:szCs w:val="20"/>
              </w:rPr>
            </w:pPr>
            <w:r>
              <w:rPr>
                <w:rFonts w:cs="Tahoma"/>
                <w:sz w:val="20"/>
                <w:szCs w:val="20"/>
              </w:rPr>
              <w:t>10 463,7</w:t>
            </w:r>
          </w:p>
        </w:tc>
        <w:tc>
          <w:tcPr>
            <w:tcW w:w="1515" w:type="dxa"/>
            <w:tcBorders>
              <w:top w:val="single" w:sz="4" w:space="0" w:color="auto"/>
              <w:left w:val="single" w:sz="4" w:space="0" w:color="auto"/>
              <w:bottom w:val="single" w:sz="4" w:space="0" w:color="auto"/>
              <w:right w:val="single" w:sz="4" w:space="0" w:color="auto"/>
            </w:tcBorders>
            <w:vAlign w:val="center"/>
          </w:tcPr>
          <w:p w14:paraId="21353FB8" w14:textId="63A4D6D4" w:rsidR="005D68B9" w:rsidRPr="005D68B9" w:rsidRDefault="00C96610" w:rsidP="00C96610">
            <w:pPr>
              <w:spacing w:before="60" w:after="40" w:line="288" w:lineRule="auto"/>
              <w:ind w:firstLine="0"/>
              <w:jc w:val="right"/>
              <w:rPr>
                <w:rFonts w:cs="Tahoma"/>
                <w:sz w:val="20"/>
                <w:szCs w:val="20"/>
              </w:rPr>
            </w:pPr>
            <w:r>
              <w:rPr>
                <w:rFonts w:cs="Tahoma"/>
                <w:sz w:val="20"/>
                <w:szCs w:val="20"/>
              </w:rPr>
              <w:t>24 976,1</w:t>
            </w:r>
          </w:p>
        </w:tc>
        <w:tc>
          <w:tcPr>
            <w:tcW w:w="1515" w:type="dxa"/>
            <w:tcBorders>
              <w:top w:val="single" w:sz="4" w:space="0" w:color="auto"/>
              <w:left w:val="single" w:sz="4" w:space="0" w:color="auto"/>
              <w:bottom w:val="single" w:sz="4" w:space="0" w:color="auto"/>
              <w:right w:val="single" w:sz="4" w:space="0" w:color="auto"/>
            </w:tcBorders>
            <w:vAlign w:val="center"/>
          </w:tcPr>
          <w:p w14:paraId="7C9A6AF4" w14:textId="24B11F05" w:rsidR="005D68B9" w:rsidRPr="005D68B9" w:rsidRDefault="00C96610" w:rsidP="00C96610">
            <w:pPr>
              <w:spacing w:before="60" w:after="40" w:line="288" w:lineRule="auto"/>
              <w:ind w:firstLine="0"/>
              <w:jc w:val="right"/>
              <w:rPr>
                <w:rFonts w:cs="Tahoma"/>
                <w:sz w:val="20"/>
                <w:szCs w:val="20"/>
              </w:rPr>
            </w:pPr>
            <w:r>
              <w:rPr>
                <w:rFonts w:cs="Tahoma"/>
                <w:sz w:val="20"/>
                <w:szCs w:val="20"/>
              </w:rPr>
              <w:t>25 856,7</w:t>
            </w:r>
          </w:p>
        </w:tc>
      </w:tr>
      <w:tr w:rsidR="005D68B9" w:rsidRPr="00821AF6" w14:paraId="46A9FE50"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4394D436" w14:textId="38DAF60E" w:rsidR="005D68B9" w:rsidRPr="00821AF6" w:rsidRDefault="005D68B9" w:rsidP="00C96610">
            <w:pPr>
              <w:spacing w:before="60" w:after="40" w:line="288" w:lineRule="auto"/>
              <w:ind w:firstLine="0"/>
              <w:jc w:val="left"/>
              <w:rPr>
                <w:rFonts w:cs="Tahoma"/>
                <w:sz w:val="20"/>
                <w:szCs w:val="20"/>
              </w:rPr>
            </w:pPr>
            <w:r w:rsidRPr="00821AF6">
              <w:rPr>
                <w:rFonts w:cs="Tahoma"/>
                <w:sz w:val="20"/>
                <w:szCs w:val="20"/>
              </w:rPr>
              <w:t>Emisja lokalna zanieczyszczeń</w:t>
            </w:r>
            <w:r w:rsidRPr="00821AF6">
              <w:rPr>
                <w:rFonts w:cs="Tahoma"/>
                <w:sz w:val="20"/>
                <w:szCs w:val="20"/>
              </w:rPr>
              <w:br/>
              <w:t>– wartość zdyskontowana</w:t>
            </w:r>
          </w:p>
        </w:tc>
        <w:tc>
          <w:tcPr>
            <w:tcW w:w="1275" w:type="dxa"/>
            <w:tcBorders>
              <w:top w:val="single" w:sz="4" w:space="0" w:color="auto"/>
              <w:left w:val="single" w:sz="4" w:space="0" w:color="auto"/>
              <w:bottom w:val="single" w:sz="4" w:space="0" w:color="auto"/>
              <w:right w:val="single" w:sz="4" w:space="0" w:color="auto"/>
            </w:tcBorders>
            <w:vAlign w:val="center"/>
          </w:tcPr>
          <w:p w14:paraId="3F9E0112" w14:textId="77777777" w:rsidR="005D68B9" w:rsidRPr="00821AF6" w:rsidRDefault="005D68B9" w:rsidP="00C96610">
            <w:pPr>
              <w:spacing w:before="60" w:after="40" w:line="288" w:lineRule="auto"/>
              <w:ind w:firstLine="0"/>
              <w:jc w:val="center"/>
              <w:rPr>
                <w:rFonts w:cs="Tahoma"/>
                <w:sz w:val="20"/>
                <w:szCs w:val="20"/>
              </w:rPr>
            </w:pPr>
            <w:r w:rsidRPr="00821AF6">
              <w:rPr>
                <w:rFonts w:cs="Tahoma"/>
                <w:sz w:val="20"/>
                <w:szCs w:val="20"/>
              </w:rPr>
              <w:t>tys. zł</w:t>
            </w:r>
          </w:p>
        </w:tc>
        <w:tc>
          <w:tcPr>
            <w:tcW w:w="1514" w:type="dxa"/>
            <w:tcBorders>
              <w:top w:val="single" w:sz="4" w:space="0" w:color="auto"/>
              <w:left w:val="single" w:sz="4" w:space="0" w:color="auto"/>
              <w:bottom w:val="single" w:sz="4" w:space="0" w:color="auto"/>
              <w:right w:val="single" w:sz="4" w:space="0" w:color="auto"/>
            </w:tcBorders>
            <w:vAlign w:val="center"/>
          </w:tcPr>
          <w:p w14:paraId="2B9BE722" w14:textId="6335FBEF" w:rsidR="005D68B9" w:rsidRPr="005D68B9" w:rsidRDefault="00C96610" w:rsidP="00C96610">
            <w:pPr>
              <w:spacing w:before="60" w:after="40" w:line="288" w:lineRule="auto"/>
              <w:ind w:firstLine="0"/>
              <w:jc w:val="right"/>
              <w:rPr>
                <w:rFonts w:cs="Tahoma"/>
                <w:sz w:val="20"/>
                <w:szCs w:val="20"/>
              </w:rPr>
            </w:pPr>
            <w:r>
              <w:rPr>
                <w:rFonts w:cs="Tahoma"/>
                <w:sz w:val="20"/>
                <w:szCs w:val="20"/>
              </w:rPr>
              <w:t>9 873,5</w:t>
            </w:r>
          </w:p>
        </w:tc>
        <w:tc>
          <w:tcPr>
            <w:tcW w:w="1515" w:type="dxa"/>
            <w:tcBorders>
              <w:top w:val="single" w:sz="4" w:space="0" w:color="auto"/>
              <w:left w:val="single" w:sz="4" w:space="0" w:color="auto"/>
              <w:bottom w:val="single" w:sz="4" w:space="0" w:color="auto"/>
              <w:right w:val="single" w:sz="4" w:space="0" w:color="auto"/>
            </w:tcBorders>
            <w:vAlign w:val="center"/>
          </w:tcPr>
          <w:p w14:paraId="76F1E4C0" w14:textId="498D01EC" w:rsidR="005D68B9" w:rsidRPr="005D68B9" w:rsidRDefault="00C96610" w:rsidP="00C96610">
            <w:pPr>
              <w:spacing w:before="60" w:after="40" w:line="288" w:lineRule="auto"/>
              <w:ind w:firstLine="0"/>
              <w:jc w:val="right"/>
              <w:rPr>
                <w:rFonts w:cs="Tahoma"/>
                <w:sz w:val="20"/>
                <w:szCs w:val="20"/>
              </w:rPr>
            </w:pPr>
            <w:r>
              <w:rPr>
                <w:rFonts w:cs="Tahoma"/>
                <w:sz w:val="20"/>
                <w:szCs w:val="20"/>
              </w:rPr>
              <w:t>15 630,9</w:t>
            </w:r>
          </w:p>
        </w:tc>
        <w:tc>
          <w:tcPr>
            <w:tcW w:w="1515" w:type="dxa"/>
            <w:tcBorders>
              <w:top w:val="single" w:sz="4" w:space="0" w:color="auto"/>
              <w:left w:val="single" w:sz="4" w:space="0" w:color="auto"/>
              <w:bottom w:val="single" w:sz="4" w:space="0" w:color="auto"/>
              <w:right w:val="single" w:sz="4" w:space="0" w:color="auto"/>
            </w:tcBorders>
            <w:vAlign w:val="center"/>
          </w:tcPr>
          <w:p w14:paraId="16FEC3CB" w14:textId="728A09F5" w:rsidR="005D68B9" w:rsidRPr="005D68B9" w:rsidRDefault="00C96610" w:rsidP="00C96610">
            <w:pPr>
              <w:spacing w:before="60" w:after="40" w:line="288" w:lineRule="auto"/>
              <w:ind w:firstLine="0"/>
              <w:jc w:val="right"/>
              <w:rPr>
                <w:rFonts w:cs="Tahoma"/>
                <w:sz w:val="20"/>
                <w:szCs w:val="20"/>
              </w:rPr>
            </w:pPr>
            <w:r>
              <w:rPr>
                <w:rFonts w:cs="Tahoma"/>
                <w:sz w:val="20"/>
                <w:szCs w:val="20"/>
              </w:rPr>
              <w:t>16 192,5</w:t>
            </w:r>
          </w:p>
        </w:tc>
      </w:tr>
      <w:tr w:rsidR="005D68B9" w:rsidRPr="00821AF6" w14:paraId="7BDB75F7"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028E2C6A" w14:textId="431E3CC5" w:rsidR="005D68B9" w:rsidRPr="00821AF6" w:rsidRDefault="005D68B9" w:rsidP="00C96610">
            <w:pPr>
              <w:spacing w:before="60" w:after="40" w:line="288" w:lineRule="auto"/>
              <w:ind w:firstLine="0"/>
              <w:jc w:val="left"/>
              <w:rPr>
                <w:rFonts w:cs="Tahoma"/>
                <w:sz w:val="20"/>
                <w:szCs w:val="20"/>
              </w:rPr>
            </w:pPr>
            <w:r w:rsidRPr="00821AF6">
              <w:rPr>
                <w:rFonts w:cs="Tahoma"/>
                <w:sz w:val="20"/>
                <w:szCs w:val="20"/>
              </w:rPr>
              <w:t>Emisja CO</w:t>
            </w:r>
            <w:r w:rsidRPr="00821AF6">
              <w:rPr>
                <w:rFonts w:cs="Tahoma"/>
                <w:sz w:val="20"/>
                <w:szCs w:val="20"/>
                <w:vertAlign w:val="subscript"/>
              </w:rPr>
              <w:t>2</w:t>
            </w:r>
            <w:r w:rsidRPr="00821AF6">
              <w:rPr>
                <w:rFonts w:cs="Tahoma"/>
                <w:sz w:val="20"/>
                <w:szCs w:val="20"/>
              </w:rPr>
              <w:t xml:space="preserve"> </w:t>
            </w:r>
            <w:r w:rsidRPr="00821AF6">
              <w:rPr>
                <w:rFonts w:cs="Tahoma"/>
                <w:sz w:val="20"/>
                <w:szCs w:val="20"/>
              </w:rPr>
              <w:br/>
              <w:t>– wartość zdyskontowana</w:t>
            </w:r>
          </w:p>
        </w:tc>
        <w:tc>
          <w:tcPr>
            <w:tcW w:w="1275" w:type="dxa"/>
            <w:tcBorders>
              <w:top w:val="single" w:sz="4" w:space="0" w:color="auto"/>
              <w:left w:val="single" w:sz="4" w:space="0" w:color="auto"/>
              <w:bottom w:val="single" w:sz="4" w:space="0" w:color="auto"/>
              <w:right w:val="single" w:sz="4" w:space="0" w:color="auto"/>
            </w:tcBorders>
            <w:vAlign w:val="center"/>
          </w:tcPr>
          <w:p w14:paraId="234AA0D2" w14:textId="77777777" w:rsidR="005D68B9" w:rsidRPr="00821AF6" w:rsidRDefault="005D68B9" w:rsidP="00C96610">
            <w:pPr>
              <w:spacing w:before="60" w:after="40" w:line="288" w:lineRule="auto"/>
              <w:ind w:firstLine="0"/>
              <w:jc w:val="center"/>
              <w:rPr>
                <w:rFonts w:cs="Tahoma"/>
                <w:sz w:val="20"/>
                <w:szCs w:val="20"/>
              </w:rPr>
            </w:pPr>
            <w:r w:rsidRPr="00821AF6">
              <w:rPr>
                <w:rFonts w:cs="Tahoma"/>
                <w:sz w:val="20"/>
                <w:szCs w:val="20"/>
              </w:rPr>
              <w:t>tys. zł</w:t>
            </w:r>
          </w:p>
        </w:tc>
        <w:tc>
          <w:tcPr>
            <w:tcW w:w="1514" w:type="dxa"/>
            <w:tcBorders>
              <w:top w:val="single" w:sz="4" w:space="0" w:color="auto"/>
              <w:left w:val="single" w:sz="4" w:space="0" w:color="auto"/>
              <w:bottom w:val="single" w:sz="4" w:space="0" w:color="auto"/>
              <w:right w:val="single" w:sz="4" w:space="0" w:color="auto"/>
            </w:tcBorders>
            <w:vAlign w:val="center"/>
          </w:tcPr>
          <w:p w14:paraId="0108689E" w14:textId="3C228503" w:rsidR="005D68B9" w:rsidRPr="005D68B9" w:rsidRDefault="00C96610" w:rsidP="00C96610">
            <w:pPr>
              <w:spacing w:before="60" w:after="40" w:line="288" w:lineRule="auto"/>
              <w:ind w:firstLine="0"/>
              <w:jc w:val="right"/>
              <w:rPr>
                <w:rFonts w:cs="Tahoma"/>
                <w:sz w:val="20"/>
                <w:szCs w:val="20"/>
              </w:rPr>
            </w:pPr>
            <w:r>
              <w:rPr>
                <w:rFonts w:cs="Tahoma"/>
                <w:sz w:val="20"/>
                <w:szCs w:val="20"/>
              </w:rPr>
              <w:t>159,7</w:t>
            </w:r>
          </w:p>
        </w:tc>
        <w:tc>
          <w:tcPr>
            <w:tcW w:w="1515" w:type="dxa"/>
            <w:tcBorders>
              <w:top w:val="single" w:sz="4" w:space="0" w:color="auto"/>
              <w:left w:val="single" w:sz="4" w:space="0" w:color="auto"/>
              <w:bottom w:val="single" w:sz="4" w:space="0" w:color="auto"/>
              <w:right w:val="single" w:sz="4" w:space="0" w:color="auto"/>
            </w:tcBorders>
            <w:vAlign w:val="center"/>
          </w:tcPr>
          <w:p w14:paraId="6F83A3E4" w14:textId="381612D7" w:rsidR="005D68B9" w:rsidRPr="005D68B9" w:rsidRDefault="00C96610" w:rsidP="00C96610">
            <w:pPr>
              <w:spacing w:before="60" w:after="40" w:line="288" w:lineRule="auto"/>
              <w:ind w:firstLine="0"/>
              <w:jc w:val="right"/>
              <w:rPr>
                <w:rFonts w:cs="Tahoma"/>
                <w:sz w:val="20"/>
                <w:szCs w:val="20"/>
              </w:rPr>
            </w:pPr>
            <w:r>
              <w:rPr>
                <w:rFonts w:cs="Tahoma"/>
                <w:sz w:val="20"/>
                <w:szCs w:val="20"/>
              </w:rPr>
              <w:t>2 588,4</w:t>
            </w:r>
          </w:p>
        </w:tc>
        <w:tc>
          <w:tcPr>
            <w:tcW w:w="1515" w:type="dxa"/>
            <w:tcBorders>
              <w:top w:val="single" w:sz="4" w:space="0" w:color="auto"/>
              <w:left w:val="single" w:sz="4" w:space="0" w:color="auto"/>
              <w:bottom w:val="single" w:sz="4" w:space="0" w:color="auto"/>
              <w:right w:val="single" w:sz="4" w:space="0" w:color="auto"/>
            </w:tcBorders>
            <w:vAlign w:val="center"/>
          </w:tcPr>
          <w:p w14:paraId="3AA23517" w14:textId="1406A7D6" w:rsidR="005D68B9" w:rsidRPr="005D68B9" w:rsidRDefault="00C96610" w:rsidP="00C96610">
            <w:pPr>
              <w:spacing w:before="60" w:after="40" w:line="288" w:lineRule="auto"/>
              <w:ind w:firstLine="0"/>
              <w:jc w:val="right"/>
              <w:rPr>
                <w:rFonts w:cs="Tahoma"/>
                <w:sz w:val="20"/>
                <w:szCs w:val="20"/>
              </w:rPr>
            </w:pPr>
            <w:r>
              <w:rPr>
                <w:rFonts w:cs="Tahoma"/>
                <w:sz w:val="20"/>
                <w:szCs w:val="20"/>
              </w:rPr>
              <w:t>2 899,0</w:t>
            </w:r>
          </w:p>
        </w:tc>
      </w:tr>
      <w:tr w:rsidR="005D68B9" w:rsidRPr="00821AF6" w14:paraId="3AE266F5"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2D497C64" w14:textId="77777777" w:rsidR="005D68B9" w:rsidRPr="00821AF6" w:rsidRDefault="005D68B9" w:rsidP="00C96610">
            <w:pPr>
              <w:spacing w:before="60" w:after="40" w:line="288" w:lineRule="auto"/>
              <w:ind w:firstLine="0"/>
              <w:jc w:val="left"/>
              <w:rPr>
                <w:rFonts w:cs="Tahoma"/>
                <w:sz w:val="20"/>
                <w:szCs w:val="20"/>
              </w:rPr>
            </w:pPr>
            <w:r w:rsidRPr="00821AF6">
              <w:rPr>
                <w:rFonts w:cs="Tahoma"/>
                <w:sz w:val="20"/>
                <w:szCs w:val="20"/>
              </w:rPr>
              <w:t>Redukcja hałasu</w:t>
            </w:r>
          </w:p>
        </w:tc>
        <w:tc>
          <w:tcPr>
            <w:tcW w:w="1275" w:type="dxa"/>
            <w:tcBorders>
              <w:top w:val="single" w:sz="4" w:space="0" w:color="auto"/>
              <w:left w:val="single" w:sz="4" w:space="0" w:color="auto"/>
              <w:bottom w:val="single" w:sz="4" w:space="0" w:color="auto"/>
              <w:right w:val="single" w:sz="4" w:space="0" w:color="auto"/>
            </w:tcBorders>
            <w:vAlign w:val="center"/>
          </w:tcPr>
          <w:p w14:paraId="7735E550" w14:textId="77777777" w:rsidR="005D68B9" w:rsidRPr="00821AF6" w:rsidRDefault="005D68B9" w:rsidP="00C96610">
            <w:pPr>
              <w:spacing w:before="60" w:after="40" w:line="288" w:lineRule="auto"/>
              <w:ind w:firstLine="0"/>
              <w:jc w:val="center"/>
              <w:rPr>
                <w:rFonts w:cs="Tahoma"/>
                <w:sz w:val="20"/>
                <w:szCs w:val="20"/>
              </w:rPr>
            </w:pPr>
            <w:r w:rsidRPr="00821AF6">
              <w:rPr>
                <w:rFonts w:cs="Tahoma"/>
                <w:sz w:val="20"/>
                <w:szCs w:val="20"/>
              </w:rPr>
              <w:t>tys. zł</w:t>
            </w:r>
          </w:p>
        </w:tc>
        <w:tc>
          <w:tcPr>
            <w:tcW w:w="1514" w:type="dxa"/>
            <w:tcBorders>
              <w:top w:val="single" w:sz="4" w:space="0" w:color="auto"/>
              <w:left w:val="single" w:sz="4" w:space="0" w:color="auto"/>
              <w:bottom w:val="single" w:sz="4" w:space="0" w:color="auto"/>
              <w:right w:val="single" w:sz="4" w:space="0" w:color="auto"/>
            </w:tcBorders>
            <w:vAlign w:val="center"/>
          </w:tcPr>
          <w:p w14:paraId="69AB17DC" w14:textId="57D4B6E8" w:rsidR="005D68B9" w:rsidRPr="005D68B9" w:rsidRDefault="00C96610" w:rsidP="00C96610">
            <w:pPr>
              <w:spacing w:before="60" w:after="40" w:line="288" w:lineRule="auto"/>
              <w:ind w:firstLine="0"/>
              <w:jc w:val="right"/>
              <w:rPr>
                <w:rFonts w:cs="Tahoma"/>
                <w:sz w:val="20"/>
                <w:szCs w:val="20"/>
              </w:rPr>
            </w:pPr>
            <w:r>
              <w:rPr>
                <w:rFonts w:cs="Tahoma"/>
                <w:sz w:val="20"/>
                <w:szCs w:val="20"/>
              </w:rPr>
              <w:t>430,6</w:t>
            </w:r>
          </w:p>
        </w:tc>
        <w:tc>
          <w:tcPr>
            <w:tcW w:w="1515" w:type="dxa"/>
            <w:tcBorders>
              <w:top w:val="single" w:sz="4" w:space="0" w:color="auto"/>
              <w:left w:val="single" w:sz="4" w:space="0" w:color="auto"/>
              <w:bottom w:val="single" w:sz="4" w:space="0" w:color="auto"/>
              <w:right w:val="single" w:sz="4" w:space="0" w:color="auto"/>
            </w:tcBorders>
            <w:vAlign w:val="center"/>
          </w:tcPr>
          <w:p w14:paraId="59E7742D" w14:textId="61168329" w:rsidR="005D68B9" w:rsidRPr="005D68B9" w:rsidRDefault="00C96610" w:rsidP="00C96610">
            <w:pPr>
              <w:spacing w:before="60" w:after="40" w:line="288" w:lineRule="auto"/>
              <w:ind w:firstLine="0"/>
              <w:jc w:val="right"/>
              <w:rPr>
                <w:rFonts w:cs="Tahoma"/>
                <w:sz w:val="20"/>
                <w:szCs w:val="20"/>
              </w:rPr>
            </w:pPr>
            <w:r>
              <w:rPr>
                <w:rFonts w:cs="Tahoma"/>
                <w:sz w:val="20"/>
                <w:szCs w:val="20"/>
              </w:rPr>
              <w:t>6 756,8</w:t>
            </w:r>
          </w:p>
        </w:tc>
        <w:tc>
          <w:tcPr>
            <w:tcW w:w="1515" w:type="dxa"/>
            <w:tcBorders>
              <w:top w:val="single" w:sz="4" w:space="0" w:color="auto"/>
              <w:left w:val="single" w:sz="4" w:space="0" w:color="auto"/>
              <w:bottom w:val="single" w:sz="4" w:space="0" w:color="auto"/>
              <w:right w:val="single" w:sz="4" w:space="0" w:color="auto"/>
            </w:tcBorders>
            <w:vAlign w:val="center"/>
          </w:tcPr>
          <w:p w14:paraId="63BF3F0B" w14:textId="56876A55" w:rsidR="005D68B9" w:rsidRPr="005D68B9" w:rsidRDefault="00C96610" w:rsidP="00C96610">
            <w:pPr>
              <w:spacing w:before="60" w:after="40" w:line="288" w:lineRule="auto"/>
              <w:ind w:firstLine="0"/>
              <w:jc w:val="right"/>
              <w:rPr>
                <w:rFonts w:cs="Tahoma"/>
                <w:sz w:val="20"/>
                <w:szCs w:val="20"/>
              </w:rPr>
            </w:pPr>
            <w:r>
              <w:rPr>
                <w:rFonts w:cs="Tahoma"/>
                <w:sz w:val="20"/>
                <w:szCs w:val="20"/>
              </w:rPr>
              <w:t>6 765,1</w:t>
            </w:r>
          </w:p>
        </w:tc>
      </w:tr>
      <w:tr w:rsidR="005D68B9" w:rsidRPr="00821AF6" w14:paraId="32F2FCFA"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1A94964E" w14:textId="212ABC20" w:rsidR="005D68B9" w:rsidRPr="00821AF6" w:rsidRDefault="005D68B9" w:rsidP="00C96610">
            <w:pPr>
              <w:spacing w:before="60" w:after="40" w:line="288" w:lineRule="auto"/>
              <w:ind w:firstLine="0"/>
              <w:jc w:val="left"/>
              <w:rPr>
                <w:rFonts w:cs="Tahoma"/>
                <w:b/>
                <w:sz w:val="20"/>
                <w:szCs w:val="20"/>
              </w:rPr>
            </w:pPr>
            <w:r w:rsidRPr="00821AF6">
              <w:rPr>
                <w:rFonts w:cs="Tahoma"/>
                <w:b/>
                <w:sz w:val="20"/>
                <w:szCs w:val="20"/>
              </w:rPr>
              <w:t>Ekonomiczna bieżąca wartość netto (ENPV)</w:t>
            </w:r>
          </w:p>
        </w:tc>
        <w:tc>
          <w:tcPr>
            <w:tcW w:w="1275" w:type="dxa"/>
            <w:tcBorders>
              <w:top w:val="single" w:sz="4" w:space="0" w:color="auto"/>
              <w:left w:val="single" w:sz="4" w:space="0" w:color="auto"/>
              <w:bottom w:val="single" w:sz="4" w:space="0" w:color="auto"/>
              <w:right w:val="single" w:sz="4" w:space="0" w:color="auto"/>
            </w:tcBorders>
            <w:vAlign w:val="center"/>
          </w:tcPr>
          <w:p w14:paraId="5156E4E2" w14:textId="77777777" w:rsidR="005D68B9" w:rsidRPr="00821AF6" w:rsidRDefault="005D68B9" w:rsidP="00C96610">
            <w:pPr>
              <w:spacing w:before="60" w:after="40" w:line="288" w:lineRule="auto"/>
              <w:ind w:firstLine="0"/>
              <w:jc w:val="center"/>
              <w:rPr>
                <w:rFonts w:cs="Tahoma"/>
                <w:b/>
                <w:sz w:val="20"/>
                <w:szCs w:val="20"/>
              </w:rPr>
            </w:pPr>
            <w:r w:rsidRPr="00821AF6">
              <w:rPr>
                <w:rFonts w:cs="Tahoma"/>
                <w:b/>
                <w:sz w:val="20"/>
                <w:szCs w:val="20"/>
              </w:rPr>
              <w:t>tys. zł</w:t>
            </w:r>
          </w:p>
        </w:tc>
        <w:tc>
          <w:tcPr>
            <w:tcW w:w="1514" w:type="dxa"/>
            <w:tcBorders>
              <w:top w:val="single" w:sz="4" w:space="0" w:color="auto"/>
              <w:left w:val="single" w:sz="4" w:space="0" w:color="auto"/>
              <w:bottom w:val="single" w:sz="4" w:space="0" w:color="auto"/>
              <w:right w:val="single" w:sz="4" w:space="0" w:color="auto"/>
            </w:tcBorders>
            <w:vAlign w:val="center"/>
          </w:tcPr>
          <w:p w14:paraId="0D9794EF" w14:textId="3711657B" w:rsidR="005D68B9" w:rsidRPr="005D68B9" w:rsidRDefault="005D68B9" w:rsidP="00C96610">
            <w:pPr>
              <w:spacing w:before="60" w:after="40" w:line="288" w:lineRule="auto"/>
              <w:ind w:firstLine="0"/>
              <w:jc w:val="right"/>
              <w:rPr>
                <w:rFonts w:cs="Tahoma"/>
                <w:b/>
                <w:sz w:val="20"/>
                <w:szCs w:val="20"/>
              </w:rPr>
            </w:pPr>
            <w:r w:rsidRPr="005D68B9">
              <w:rPr>
                <w:rFonts w:cs="Tahoma"/>
                <w:b/>
                <w:sz w:val="20"/>
                <w:szCs w:val="20"/>
              </w:rPr>
              <w:t>-</w:t>
            </w:r>
            <w:r w:rsidR="00C96610">
              <w:rPr>
                <w:rFonts w:cs="Tahoma"/>
                <w:b/>
                <w:sz w:val="20"/>
                <w:szCs w:val="20"/>
              </w:rPr>
              <w:t>58 821,7</w:t>
            </w:r>
          </w:p>
        </w:tc>
        <w:tc>
          <w:tcPr>
            <w:tcW w:w="1515" w:type="dxa"/>
            <w:tcBorders>
              <w:top w:val="single" w:sz="4" w:space="0" w:color="auto"/>
              <w:left w:val="single" w:sz="4" w:space="0" w:color="auto"/>
              <w:bottom w:val="single" w:sz="4" w:space="0" w:color="auto"/>
              <w:right w:val="single" w:sz="4" w:space="0" w:color="auto"/>
            </w:tcBorders>
            <w:vAlign w:val="center"/>
          </w:tcPr>
          <w:p w14:paraId="4805F6A1" w14:textId="676BAB2A" w:rsidR="005D68B9" w:rsidRPr="005D68B9" w:rsidRDefault="00C96610" w:rsidP="00C96610">
            <w:pPr>
              <w:spacing w:before="60" w:after="40" w:line="288" w:lineRule="auto"/>
              <w:ind w:firstLine="0"/>
              <w:jc w:val="right"/>
              <w:rPr>
                <w:rFonts w:cs="Tahoma"/>
                <w:b/>
                <w:sz w:val="20"/>
                <w:szCs w:val="20"/>
              </w:rPr>
            </w:pPr>
            <w:r>
              <w:rPr>
                <w:rFonts w:cs="Tahoma"/>
                <w:b/>
                <w:sz w:val="20"/>
                <w:szCs w:val="20"/>
              </w:rPr>
              <w:t>-86 992,5</w:t>
            </w:r>
          </w:p>
        </w:tc>
        <w:tc>
          <w:tcPr>
            <w:tcW w:w="1515" w:type="dxa"/>
            <w:tcBorders>
              <w:top w:val="single" w:sz="4" w:space="0" w:color="auto"/>
              <w:left w:val="single" w:sz="4" w:space="0" w:color="auto"/>
              <w:bottom w:val="single" w:sz="4" w:space="0" w:color="auto"/>
              <w:right w:val="single" w:sz="4" w:space="0" w:color="auto"/>
            </w:tcBorders>
            <w:vAlign w:val="center"/>
          </w:tcPr>
          <w:p w14:paraId="0B395EB5" w14:textId="602D029F" w:rsidR="005D68B9" w:rsidRPr="005D68B9" w:rsidRDefault="00C96610" w:rsidP="00C96610">
            <w:pPr>
              <w:spacing w:before="60" w:after="40" w:line="288" w:lineRule="auto"/>
              <w:ind w:firstLine="0"/>
              <w:jc w:val="right"/>
              <w:rPr>
                <w:rFonts w:cs="Tahoma"/>
                <w:b/>
                <w:sz w:val="20"/>
                <w:szCs w:val="20"/>
              </w:rPr>
            </w:pPr>
            <w:r>
              <w:rPr>
                <w:rFonts w:cs="Tahoma"/>
                <w:b/>
                <w:sz w:val="20"/>
                <w:szCs w:val="20"/>
              </w:rPr>
              <w:t>-95 711,6</w:t>
            </w:r>
          </w:p>
        </w:tc>
      </w:tr>
      <w:tr w:rsidR="00C96610" w:rsidRPr="00821AF6" w14:paraId="7C671605" w14:textId="77777777" w:rsidTr="0016243F">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2EDFD7A4" w14:textId="7CB00AF2" w:rsidR="00C96610" w:rsidRPr="00821AF6" w:rsidRDefault="00C96610" w:rsidP="00C96610">
            <w:pPr>
              <w:spacing w:before="60" w:after="40" w:line="288" w:lineRule="auto"/>
              <w:ind w:firstLine="0"/>
              <w:jc w:val="left"/>
              <w:rPr>
                <w:rFonts w:cs="Tahoma"/>
                <w:sz w:val="20"/>
                <w:szCs w:val="20"/>
              </w:rPr>
            </w:pPr>
            <w:r>
              <w:rPr>
                <w:rFonts w:cs="Tahoma"/>
                <w:sz w:val="20"/>
                <w:szCs w:val="20"/>
              </w:rPr>
              <w:t>Ekonomiczna stopa zwrotu (E</w:t>
            </w:r>
            <w:r w:rsidRPr="00821AF6">
              <w:rPr>
                <w:rFonts w:cs="Tahoma"/>
                <w:sz w:val="20"/>
                <w:szCs w:val="20"/>
              </w:rPr>
              <w:t>RR)</w:t>
            </w:r>
          </w:p>
        </w:tc>
        <w:tc>
          <w:tcPr>
            <w:tcW w:w="1275" w:type="dxa"/>
            <w:tcBorders>
              <w:top w:val="single" w:sz="4" w:space="0" w:color="auto"/>
              <w:left w:val="single" w:sz="4" w:space="0" w:color="auto"/>
              <w:bottom w:val="single" w:sz="4" w:space="0" w:color="auto"/>
              <w:right w:val="single" w:sz="4" w:space="0" w:color="auto"/>
            </w:tcBorders>
            <w:vAlign w:val="center"/>
          </w:tcPr>
          <w:p w14:paraId="5C6079BB" w14:textId="77777777" w:rsidR="00C96610" w:rsidRPr="00821AF6" w:rsidRDefault="00C96610" w:rsidP="00C96610">
            <w:pPr>
              <w:spacing w:before="60" w:after="40" w:line="288" w:lineRule="auto"/>
              <w:ind w:firstLine="0"/>
              <w:jc w:val="center"/>
              <w:rPr>
                <w:rFonts w:cs="Tahoma"/>
                <w:sz w:val="20"/>
                <w:szCs w:val="20"/>
              </w:rPr>
            </w:pPr>
            <w:r w:rsidRPr="00821AF6">
              <w:rPr>
                <w:rFonts w:cs="Tahoma"/>
                <w:sz w:val="20"/>
                <w:szCs w:val="20"/>
              </w:rPr>
              <w:t>%</w:t>
            </w:r>
          </w:p>
        </w:tc>
        <w:tc>
          <w:tcPr>
            <w:tcW w:w="1514" w:type="dxa"/>
            <w:tcBorders>
              <w:top w:val="single" w:sz="4" w:space="0" w:color="auto"/>
              <w:left w:val="single" w:sz="4" w:space="0" w:color="auto"/>
              <w:bottom w:val="single" w:sz="4" w:space="0" w:color="auto"/>
              <w:right w:val="single" w:sz="4" w:space="0" w:color="auto"/>
            </w:tcBorders>
          </w:tcPr>
          <w:p w14:paraId="7C2ADBE3" w14:textId="51A5F5C8" w:rsidR="00C96610" w:rsidRPr="005D68B9" w:rsidRDefault="00C96610" w:rsidP="00C96610">
            <w:pPr>
              <w:spacing w:before="60" w:after="40" w:line="288" w:lineRule="auto"/>
              <w:ind w:firstLine="0"/>
              <w:jc w:val="right"/>
              <w:rPr>
                <w:rFonts w:cs="Tahoma"/>
                <w:sz w:val="20"/>
                <w:szCs w:val="20"/>
              </w:rPr>
            </w:pPr>
            <w:r w:rsidRPr="005D68B9">
              <w:rPr>
                <w:rFonts w:cs="Tahoma"/>
                <w:sz w:val="20"/>
                <w:szCs w:val="20"/>
              </w:rPr>
              <w:t>nie istnieje</w:t>
            </w:r>
          </w:p>
        </w:tc>
        <w:tc>
          <w:tcPr>
            <w:tcW w:w="1515" w:type="dxa"/>
            <w:tcBorders>
              <w:top w:val="single" w:sz="4" w:space="0" w:color="auto"/>
              <w:left w:val="single" w:sz="4" w:space="0" w:color="auto"/>
              <w:bottom w:val="single" w:sz="4" w:space="0" w:color="auto"/>
              <w:right w:val="single" w:sz="4" w:space="0" w:color="auto"/>
            </w:tcBorders>
          </w:tcPr>
          <w:p w14:paraId="71C24E61" w14:textId="44707B43" w:rsidR="00C96610" w:rsidRPr="005D68B9" w:rsidRDefault="00C96610" w:rsidP="00C96610">
            <w:pPr>
              <w:spacing w:before="60" w:after="40" w:line="288" w:lineRule="auto"/>
              <w:ind w:firstLine="0"/>
              <w:jc w:val="right"/>
              <w:rPr>
                <w:rFonts w:cs="Tahoma"/>
                <w:sz w:val="20"/>
                <w:szCs w:val="20"/>
              </w:rPr>
            </w:pPr>
            <w:r w:rsidRPr="00765FC2">
              <w:rPr>
                <w:rFonts w:cs="Tahoma"/>
                <w:sz w:val="20"/>
                <w:szCs w:val="20"/>
              </w:rPr>
              <w:t>nie istnieje</w:t>
            </w:r>
          </w:p>
        </w:tc>
        <w:tc>
          <w:tcPr>
            <w:tcW w:w="1515" w:type="dxa"/>
            <w:tcBorders>
              <w:top w:val="single" w:sz="4" w:space="0" w:color="auto"/>
              <w:left w:val="single" w:sz="4" w:space="0" w:color="auto"/>
              <w:bottom w:val="single" w:sz="4" w:space="0" w:color="auto"/>
              <w:right w:val="single" w:sz="4" w:space="0" w:color="auto"/>
            </w:tcBorders>
          </w:tcPr>
          <w:p w14:paraId="13429552" w14:textId="2A3581CC" w:rsidR="00C96610" w:rsidRPr="005D68B9" w:rsidRDefault="00C96610" w:rsidP="00C96610">
            <w:pPr>
              <w:spacing w:before="60" w:after="40" w:line="288" w:lineRule="auto"/>
              <w:ind w:firstLine="0"/>
              <w:jc w:val="right"/>
              <w:rPr>
                <w:rFonts w:cs="Tahoma"/>
                <w:sz w:val="20"/>
                <w:szCs w:val="20"/>
              </w:rPr>
            </w:pPr>
            <w:r w:rsidRPr="00765FC2">
              <w:rPr>
                <w:rFonts w:cs="Tahoma"/>
                <w:sz w:val="20"/>
                <w:szCs w:val="20"/>
              </w:rPr>
              <w:t>nie istnieje</w:t>
            </w:r>
          </w:p>
        </w:tc>
      </w:tr>
      <w:tr w:rsidR="005D68B9" w:rsidRPr="00821AF6" w14:paraId="7D542A3F" w14:textId="77777777" w:rsidTr="00E52732">
        <w:trPr>
          <w:cantSplit/>
          <w:jc w:val="center"/>
        </w:trPr>
        <w:tc>
          <w:tcPr>
            <w:tcW w:w="3253" w:type="dxa"/>
            <w:tcBorders>
              <w:top w:val="single" w:sz="4" w:space="0" w:color="auto"/>
              <w:left w:val="single" w:sz="4" w:space="0" w:color="auto"/>
              <w:bottom w:val="single" w:sz="4" w:space="0" w:color="auto"/>
              <w:right w:val="single" w:sz="4" w:space="0" w:color="auto"/>
            </w:tcBorders>
            <w:vAlign w:val="center"/>
          </w:tcPr>
          <w:p w14:paraId="19C4B69A" w14:textId="77777777" w:rsidR="005D68B9" w:rsidRPr="00821AF6" w:rsidRDefault="005D68B9" w:rsidP="00C96610">
            <w:pPr>
              <w:spacing w:before="60" w:after="40" w:line="288" w:lineRule="auto"/>
              <w:ind w:firstLine="0"/>
              <w:jc w:val="left"/>
              <w:rPr>
                <w:rFonts w:cs="Tahoma"/>
                <w:b/>
                <w:sz w:val="20"/>
                <w:szCs w:val="20"/>
              </w:rPr>
            </w:pPr>
            <w:r w:rsidRPr="00821AF6">
              <w:rPr>
                <w:rFonts w:cs="Tahoma"/>
                <w:b/>
                <w:sz w:val="20"/>
                <w:szCs w:val="20"/>
              </w:rPr>
              <w:t>Wskaźnik przychód/koszty (BCR)</w:t>
            </w:r>
          </w:p>
        </w:tc>
        <w:tc>
          <w:tcPr>
            <w:tcW w:w="1275" w:type="dxa"/>
            <w:tcBorders>
              <w:top w:val="single" w:sz="4" w:space="0" w:color="auto"/>
              <w:left w:val="single" w:sz="4" w:space="0" w:color="auto"/>
              <w:bottom w:val="single" w:sz="4" w:space="0" w:color="auto"/>
              <w:right w:val="single" w:sz="4" w:space="0" w:color="auto"/>
            </w:tcBorders>
            <w:vAlign w:val="center"/>
          </w:tcPr>
          <w:p w14:paraId="2A9E044B" w14:textId="77777777" w:rsidR="005D68B9" w:rsidRPr="00821AF6" w:rsidRDefault="005D68B9" w:rsidP="00C96610">
            <w:pPr>
              <w:spacing w:before="60" w:after="40" w:line="288" w:lineRule="auto"/>
              <w:ind w:firstLine="0"/>
              <w:jc w:val="center"/>
              <w:rPr>
                <w:rFonts w:cs="Tahoma"/>
                <w:b/>
                <w:sz w:val="20"/>
                <w:szCs w:val="20"/>
              </w:rPr>
            </w:pPr>
            <w:r w:rsidRPr="00821AF6">
              <w:rPr>
                <w:rFonts w:cs="Tahoma"/>
                <w:b/>
                <w:sz w:val="20"/>
                <w:szCs w:val="20"/>
              </w:rPr>
              <w:t>-</w:t>
            </w:r>
          </w:p>
        </w:tc>
        <w:tc>
          <w:tcPr>
            <w:tcW w:w="1514" w:type="dxa"/>
            <w:tcBorders>
              <w:top w:val="single" w:sz="4" w:space="0" w:color="auto"/>
              <w:left w:val="single" w:sz="4" w:space="0" w:color="auto"/>
              <w:bottom w:val="single" w:sz="4" w:space="0" w:color="auto"/>
              <w:right w:val="single" w:sz="4" w:space="0" w:color="auto"/>
            </w:tcBorders>
            <w:vAlign w:val="center"/>
          </w:tcPr>
          <w:p w14:paraId="0B177CA1" w14:textId="05CCA4DE" w:rsidR="005D68B9" w:rsidRPr="005D68B9" w:rsidRDefault="005D68B9" w:rsidP="00C96610">
            <w:pPr>
              <w:spacing w:before="60" w:after="40" w:line="288" w:lineRule="auto"/>
              <w:ind w:firstLine="0"/>
              <w:jc w:val="right"/>
              <w:rPr>
                <w:rFonts w:cs="Tahoma"/>
                <w:b/>
                <w:sz w:val="20"/>
                <w:szCs w:val="20"/>
              </w:rPr>
            </w:pPr>
            <w:r w:rsidRPr="005D68B9">
              <w:rPr>
                <w:rFonts w:cs="Tahoma"/>
                <w:b/>
                <w:sz w:val="20"/>
                <w:szCs w:val="20"/>
              </w:rPr>
              <w:t>0,</w:t>
            </w:r>
            <w:r w:rsidR="00C96610">
              <w:rPr>
                <w:rFonts w:cs="Tahoma"/>
                <w:b/>
                <w:sz w:val="20"/>
                <w:szCs w:val="20"/>
              </w:rPr>
              <w:t>26</w:t>
            </w:r>
          </w:p>
        </w:tc>
        <w:tc>
          <w:tcPr>
            <w:tcW w:w="1515" w:type="dxa"/>
            <w:tcBorders>
              <w:top w:val="single" w:sz="4" w:space="0" w:color="auto"/>
              <w:left w:val="single" w:sz="4" w:space="0" w:color="auto"/>
              <w:bottom w:val="single" w:sz="4" w:space="0" w:color="auto"/>
              <w:right w:val="single" w:sz="4" w:space="0" w:color="auto"/>
            </w:tcBorders>
            <w:vAlign w:val="center"/>
          </w:tcPr>
          <w:p w14:paraId="30FA1247" w14:textId="61C13B62" w:rsidR="005D68B9" w:rsidRPr="005D68B9" w:rsidRDefault="00C96610" w:rsidP="00C96610">
            <w:pPr>
              <w:spacing w:before="60" w:after="40" w:line="288" w:lineRule="auto"/>
              <w:ind w:firstLine="0"/>
              <w:jc w:val="right"/>
              <w:rPr>
                <w:rFonts w:cs="Tahoma"/>
                <w:b/>
                <w:sz w:val="20"/>
                <w:szCs w:val="20"/>
              </w:rPr>
            </w:pPr>
            <w:r>
              <w:rPr>
                <w:rFonts w:cs="Tahoma"/>
                <w:b/>
                <w:sz w:val="20"/>
                <w:szCs w:val="20"/>
              </w:rPr>
              <w:t>0,41</w:t>
            </w:r>
          </w:p>
        </w:tc>
        <w:tc>
          <w:tcPr>
            <w:tcW w:w="1515" w:type="dxa"/>
            <w:tcBorders>
              <w:top w:val="single" w:sz="4" w:space="0" w:color="auto"/>
              <w:left w:val="single" w:sz="4" w:space="0" w:color="auto"/>
              <w:bottom w:val="single" w:sz="4" w:space="0" w:color="auto"/>
              <w:right w:val="single" w:sz="4" w:space="0" w:color="auto"/>
            </w:tcBorders>
            <w:vAlign w:val="center"/>
          </w:tcPr>
          <w:p w14:paraId="1F14D5A0" w14:textId="39CA7A2F" w:rsidR="005D68B9" w:rsidRPr="005D68B9" w:rsidRDefault="00C96610" w:rsidP="00C96610">
            <w:pPr>
              <w:spacing w:before="60" w:after="40" w:line="288" w:lineRule="auto"/>
              <w:ind w:firstLine="0"/>
              <w:jc w:val="right"/>
              <w:rPr>
                <w:rFonts w:cs="Tahoma"/>
                <w:b/>
                <w:sz w:val="20"/>
                <w:szCs w:val="20"/>
              </w:rPr>
            </w:pPr>
            <w:r>
              <w:rPr>
                <w:rFonts w:cs="Tahoma"/>
                <w:b/>
                <w:sz w:val="20"/>
                <w:szCs w:val="20"/>
              </w:rPr>
              <w:t>0,39</w:t>
            </w:r>
          </w:p>
        </w:tc>
      </w:tr>
    </w:tbl>
    <w:p w14:paraId="20E5ABE6" w14:textId="77777777" w:rsidR="00865852" w:rsidRPr="00821AF6" w:rsidRDefault="00865852" w:rsidP="00C96610">
      <w:pPr>
        <w:spacing w:before="120" w:after="240"/>
        <w:ind w:firstLine="0"/>
        <w:jc w:val="left"/>
        <w:rPr>
          <w:rFonts w:cs="Tahoma"/>
          <w:sz w:val="20"/>
          <w:szCs w:val="20"/>
        </w:rPr>
      </w:pPr>
      <w:r w:rsidRPr="00821AF6">
        <w:rPr>
          <w:rFonts w:cs="Tahoma"/>
          <w:sz w:val="20"/>
          <w:szCs w:val="20"/>
        </w:rPr>
        <w:t>Źródło: opracowanie własne.</w:t>
      </w:r>
    </w:p>
    <w:p w14:paraId="51F11161" w14:textId="77777777" w:rsidR="00C96610" w:rsidRDefault="00C96610" w:rsidP="00C96610">
      <w:pPr>
        <w:rPr>
          <w:rFonts w:cs="Tahoma"/>
          <w:color w:val="000000"/>
        </w:rPr>
      </w:pPr>
      <w:r w:rsidRPr="00821AF6">
        <w:rPr>
          <w:rFonts w:cs="Tahoma"/>
          <w:color w:val="000000"/>
        </w:rPr>
        <w:t>Należy podkreślić, że przeprowadzona analiza uwzględnia korzyści tzw. bezpośrednie (emisje, hałas), nie uwzględnia natomiast takich korzyści, jak podniesienie komfortu jazdy, czy też postrzeganie transportu publicznego przez mieszkańców.</w:t>
      </w:r>
    </w:p>
    <w:p w14:paraId="283491BA" w14:textId="3D1A24DB" w:rsidR="00C96610" w:rsidRPr="00821AF6" w:rsidRDefault="00C96610" w:rsidP="00C96610">
      <w:pPr>
        <w:rPr>
          <w:rFonts w:cs="Tahoma"/>
          <w:color w:val="000000"/>
        </w:rPr>
      </w:pPr>
      <w:r w:rsidRPr="00821AF6">
        <w:rPr>
          <w:rFonts w:cs="Tahoma"/>
          <w:color w:val="000000"/>
        </w:rPr>
        <w:t xml:space="preserve">Ocena wyników ekonomicznych analizowanych wariantów i same wyniki wskazują, iż podstawowym czynnikiem wpływającym na wartości wskaźników są nakłady inwestycyjne, tj. cena autobusu w danym wariancie. Czynnikiem krytycznym dla wyników analizy jest zatem cena autobusu elektrycznego wraz z infrastrukturą ładującą. </w:t>
      </w:r>
    </w:p>
    <w:p w14:paraId="559348FB" w14:textId="2F8C8309" w:rsidR="00020CBB" w:rsidRPr="00821AF6" w:rsidRDefault="00020CBB" w:rsidP="00C96610">
      <w:pPr>
        <w:rPr>
          <w:rFonts w:cs="Tahoma"/>
          <w:b/>
          <w:color w:val="000000"/>
        </w:rPr>
      </w:pPr>
      <w:r w:rsidRPr="00821AF6">
        <w:rPr>
          <w:rFonts w:cs="Tahoma"/>
          <w:b/>
          <w:color w:val="000000"/>
        </w:rPr>
        <w:lastRenderedPageBreak/>
        <w:t xml:space="preserve">Uzyskane w analizie </w:t>
      </w:r>
      <w:r w:rsidR="000C512A" w:rsidRPr="00821AF6">
        <w:rPr>
          <w:rFonts w:cs="Tahoma"/>
          <w:b/>
          <w:color w:val="000000"/>
        </w:rPr>
        <w:t xml:space="preserve">wyniki oznaczają – przy przyjętych założeniach </w:t>
      </w:r>
      <w:r w:rsidR="00830A3F" w:rsidRPr="00821AF6">
        <w:rPr>
          <w:rFonts w:cs="Tahoma"/>
          <w:b/>
          <w:color w:val="000000"/>
        </w:rPr>
        <w:t xml:space="preserve">i uwzględnianiu jako miernika ENPV </w:t>
      </w:r>
      <w:r w:rsidR="000C512A" w:rsidRPr="00821AF6">
        <w:rPr>
          <w:rFonts w:cs="Tahoma"/>
          <w:b/>
          <w:color w:val="000000"/>
        </w:rPr>
        <w:t xml:space="preserve">– brak osiąganych korzyści z tytułu zastosowania w </w:t>
      </w:r>
      <w:r w:rsidR="00C73F5E">
        <w:rPr>
          <w:rFonts w:cs="Tahoma"/>
          <w:b/>
          <w:color w:val="000000"/>
        </w:rPr>
        <w:t>rzeszowskie</w:t>
      </w:r>
      <w:r w:rsidR="00AE0C28">
        <w:rPr>
          <w:rFonts w:cs="Tahoma"/>
          <w:b/>
          <w:color w:val="000000"/>
        </w:rPr>
        <w:t>j</w:t>
      </w:r>
      <w:r w:rsidR="00265608">
        <w:rPr>
          <w:rFonts w:cs="Tahoma"/>
          <w:b/>
          <w:color w:val="000000"/>
        </w:rPr>
        <w:t xml:space="preserve"> </w:t>
      </w:r>
      <w:r w:rsidR="000C512A" w:rsidRPr="00821AF6">
        <w:rPr>
          <w:rFonts w:cs="Tahoma"/>
          <w:b/>
          <w:color w:val="000000"/>
        </w:rPr>
        <w:t>komunikacji miejskiej autobusów zeroemisyjnych</w:t>
      </w:r>
      <w:r w:rsidR="00125AFF" w:rsidRPr="00821AF6">
        <w:rPr>
          <w:rFonts w:cs="Tahoma"/>
          <w:b/>
          <w:color w:val="000000"/>
        </w:rPr>
        <w:t xml:space="preserve"> </w:t>
      </w:r>
      <w:r w:rsidRPr="00821AF6">
        <w:rPr>
          <w:rFonts w:cs="Tahoma"/>
          <w:b/>
          <w:color w:val="000000"/>
        </w:rPr>
        <w:t xml:space="preserve">– </w:t>
      </w:r>
      <w:r w:rsidR="00801E23" w:rsidRPr="00821AF6">
        <w:rPr>
          <w:rFonts w:cs="Tahoma"/>
          <w:b/>
          <w:color w:val="000000"/>
        </w:rPr>
        <w:t>zarówno w </w:t>
      </w:r>
      <w:r w:rsidR="00125AFF" w:rsidRPr="00821AF6">
        <w:rPr>
          <w:rFonts w:cs="Tahoma"/>
          <w:b/>
          <w:color w:val="000000"/>
        </w:rPr>
        <w:t>warian</w:t>
      </w:r>
      <w:r w:rsidRPr="00821AF6">
        <w:rPr>
          <w:rFonts w:cs="Tahoma"/>
          <w:b/>
          <w:color w:val="000000"/>
        </w:rPr>
        <w:t xml:space="preserve">cie inwestycyjnym </w:t>
      </w:r>
      <w:r w:rsidR="00B420F7" w:rsidRPr="00821AF6">
        <w:rPr>
          <w:rFonts w:cs="Tahoma"/>
          <w:b/>
          <w:color w:val="000000"/>
        </w:rPr>
        <w:t>elektrycznym</w:t>
      </w:r>
      <w:r w:rsidR="005D68B9">
        <w:rPr>
          <w:rFonts w:cs="Tahoma"/>
          <w:b/>
          <w:color w:val="000000"/>
        </w:rPr>
        <w:t xml:space="preserve">, </w:t>
      </w:r>
      <w:r w:rsidR="00237CAF" w:rsidRPr="00821AF6">
        <w:rPr>
          <w:rFonts w:cs="Tahoma"/>
          <w:b/>
          <w:color w:val="000000"/>
        </w:rPr>
        <w:t>jak i </w:t>
      </w:r>
      <w:r w:rsidRPr="00821AF6">
        <w:rPr>
          <w:rFonts w:cs="Tahoma"/>
          <w:b/>
          <w:color w:val="000000"/>
        </w:rPr>
        <w:t xml:space="preserve">w wariancie </w:t>
      </w:r>
      <w:r w:rsidR="00C96610">
        <w:rPr>
          <w:rFonts w:cs="Tahoma"/>
          <w:b/>
          <w:color w:val="000000"/>
        </w:rPr>
        <w:t>wodorowym</w:t>
      </w:r>
      <w:r w:rsidRPr="00821AF6">
        <w:rPr>
          <w:rFonts w:cs="Tahoma"/>
          <w:b/>
          <w:color w:val="000000"/>
        </w:rPr>
        <w:t>.</w:t>
      </w:r>
    </w:p>
    <w:p w14:paraId="1C5639BC" w14:textId="74014063" w:rsidR="00830A3F" w:rsidRPr="00821AF6" w:rsidRDefault="00830A3F" w:rsidP="00C96610">
      <w:pPr>
        <w:rPr>
          <w:rFonts w:cs="Tahoma"/>
          <w:color w:val="000000"/>
        </w:rPr>
      </w:pPr>
      <w:r w:rsidRPr="00821AF6">
        <w:rPr>
          <w:rFonts w:cs="Tahoma"/>
          <w:color w:val="000000"/>
        </w:rPr>
        <w:t>Przy zastosowaniu jako miernika BCR występuje</w:t>
      </w:r>
      <w:r w:rsidR="0068486F">
        <w:rPr>
          <w:rFonts w:cs="Tahoma"/>
          <w:color w:val="000000"/>
        </w:rPr>
        <w:t xml:space="preserve"> korzyść z zastosowania wariantów elektryczn</w:t>
      </w:r>
      <w:r w:rsidR="00C96610">
        <w:rPr>
          <w:rFonts w:cs="Tahoma"/>
          <w:color w:val="000000"/>
        </w:rPr>
        <w:t>ego i wodorowego w porównaniu do konwencjonalnego</w:t>
      </w:r>
      <w:r w:rsidRPr="00821AF6">
        <w:rPr>
          <w:rFonts w:cs="Tahoma"/>
          <w:color w:val="000000"/>
        </w:rPr>
        <w:t xml:space="preserve">. </w:t>
      </w:r>
    </w:p>
    <w:p w14:paraId="719BD375" w14:textId="77777777" w:rsidR="000C512A" w:rsidRPr="00821AF6" w:rsidRDefault="000C512A" w:rsidP="00E26F7D">
      <w:pPr>
        <w:pStyle w:val="Nagwek2"/>
        <w:tabs>
          <w:tab w:val="left" w:pos="539"/>
        </w:tabs>
        <w:spacing w:before="120"/>
        <w:ind w:left="567"/>
        <w:jc w:val="center"/>
        <w:rPr>
          <w:color w:val="000000"/>
        </w:rPr>
      </w:pPr>
      <w:bookmarkStart w:id="96" w:name="_Toc524602377"/>
      <w:bookmarkStart w:id="97" w:name="_Toc89417680"/>
      <w:r w:rsidRPr="00821AF6">
        <w:rPr>
          <w:color w:val="000000"/>
        </w:rPr>
        <w:t>Trwałość finansowa</w:t>
      </w:r>
      <w:bookmarkEnd w:id="96"/>
      <w:bookmarkEnd w:id="97"/>
    </w:p>
    <w:p w14:paraId="5EDE879E" w14:textId="5626ECF0" w:rsidR="00717EFE" w:rsidRPr="00717EFE" w:rsidRDefault="00717EFE" w:rsidP="00E26F7D">
      <w:pPr>
        <w:rPr>
          <w:rFonts w:cs="Tahoma"/>
        </w:rPr>
      </w:pPr>
      <w:r w:rsidRPr="00717EFE">
        <w:rPr>
          <w:rFonts w:cs="Tahoma"/>
        </w:rPr>
        <w:t xml:space="preserve">Organizatorem </w:t>
      </w:r>
      <w:r w:rsidR="00C73F5E">
        <w:rPr>
          <w:rFonts w:cs="Tahoma"/>
        </w:rPr>
        <w:t>rzeszowskie</w:t>
      </w:r>
      <w:r w:rsidR="00AE0C28">
        <w:rPr>
          <w:rFonts w:cs="Tahoma"/>
        </w:rPr>
        <w:t>j</w:t>
      </w:r>
      <w:r w:rsidRPr="00717EFE">
        <w:rPr>
          <w:rFonts w:cs="Tahoma"/>
        </w:rPr>
        <w:t xml:space="preserve"> komunikacji miejskiej jest Prezydent Miasta </w:t>
      </w:r>
      <w:r w:rsidR="00FB29A8">
        <w:rPr>
          <w:rFonts w:cs="Tahoma"/>
        </w:rPr>
        <w:t>Rzeszowa</w:t>
      </w:r>
      <w:r w:rsidRPr="00717EFE">
        <w:rPr>
          <w:rFonts w:cs="Tahoma"/>
        </w:rPr>
        <w:t>, a</w:t>
      </w:r>
      <w:r w:rsidR="007F019A">
        <w:rPr>
          <w:rFonts w:cs="Tahoma"/>
        </w:rPr>
        <w:t> </w:t>
      </w:r>
      <w:r w:rsidRPr="00717EFE">
        <w:rPr>
          <w:rFonts w:cs="Tahoma"/>
        </w:rPr>
        <w:t>zadania organiza</w:t>
      </w:r>
      <w:r>
        <w:rPr>
          <w:rFonts w:cs="Tahoma"/>
        </w:rPr>
        <w:t xml:space="preserve">tora wykonuje wyspecjalizowana </w:t>
      </w:r>
      <w:r w:rsidR="00E26F7D" w:rsidRPr="00E26F7D">
        <w:rPr>
          <w:rFonts w:cs="Tahoma"/>
        </w:rPr>
        <w:t>jednostka budżetowa Miasta – Zarząd Transportu Miejskiego w Rzeszowie</w:t>
      </w:r>
      <w:r w:rsidRPr="00717EFE">
        <w:rPr>
          <w:rFonts w:cs="Tahoma"/>
        </w:rPr>
        <w:t>.</w:t>
      </w:r>
    </w:p>
    <w:p w14:paraId="5216F7EB" w14:textId="0C4A1868" w:rsidR="00AF3DEF" w:rsidRPr="00AF3DEF" w:rsidRDefault="00AF3DEF" w:rsidP="00E26F7D">
      <w:pPr>
        <w:rPr>
          <w:rFonts w:cs="Tahoma"/>
          <w:color w:val="000000"/>
        </w:rPr>
      </w:pPr>
      <w:r w:rsidRPr="00AF3DEF">
        <w:rPr>
          <w:rFonts w:cs="Tahoma"/>
          <w:color w:val="000000"/>
        </w:rPr>
        <w:t xml:space="preserve">Jedynym operatorem </w:t>
      </w:r>
      <w:r w:rsidR="00C73F5E">
        <w:rPr>
          <w:rFonts w:cs="Tahoma"/>
          <w:color w:val="000000"/>
        </w:rPr>
        <w:t>rzeszowskie</w:t>
      </w:r>
      <w:r>
        <w:rPr>
          <w:rFonts w:cs="Tahoma"/>
          <w:color w:val="000000"/>
        </w:rPr>
        <w:t>j</w:t>
      </w:r>
      <w:r w:rsidRPr="00AF3DEF">
        <w:rPr>
          <w:rFonts w:cs="Tahoma"/>
          <w:color w:val="000000"/>
        </w:rPr>
        <w:t xml:space="preserve"> komunikacji miejskiej jest </w:t>
      </w:r>
      <w:r w:rsidR="00E26F7D" w:rsidRPr="00E26F7D">
        <w:rPr>
          <w:rFonts w:cs="Tahoma"/>
          <w:color w:val="000000"/>
        </w:rPr>
        <w:t>Miejskie Przedsiębiorstwo Komunikacyjne – Rzeszów sp. z o.o</w:t>
      </w:r>
      <w:r w:rsidR="00E26F7D">
        <w:rPr>
          <w:rFonts w:cs="Tahoma"/>
          <w:color w:val="000000"/>
        </w:rPr>
        <w:t>.</w:t>
      </w:r>
      <w:r>
        <w:rPr>
          <w:rFonts w:cs="Tahoma"/>
          <w:color w:val="000000"/>
        </w:rPr>
        <w:t>, które</w:t>
      </w:r>
      <w:r w:rsidRPr="00AF3DEF">
        <w:rPr>
          <w:rFonts w:cs="Tahoma"/>
          <w:color w:val="000000"/>
        </w:rPr>
        <w:t xml:space="preserve"> jest jednocześnie podmiotem wewnętrznym Miasta.</w:t>
      </w:r>
    </w:p>
    <w:p w14:paraId="65126573" w14:textId="309AEBB5" w:rsidR="00717EFE" w:rsidRDefault="00C73F5E" w:rsidP="00E26F7D">
      <w:pPr>
        <w:rPr>
          <w:rFonts w:cs="Tahoma"/>
        </w:rPr>
      </w:pPr>
      <w:r>
        <w:rPr>
          <w:rFonts w:cs="Tahoma"/>
        </w:rPr>
        <w:t>MPK</w:t>
      </w:r>
      <w:r w:rsidR="00E26F7D">
        <w:rPr>
          <w:rFonts w:cs="Tahoma"/>
        </w:rPr>
        <w:t>-Rzeszów</w:t>
      </w:r>
      <w:r>
        <w:rPr>
          <w:rFonts w:cs="Tahoma"/>
        </w:rPr>
        <w:t xml:space="preserve"> </w:t>
      </w:r>
      <w:r w:rsidR="00717EFE" w:rsidRPr="00717EFE">
        <w:rPr>
          <w:rFonts w:cs="Tahoma"/>
        </w:rPr>
        <w:t xml:space="preserve">Sp. z o.o. jako operator – podmiot wewnętrzny, posiada umowę wieloletnią zawartą </w:t>
      </w:r>
      <w:r w:rsidR="00AF3DEF">
        <w:rPr>
          <w:rFonts w:cs="Tahoma"/>
        </w:rPr>
        <w:t xml:space="preserve">z Miastem w dniu </w:t>
      </w:r>
      <w:r w:rsidR="00E26F7D">
        <w:rPr>
          <w:rFonts w:cs="Tahoma"/>
        </w:rPr>
        <w:t>29</w:t>
      </w:r>
      <w:r w:rsidR="00717EFE" w:rsidRPr="00717EFE">
        <w:rPr>
          <w:rFonts w:cs="Tahoma"/>
        </w:rPr>
        <w:t xml:space="preserve"> </w:t>
      </w:r>
      <w:r w:rsidR="00E26F7D">
        <w:rPr>
          <w:rFonts w:cs="Tahoma"/>
        </w:rPr>
        <w:t>listopada</w:t>
      </w:r>
      <w:r w:rsidR="00717EFE" w:rsidRPr="00717EFE">
        <w:rPr>
          <w:rFonts w:cs="Tahoma"/>
        </w:rPr>
        <w:t xml:space="preserve"> </w:t>
      </w:r>
      <w:r w:rsidR="00AF3DEF">
        <w:rPr>
          <w:rFonts w:cs="Tahoma"/>
        </w:rPr>
        <w:t>2019</w:t>
      </w:r>
      <w:r w:rsidR="00717EFE" w:rsidRPr="00717EFE">
        <w:rPr>
          <w:rFonts w:cs="Tahoma"/>
        </w:rPr>
        <w:t xml:space="preserve"> r., </w:t>
      </w:r>
      <w:r w:rsidR="00D6762B">
        <w:rPr>
          <w:rFonts w:cs="Tahoma"/>
        </w:rPr>
        <w:t xml:space="preserve">dotyczącą </w:t>
      </w:r>
      <w:r w:rsidR="00E26F7D">
        <w:rPr>
          <w:rFonts w:cs="Tahoma"/>
        </w:rPr>
        <w:t>wykonywania przewozów w</w:t>
      </w:r>
      <w:r w:rsidR="007F019A">
        <w:rPr>
          <w:rFonts w:cs="Tahoma"/>
        </w:rPr>
        <w:t> </w:t>
      </w:r>
      <w:r w:rsidR="00E26F7D">
        <w:rPr>
          <w:rFonts w:cs="Tahoma"/>
        </w:rPr>
        <w:t xml:space="preserve">ramach </w:t>
      </w:r>
      <w:r w:rsidR="00662179">
        <w:rPr>
          <w:rFonts w:cs="Tahoma"/>
        </w:rPr>
        <w:t>komunikacji miejskiej</w:t>
      </w:r>
      <w:r w:rsidR="00E26F7D">
        <w:rPr>
          <w:rFonts w:cs="Tahoma"/>
        </w:rPr>
        <w:t>,</w:t>
      </w:r>
      <w:r w:rsidR="00662179">
        <w:rPr>
          <w:rFonts w:cs="Tahoma"/>
        </w:rPr>
        <w:t xml:space="preserve"> na</w:t>
      </w:r>
      <w:r w:rsidR="00123F7E">
        <w:rPr>
          <w:rFonts w:cs="Tahoma"/>
        </w:rPr>
        <w:t> </w:t>
      </w:r>
      <w:r w:rsidR="00662179">
        <w:rPr>
          <w:rFonts w:cs="Tahoma"/>
        </w:rPr>
        <w:t xml:space="preserve">terenie Miasta oraz gminy </w:t>
      </w:r>
      <w:r w:rsidR="00E26F7D">
        <w:rPr>
          <w:rFonts w:cs="Tahoma"/>
        </w:rPr>
        <w:t>ościennych</w:t>
      </w:r>
      <w:r w:rsidR="00D6762B">
        <w:rPr>
          <w:rFonts w:cs="Tahoma"/>
        </w:rPr>
        <w:t xml:space="preserve">, </w:t>
      </w:r>
      <w:r w:rsidR="00662179">
        <w:rPr>
          <w:rFonts w:cs="Tahoma"/>
        </w:rPr>
        <w:t>obowiązując</w:t>
      </w:r>
      <w:r w:rsidR="00123F7E">
        <w:rPr>
          <w:rFonts w:cs="Tahoma"/>
        </w:rPr>
        <w:t>ą</w:t>
      </w:r>
      <w:r w:rsidR="00662179">
        <w:rPr>
          <w:rFonts w:cs="Tahoma"/>
        </w:rPr>
        <w:t xml:space="preserve"> do 3</w:t>
      </w:r>
      <w:r w:rsidR="00E26F7D">
        <w:rPr>
          <w:rFonts w:cs="Tahoma"/>
        </w:rPr>
        <w:t>1</w:t>
      </w:r>
      <w:r w:rsidR="00662179">
        <w:rPr>
          <w:rFonts w:cs="Tahoma"/>
        </w:rPr>
        <w:t xml:space="preserve"> </w:t>
      </w:r>
      <w:r w:rsidR="00E26F7D">
        <w:rPr>
          <w:rFonts w:cs="Tahoma"/>
        </w:rPr>
        <w:t>grudnia 2029 r.</w:t>
      </w:r>
    </w:p>
    <w:p w14:paraId="4E512204" w14:textId="3A90A964" w:rsidR="000C512A" w:rsidRPr="00821AF6" w:rsidRDefault="00461179" w:rsidP="00E26F7D">
      <w:pPr>
        <w:jc w:val="left"/>
        <w:rPr>
          <w:rFonts w:cs="Tahoma"/>
          <w:szCs w:val="22"/>
        </w:rPr>
      </w:pPr>
      <w:r w:rsidRPr="00821AF6">
        <w:rPr>
          <w:rFonts w:cs="Tahoma"/>
          <w:szCs w:val="22"/>
        </w:rPr>
        <w:t xml:space="preserve">W tabeli </w:t>
      </w:r>
      <w:r w:rsidR="0051619C" w:rsidRPr="00821AF6">
        <w:rPr>
          <w:rFonts w:cs="Tahoma"/>
          <w:szCs w:val="22"/>
        </w:rPr>
        <w:t>1</w:t>
      </w:r>
      <w:r w:rsidR="00D6762B">
        <w:rPr>
          <w:rFonts w:cs="Tahoma"/>
          <w:szCs w:val="22"/>
        </w:rPr>
        <w:t>8</w:t>
      </w:r>
      <w:r w:rsidR="000C512A" w:rsidRPr="00821AF6">
        <w:rPr>
          <w:rFonts w:cs="Tahoma"/>
          <w:szCs w:val="22"/>
        </w:rPr>
        <w:t xml:space="preserve"> przedstawiono wykonanie budżetu </w:t>
      </w:r>
      <w:r w:rsidR="0054129D" w:rsidRPr="00821AF6">
        <w:rPr>
          <w:rFonts w:cs="Tahoma"/>
          <w:szCs w:val="22"/>
        </w:rPr>
        <w:t xml:space="preserve">Miasta </w:t>
      </w:r>
      <w:r w:rsidR="00C73F5E">
        <w:rPr>
          <w:rFonts w:cs="Tahoma"/>
          <w:szCs w:val="22"/>
        </w:rPr>
        <w:t xml:space="preserve">Rzeszów </w:t>
      </w:r>
      <w:r w:rsidR="0054129D" w:rsidRPr="00821AF6">
        <w:rPr>
          <w:rFonts w:cs="Tahoma"/>
          <w:szCs w:val="22"/>
        </w:rPr>
        <w:t>w latach 2018-2020 oraz plan na 2021</w:t>
      </w:r>
      <w:r w:rsidR="000C512A" w:rsidRPr="00821AF6">
        <w:rPr>
          <w:rFonts w:cs="Tahoma"/>
          <w:szCs w:val="22"/>
        </w:rPr>
        <w:t xml:space="preserve"> r.</w:t>
      </w:r>
      <w:r w:rsidR="00AA14E0" w:rsidRPr="00821AF6">
        <w:rPr>
          <w:rFonts w:cs="Tahoma"/>
          <w:szCs w:val="22"/>
        </w:rPr>
        <w:t xml:space="preserve"> </w:t>
      </w:r>
      <w:r w:rsidR="00EC599A" w:rsidRPr="00821AF6">
        <w:rPr>
          <w:rFonts w:cs="Tahoma"/>
          <w:szCs w:val="22"/>
        </w:rPr>
        <w:t xml:space="preserve">– </w:t>
      </w:r>
      <w:r w:rsidR="00AA14E0" w:rsidRPr="00821AF6">
        <w:rPr>
          <w:rFonts w:cs="Tahoma"/>
          <w:szCs w:val="22"/>
        </w:rPr>
        <w:t xml:space="preserve">według stanu na </w:t>
      </w:r>
      <w:r w:rsidR="00E26F7D">
        <w:rPr>
          <w:rFonts w:cs="Tahoma"/>
          <w:szCs w:val="22"/>
        </w:rPr>
        <w:t>I połowę</w:t>
      </w:r>
      <w:r w:rsidR="0054129D" w:rsidRPr="00821AF6">
        <w:rPr>
          <w:rFonts w:cs="Tahoma"/>
          <w:szCs w:val="22"/>
        </w:rPr>
        <w:t xml:space="preserve"> 2021</w:t>
      </w:r>
      <w:r w:rsidR="00AA14E0" w:rsidRPr="00821AF6">
        <w:rPr>
          <w:rFonts w:cs="Tahoma"/>
          <w:szCs w:val="22"/>
        </w:rPr>
        <w:t xml:space="preserve"> r.</w:t>
      </w:r>
    </w:p>
    <w:p w14:paraId="104E2347" w14:textId="427656C9" w:rsidR="004B7CAC" w:rsidRPr="004B7CAC" w:rsidRDefault="00EE6E52" w:rsidP="00E26F7D">
      <w:pPr>
        <w:rPr>
          <w:rFonts w:cs="Tahoma"/>
          <w:szCs w:val="22"/>
        </w:rPr>
      </w:pPr>
      <w:r w:rsidRPr="00821AF6">
        <w:rPr>
          <w:rFonts w:cs="Tahoma"/>
          <w:szCs w:val="22"/>
        </w:rPr>
        <w:t xml:space="preserve">Miasto </w:t>
      </w:r>
      <w:r w:rsidR="00C73F5E">
        <w:rPr>
          <w:rFonts w:cs="Tahoma"/>
          <w:szCs w:val="22"/>
        </w:rPr>
        <w:t xml:space="preserve">Rzeszów </w:t>
      </w:r>
      <w:r w:rsidRPr="00821AF6">
        <w:rPr>
          <w:rFonts w:cs="Tahoma"/>
          <w:szCs w:val="22"/>
        </w:rPr>
        <w:t>w latach 2018-2021 osiągało stale dodatni wynik budżetu operacyjnego, choć</w:t>
      </w:r>
      <w:r w:rsidR="004B7CAC">
        <w:rPr>
          <w:rFonts w:cs="Tahoma"/>
          <w:szCs w:val="22"/>
        </w:rPr>
        <w:t xml:space="preserve"> planowana nadwyżka w 2021 r. jest niewielka</w:t>
      </w:r>
      <w:r w:rsidRPr="00821AF6">
        <w:rPr>
          <w:rFonts w:cs="Tahoma"/>
          <w:szCs w:val="22"/>
        </w:rPr>
        <w:t xml:space="preserve">. Budżet </w:t>
      </w:r>
      <w:r w:rsidR="00225774">
        <w:rPr>
          <w:rFonts w:cs="Tahoma"/>
          <w:szCs w:val="22"/>
        </w:rPr>
        <w:t>Miasta</w:t>
      </w:r>
      <w:r w:rsidR="00590098">
        <w:rPr>
          <w:rFonts w:cs="Tahoma"/>
          <w:szCs w:val="22"/>
        </w:rPr>
        <w:t xml:space="preserve"> </w:t>
      </w:r>
      <w:r w:rsidRPr="00821AF6">
        <w:rPr>
          <w:rFonts w:cs="Tahoma"/>
          <w:szCs w:val="22"/>
        </w:rPr>
        <w:t>był w stanie pokryć wydatki bieżące, w tym związane z </w:t>
      </w:r>
      <w:r w:rsidR="00225774">
        <w:rPr>
          <w:rFonts w:cs="Tahoma"/>
          <w:szCs w:val="22"/>
        </w:rPr>
        <w:t xml:space="preserve">finansowaniem publicznego transportu zbiorowego. </w:t>
      </w:r>
      <w:r w:rsidRPr="00821AF6">
        <w:rPr>
          <w:rFonts w:cs="Tahoma"/>
          <w:szCs w:val="22"/>
        </w:rPr>
        <w:t>Sytuacja finansowa Miasta charakteryz</w:t>
      </w:r>
      <w:r w:rsidR="00225774">
        <w:rPr>
          <w:rFonts w:cs="Tahoma"/>
          <w:szCs w:val="22"/>
        </w:rPr>
        <w:t>owała</w:t>
      </w:r>
      <w:r w:rsidRPr="00821AF6">
        <w:rPr>
          <w:rFonts w:cs="Tahoma"/>
          <w:szCs w:val="22"/>
        </w:rPr>
        <w:t xml:space="preserve"> się </w:t>
      </w:r>
      <w:r w:rsidR="00225774">
        <w:rPr>
          <w:rFonts w:cs="Tahoma"/>
          <w:szCs w:val="22"/>
        </w:rPr>
        <w:t>w tym okresie</w:t>
      </w:r>
      <w:r w:rsidRPr="00821AF6">
        <w:rPr>
          <w:rFonts w:cs="Tahoma"/>
          <w:szCs w:val="22"/>
        </w:rPr>
        <w:t xml:space="preserve"> występowaniem </w:t>
      </w:r>
      <w:r w:rsidR="004B7CAC">
        <w:rPr>
          <w:rFonts w:cs="Tahoma"/>
          <w:szCs w:val="22"/>
        </w:rPr>
        <w:t>deficytu budżetowego</w:t>
      </w:r>
      <w:r w:rsidR="00E26F7D">
        <w:rPr>
          <w:rFonts w:cs="Tahoma"/>
          <w:szCs w:val="22"/>
        </w:rPr>
        <w:t>, a</w:t>
      </w:r>
      <w:r w:rsidR="007F019A">
        <w:rPr>
          <w:rFonts w:cs="Tahoma"/>
          <w:szCs w:val="22"/>
        </w:rPr>
        <w:t> </w:t>
      </w:r>
      <w:r w:rsidR="00E26F7D">
        <w:rPr>
          <w:rFonts w:cs="Tahoma"/>
          <w:szCs w:val="22"/>
        </w:rPr>
        <w:t>jednocześnie</w:t>
      </w:r>
      <w:r w:rsidR="00225774">
        <w:rPr>
          <w:rFonts w:cs="Tahoma"/>
          <w:szCs w:val="22"/>
        </w:rPr>
        <w:t xml:space="preserve"> nadwyżki operacyjnej.</w:t>
      </w:r>
      <w:r w:rsidRPr="00821AF6">
        <w:rPr>
          <w:rFonts w:cs="Tahoma"/>
          <w:szCs w:val="22"/>
        </w:rPr>
        <w:t xml:space="preserve"> </w:t>
      </w:r>
      <w:r w:rsidR="004B7CAC" w:rsidRPr="004B7CAC">
        <w:rPr>
          <w:rFonts w:cs="Tahoma"/>
          <w:szCs w:val="22"/>
        </w:rPr>
        <w:t>Budżet zaplanowany na 2021 r. wykazuje mniejszą nadwyżkę operacyjną niż w latach poprzednich</w:t>
      </w:r>
      <w:r w:rsidR="00E26F7D">
        <w:rPr>
          <w:rFonts w:cs="Tahoma"/>
          <w:szCs w:val="22"/>
        </w:rPr>
        <w:t xml:space="preserve"> oraz znacznie wyższy poziom deficytu</w:t>
      </w:r>
      <w:r w:rsidR="004B7CAC" w:rsidRPr="004B7CAC">
        <w:rPr>
          <w:rFonts w:cs="Tahoma"/>
          <w:szCs w:val="22"/>
        </w:rPr>
        <w:t xml:space="preserve">. Zaplanowane wydatki </w:t>
      </w:r>
      <w:r w:rsidR="00E26F7D">
        <w:rPr>
          <w:rFonts w:cs="Tahoma"/>
          <w:szCs w:val="22"/>
        </w:rPr>
        <w:t xml:space="preserve">bieżące </w:t>
      </w:r>
      <w:r w:rsidR="004B7CAC" w:rsidRPr="004B7CAC">
        <w:rPr>
          <w:rFonts w:cs="Tahoma"/>
          <w:szCs w:val="22"/>
        </w:rPr>
        <w:t xml:space="preserve">nie odbiegają jednak istotnie od </w:t>
      </w:r>
      <w:r w:rsidR="00E26F7D">
        <w:rPr>
          <w:rFonts w:cs="Tahoma"/>
          <w:szCs w:val="22"/>
        </w:rPr>
        <w:t>ponoszonych</w:t>
      </w:r>
      <w:r w:rsidR="004B7CAC" w:rsidRPr="004B7CAC">
        <w:rPr>
          <w:rFonts w:cs="Tahoma"/>
          <w:szCs w:val="22"/>
        </w:rPr>
        <w:t xml:space="preserve"> w latach poprzednich.</w:t>
      </w:r>
      <w:r w:rsidR="00D9209B">
        <w:rPr>
          <w:rFonts w:cs="Tahoma"/>
          <w:szCs w:val="22"/>
        </w:rPr>
        <w:t xml:space="preserve"> Wyjątkowo wysokie w 2021 r. zaplanowano natomiast wydatki majątkowe.</w:t>
      </w:r>
    </w:p>
    <w:p w14:paraId="65FA7B74" w14:textId="0A88AA4B" w:rsidR="004B7CAC" w:rsidRPr="004B7CAC" w:rsidRDefault="004B7CAC" w:rsidP="00E26F7D">
      <w:pPr>
        <w:rPr>
          <w:rFonts w:cs="Tahoma"/>
          <w:szCs w:val="22"/>
        </w:rPr>
      </w:pPr>
      <w:r w:rsidRPr="004B7CAC">
        <w:rPr>
          <w:rFonts w:cs="Tahoma"/>
          <w:szCs w:val="22"/>
        </w:rPr>
        <w:t xml:space="preserve">Sytuacja finansowa Miasta jest dość dobra, charakteryzuje się </w:t>
      </w:r>
      <w:r>
        <w:rPr>
          <w:rFonts w:cs="Tahoma"/>
          <w:szCs w:val="22"/>
        </w:rPr>
        <w:t xml:space="preserve">jednak </w:t>
      </w:r>
      <w:r w:rsidR="00E26F7D">
        <w:rPr>
          <w:rFonts w:cs="Tahoma"/>
          <w:szCs w:val="22"/>
        </w:rPr>
        <w:t xml:space="preserve">niemal </w:t>
      </w:r>
      <w:r>
        <w:rPr>
          <w:rFonts w:cs="Tahoma"/>
          <w:szCs w:val="22"/>
        </w:rPr>
        <w:t xml:space="preserve">stałym </w:t>
      </w:r>
      <w:r w:rsidRPr="004B7CAC">
        <w:rPr>
          <w:rFonts w:cs="Tahoma"/>
          <w:szCs w:val="22"/>
        </w:rPr>
        <w:t xml:space="preserve">występowaniem deficytu budżetowego, </w:t>
      </w:r>
      <w:r>
        <w:rPr>
          <w:rFonts w:cs="Tahoma"/>
          <w:szCs w:val="22"/>
        </w:rPr>
        <w:t>finansowanym środkami zewnętrznymi</w:t>
      </w:r>
      <w:r w:rsidRPr="004B7CAC">
        <w:rPr>
          <w:rFonts w:cs="Tahoma"/>
          <w:szCs w:val="22"/>
        </w:rPr>
        <w:t>. Stwarza to pewne ograniczenia finansowania rozwoju lokalnego transportu zbiorowego w kolejnych latach.</w:t>
      </w:r>
    </w:p>
    <w:p w14:paraId="2F390CB6" w14:textId="2BDC2E55" w:rsidR="00225774" w:rsidRDefault="00225774" w:rsidP="00E26F7D">
      <w:pPr>
        <w:rPr>
          <w:rFonts w:cs="Tahoma"/>
          <w:szCs w:val="22"/>
        </w:rPr>
      </w:pPr>
      <w:r w:rsidRPr="00821AF6">
        <w:rPr>
          <w:rFonts w:cs="Tahoma"/>
          <w:bCs/>
          <w:szCs w:val="22"/>
        </w:rPr>
        <w:t xml:space="preserve">Wysokość nadwyżki operacyjnej </w:t>
      </w:r>
      <w:r w:rsidR="008D27E0" w:rsidRPr="00821AF6">
        <w:rPr>
          <w:rFonts w:cs="Tahoma"/>
          <w:bCs/>
          <w:szCs w:val="22"/>
        </w:rPr>
        <w:t>(</w:t>
      </w:r>
      <w:r w:rsidR="008D27E0">
        <w:rPr>
          <w:rFonts w:cs="Tahoma"/>
          <w:bCs/>
          <w:szCs w:val="22"/>
        </w:rPr>
        <w:t xml:space="preserve">lub </w:t>
      </w:r>
      <w:r w:rsidR="008D27E0" w:rsidRPr="00821AF6">
        <w:rPr>
          <w:rFonts w:cs="Tahoma"/>
          <w:bCs/>
          <w:szCs w:val="22"/>
        </w:rPr>
        <w:t xml:space="preserve">deficytu) </w:t>
      </w:r>
      <w:r w:rsidRPr="00821AF6">
        <w:rPr>
          <w:rFonts w:cs="Tahoma"/>
          <w:bCs/>
          <w:szCs w:val="22"/>
        </w:rPr>
        <w:t>określa swego rodzaju wynik finansowy działalności bieżącej jednostki samorządu terytorialnego. Informuje o tym, ile samorządowi pozostało dochodów o charakterze stabilnym – cyklicznym, po sfinansowaniu wszystkich wydatków o takim charakterze. Pozytywna dla jednostki samorządowej sytuacja występuje wów</w:t>
      </w:r>
      <w:r w:rsidRPr="00821AF6">
        <w:rPr>
          <w:rFonts w:cs="Tahoma"/>
          <w:bCs/>
          <w:szCs w:val="22"/>
        </w:rPr>
        <w:lastRenderedPageBreak/>
        <w:t xml:space="preserve">czas, gdy ma miejsce istotna, stała i coroczna nadwyżka operacyjna, co oznacza, że po sfinansowaniu wszystkich wydatków bieżących, zostaną jeszcze środki finansowe na realizację inwestycji. Taka też sytuacja występuje w </w:t>
      </w:r>
      <w:r w:rsidR="00F1258F">
        <w:rPr>
          <w:rFonts w:cs="Tahoma"/>
          <w:bCs/>
          <w:szCs w:val="22"/>
        </w:rPr>
        <w:t>Rzeszowie</w:t>
      </w:r>
      <w:r w:rsidRPr="00821AF6">
        <w:rPr>
          <w:rFonts w:cs="Tahoma"/>
          <w:bCs/>
          <w:szCs w:val="22"/>
        </w:rPr>
        <w:t>, c</w:t>
      </w:r>
      <w:r w:rsidR="008D27E0">
        <w:rPr>
          <w:rFonts w:cs="Tahoma"/>
          <w:bCs/>
          <w:szCs w:val="22"/>
        </w:rPr>
        <w:t>hoć wysokość tej nadwyżki zaplanowana w 2021</w:t>
      </w:r>
      <w:r w:rsidRPr="00821AF6">
        <w:rPr>
          <w:rFonts w:cs="Tahoma"/>
          <w:bCs/>
          <w:szCs w:val="22"/>
        </w:rPr>
        <w:t xml:space="preserve"> r. </w:t>
      </w:r>
      <w:r w:rsidR="008D27E0">
        <w:rPr>
          <w:rFonts w:cs="Tahoma"/>
          <w:bCs/>
          <w:szCs w:val="22"/>
        </w:rPr>
        <w:t>jest</w:t>
      </w:r>
      <w:r w:rsidRPr="00821AF6">
        <w:rPr>
          <w:rFonts w:cs="Tahoma"/>
          <w:bCs/>
          <w:szCs w:val="22"/>
        </w:rPr>
        <w:t xml:space="preserve"> niewielka.</w:t>
      </w:r>
      <w:r w:rsidR="008D27E0">
        <w:rPr>
          <w:rFonts w:cs="Tahoma"/>
          <w:bCs/>
          <w:szCs w:val="22"/>
        </w:rPr>
        <w:t xml:space="preserve"> </w:t>
      </w:r>
      <w:r>
        <w:rPr>
          <w:rFonts w:cs="Tahoma"/>
          <w:szCs w:val="22"/>
        </w:rPr>
        <w:t>Zaplanowany</w:t>
      </w:r>
      <w:r w:rsidRPr="00821AF6">
        <w:rPr>
          <w:rFonts w:cs="Tahoma"/>
          <w:szCs w:val="22"/>
        </w:rPr>
        <w:t xml:space="preserve"> w 2021 r. </w:t>
      </w:r>
      <w:r>
        <w:rPr>
          <w:rFonts w:cs="Tahoma"/>
          <w:szCs w:val="22"/>
        </w:rPr>
        <w:t xml:space="preserve">deficyt budżetowy oraz bardzo niska nadwyżka operacyjna, mogłyby budzić pewien niepokój, gdyby nie </w:t>
      </w:r>
      <w:r w:rsidR="008D27E0">
        <w:rPr>
          <w:rFonts w:cs="Tahoma"/>
          <w:szCs w:val="22"/>
        </w:rPr>
        <w:t>wstępny, ostrożnościowy charakter budżetu, który będzie korygowany w ciągu roku obrotowego. Wynik finansowy i wynik operacyjny wykonania budżetu w 2021 r. zapewne będą znacznie korzystniejsze od zaplanowanych.</w:t>
      </w:r>
    </w:p>
    <w:p w14:paraId="1992C820" w14:textId="521D5008" w:rsidR="000C512A" w:rsidRPr="00821AF6" w:rsidRDefault="000C512A" w:rsidP="0037720C">
      <w:pPr>
        <w:pStyle w:val="Legenda"/>
        <w:keepNext/>
        <w:spacing w:before="240" w:after="0"/>
        <w:ind w:firstLine="0"/>
        <w:jc w:val="left"/>
        <w:rPr>
          <w:color w:val="000000"/>
          <w:sz w:val="22"/>
          <w:szCs w:val="22"/>
        </w:rPr>
      </w:pPr>
      <w:r w:rsidRPr="00821AF6">
        <w:rPr>
          <w:color w:val="000000"/>
          <w:sz w:val="22"/>
          <w:szCs w:val="22"/>
        </w:rPr>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18</w:t>
      </w:r>
      <w:r w:rsidR="00B60ABE" w:rsidRPr="00821AF6">
        <w:rPr>
          <w:color w:val="000000"/>
          <w:sz w:val="22"/>
          <w:szCs w:val="22"/>
        </w:rPr>
        <w:fldChar w:fldCharType="end"/>
      </w:r>
      <w:r w:rsidRPr="00821AF6">
        <w:rPr>
          <w:color w:val="000000"/>
          <w:sz w:val="22"/>
          <w:szCs w:val="22"/>
        </w:rPr>
        <w:t xml:space="preserve">. Budżet </w:t>
      </w:r>
      <w:r w:rsidR="0054129D" w:rsidRPr="00821AF6">
        <w:rPr>
          <w:color w:val="000000"/>
          <w:sz w:val="22"/>
          <w:szCs w:val="22"/>
        </w:rPr>
        <w:t xml:space="preserve">Miasta </w:t>
      </w:r>
      <w:r w:rsidR="0037720C">
        <w:rPr>
          <w:color w:val="000000"/>
          <w:sz w:val="22"/>
          <w:szCs w:val="22"/>
        </w:rPr>
        <w:t>Rzeszowa</w:t>
      </w:r>
      <w:r w:rsidR="00C73F5E">
        <w:rPr>
          <w:color w:val="000000"/>
          <w:sz w:val="22"/>
          <w:szCs w:val="22"/>
        </w:rPr>
        <w:t xml:space="preserve"> </w:t>
      </w:r>
      <w:r w:rsidR="0054129D" w:rsidRPr="00821AF6">
        <w:rPr>
          <w:color w:val="000000"/>
          <w:sz w:val="22"/>
          <w:szCs w:val="22"/>
        </w:rPr>
        <w:t>w latach 2018-2020</w:t>
      </w:r>
      <w:r w:rsidR="00FF1739" w:rsidRPr="00821AF6">
        <w:rPr>
          <w:color w:val="000000"/>
          <w:sz w:val="22"/>
          <w:szCs w:val="22"/>
        </w:rPr>
        <w:t xml:space="preserve"> i plan na 20</w:t>
      </w:r>
      <w:r w:rsidR="00EE6E52" w:rsidRPr="00821AF6">
        <w:rPr>
          <w:color w:val="000000"/>
          <w:sz w:val="22"/>
          <w:szCs w:val="22"/>
        </w:rPr>
        <w:t>21</w:t>
      </w:r>
      <w:r w:rsidR="00FF1739" w:rsidRPr="00821AF6">
        <w:rPr>
          <w:color w:val="000000"/>
          <w:sz w:val="22"/>
          <w:szCs w:val="22"/>
        </w:rPr>
        <w:t xml:space="preserve"> r.</w:t>
      </w:r>
      <w:r w:rsidR="00EE6E52" w:rsidRPr="00821AF6">
        <w:rPr>
          <w:color w:val="000000"/>
          <w:sz w:val="22"/>
          <w:szCs w:val="22"/>
        </w:rPr>
        <w:t xml:space="preserve"> </w:t>
      </w:r>
      <w:r w:rsidRPr="00821AF6">
        <w:rPr>
          <w:color w:val="000000"/>
          <w:sz w:val="22"/>
          <w:szCs w:val="22"/>
        </w:rPr>
        <w:t>[mln zł]</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14"/>
        <w:gridCol w:w="3347"/>
        <w:gridCol w:w="1277"/>
        <w:gridCol w:w="1278"/>
        <w:gridCol w:w="1278"/>
        <w:gridCol w:w="1278"/>
      </w:tblGrid>
      <w:tr w:rsidR="000C512A" w:rsidRPr="00821AF6" w14:paraId="69710EE4" w14:textId="77777777" w:rsidTr="009250B4">
        <w:trPr>
          <w:cantSplit/>
          <w:trHeight w:val="350"/>
          <w:tblHeader/>
          <w:jc w:val="center"/>
        </w:trPr>
        <w:tc>
          <w:tcPr>
            <w:tcW w:w="614" w:type="dxa"/>
            <w:vMerge w:val="restart"/>
            <w:shd w:val="clear" w:color="auto" w:fill="FFFF99"/>
            <w:vAlign w:val="center"/>
          </w:tcPr>
          <w:p w14:paraId="2F1430D8" w14:textId="77777777" w:rsidR="000C512A" w:rsidRPr="00821AF6" w:rsidRDefault="000C512A" w:rsidP="0037720C">
            <w:pPr>
              <w:keepNext/>
              <w:spacing w:before="60" w:after="40" w:line="288" w:lineRule="auto"/>
              <w:ind w:firstLine="0"/>
              <w:jc w:val="center"/>
              <w:rPr>
                <w:rFonts w:cs="Tahoma"/>
                <w:b/>
                <w:sz w:val="20"/>
                <w:szCs w:val="20"/>
              </w:rPr>
            </w:pPr>
            <w:r w:rsidRPr="00821AF6">
              <w:rPr>
                <w:rFonts w:cs="Tahoma"/>
                <w:b/>
                <w:sz w:val="20"/>
                <w:szCs w:val="20"/>
              </w:rPr>
              <w:t>Lp.</w:t>
            </w:r>
          </w:p>
        </w:tc>
        <w:tc>
          <w:tcPr>
            <w:tcW w:w="3347" w:type="dxa"/>
            <w:vMerge w:val="restart"/>
            <w:shd w:val="clear" w:color="auto" w:fill="FFFF99"/>
            <w:vAlign w:val="center"/>
          </w:tcPr>
          <w:p w14:paraId="34A2914E" w14:textId="77777777" w:rsidR="000C512A" w:rsidRPr="00821AF6" w:rsidRDefault="000C512A" w:rsidP="0037720C">
            <w:pPr>
              <w:keepNext/>
              <w:spacing w:before="60" w:after="40" w:line="288" w:lineRule="auto"/>
              <w:ind w:firstLine="0"/>
              <w:jc w:val="center"/>
              <w:rPr>
                <w:rFonts w:cs="Tahoma"/>
                <w:b/>
                <w:sz w:val="20"/>
                <w:szCs w:val="20"/>
              </w:rPr>
            </w:pPr>
            <w:r w:rsidRPr="00821AF6">
              <w:rPr>
                <w:rFonts w:cs="Tahoma"/>
                <w:b/>
                <w:sz w:val="20"/>
                <w:szCs w:val="20"/>
              </w:rPr>
              <w:t>Wyszczególnienie</w:t>
            </w:r>
          </w:p>
        </w:tc>
        <w:tc>
          <w:tcPr>
            <w:tcW w:w="3833" w:type="dxa"/>
            <w:gridSpan w:val="3"/>
            <w:tcBorders>
              <w:bottom w:val="single" w:sz="6" w:space="0" w:color="auto"/>
            </w:tcBorders>
            <w:shd w:val="clear" w:color="auto" w:fill="FFFF99"/>
            <w:vAlign w:val="center"/>
          </w:tcPr>
          <w:p w14:paraId="5BAD3813" w14:textId="77777777" w:rsidR="000C512A" w:rsidRPr="00821AF6" w:rsidRDefault="000C512A" w:rsidP="0037720C">
            <w:pPr>
              <w:keepNext/>
              <w:spacing w:before="60" w:after="40" w:line="288" w:lineRule="auto"/>
              <w:ind w:firstLine="0"/>
              <w:jc w:val="center"/>
              <w:rPr>
                <w:rFonts w:cs="Tahoma"/>
                <w:b/>
                <w:sz w:val="20"/>
                <w:szCs w:val="20"/>
              </w:rPr>
            </w:pPr>
            <w:r w:rsidRPr="00821AF6">
              <w:rPr>
                <w:rFonts w:cs="Tahoma"/>
                <w:b/>
                <w:sz w:val="20"/>
                <w:szCs w:val="20"/>
              </w:rPr>
              <w:t>Wykonanie w latach</w:t>
            </w:r>
          </w:p>
        </w:tc>
        <w:tc>
          <w:tcPr>
            <w:tcW w:w="1278" w:type="dxa"/>
            <w:vMerge w:val="restart"/>
            <w:shd w:val="clear" w:color="auto" w:fill="FFFF99"/>
            <w:vAlign w:val="center"/>
          </w:tcPr>
          <w:p w14:paraId="1F4D0978" w14:textId="6E73F14B" w:rsidR="000C512A" w:rsidRPr="00821AF6" w:rsidRDefault="0054129D" w:rsidP="0037720C">
            <w:pPr>
              <w:keepNext/>
              <w:spacing w:before="60" w:after="40" w:line="288" w:lineRule="auto"/>
              <w:ind w:firstLine="0"/>
              <w:jc w:val="center"/>
              <w:rPr>
                <w:rFonts w:cs="Tahoma"/>
                <w:b/>
                <w:sz w:val="20"/>
                <w:szCs w:val="20"/>
              </w:rPr>
            </w:pPr>
            <w:r w:rsidRPr="00821AF6">
              <w:rPr>
                <w:rFonts w:cs="Tahoma"/>
                <w:b/>
                <w:sz w:val="20"/>
                <w:szCs w:val="20"/>
              </w:rPr>
              <w:t>Plan</w:t>
            </w:r>
            <w:r w:rsidR="0037720C">
              <w:rPr>
                <w:rFonts w:cs="Tahoma"/>
                <w:b/>
                <w:sz w:val="20"/>
                <w:szCs w:val="20"/>
              </w:rPr>
              <w:br/>
            </w:r>
            <w:r w:rsidRPr="00821AF6">
              <w:rPr>
                <w:rFonts w:cs="Tahoma"/>
                <w:b/>
                <w:sz w:val="20"/>
                <w:szCs w:val="20"/>
              </w:rPr>
              <w:t>2021</w:t>
            </w:r>
            <w:r w:rsidR="000C512A" w:rsidRPr="00821AF6">
              <w:rPr>
                <w:rFonts w:cs="Tahoma"/>
                <w:b/>
                <w:sz w:val="20"/>
                <w:szCs w:val="20"/>
              </w:rPr>
              <w:t xml:space="preserve"> r.</w:t>
            </w:r>
            <w:r w:rsidR="0037720C">
              <w:rPr>
                <w:rFonts w:cs="Tahoma"/>
                <w:b/>
                <w:sz w:val="20"/>
                <w:szCs w:val="20"/>
              </w:rPr>
              <w:t>*</w:t>
            </w:r>
          </w:p>
        </w:tc>
      </w:tr>
      <w:tr w:rsidR="000C512A" w:rsidRPr="00821AF6" w14:paraId="3E71935B" w14:textId="77777777" w:rsidTr="009250B4">
        <w:trPr>
          <w:cantSplit/>
          <w:trHeight w:val="349"/>
          <w:tblHeader/>
          <w:jc w:val="center"/>
        </w:trPr>
        <w:tc>
          <w:tcPr>
            <w:tcW w:w="614" w:type="dxa"/>
            <w:vMerge/>
            <w:tcBorders>
              <w:bottom w:val="single" w:sz="6" w:space="0" w:color="auto"/>
            </w:tcBorders>
            <w:shd w:val="clear" w:color="auto" w:fill="FFFF99"/>
            <w:vAlign w:val="center"/>
          </w:tcPr>
          <w:p w14:paraId="315539EA" w14:textId="77777777" w:rsidR="000C512A" w:rsidRPr="00821AF6" w:rsidRDefault="000C512A" w:rsidP="0037720C">
            <w:pPr>
              <w:keepNext/>
              <w:spacing w:before="60" w:after="40" w:line="288" w:lineRule="auto"/>
              <w:ind w:firstLine="0"/>
              <w:jc w:val="center"/>
              <w:rPr>
                <w:rFonts w:cs="Tahoma"/>
                <w:b/>
                <w:sz w:val="20"/>
                <w:szCs w:val="20"/>
              </w:rPr>
            </w:pPr>
          </w:p>
        </w:tc>
        <w:tc>
          <w:tcPr>
            <w:tcW w:w="3347" w:type="dxa"/>
            <w:vMerge/>
            <w:tcBorders>
              <w:bottom w:val="single" w:sz="6" w:space="0" w:color="auto"/>
            </w:tcBorders>
            <w:shd w:val="clear" w:color="auto" w:fill="FFFF99"/>
            <w:vAlign w:val="center"/>
          </w:tcPr>
          <w:p w14:paraId="2D9B8DDE" w14:textId="77777777" w:rsidR="000C512A" w:rsidRPr="00821AF6" w:rsidRDefault="000C512A" w:rsidP="0037720C">
            <w:pPr>
              <w:keepNext/>
              <w:spacing w:before="60" w:after="40" w:line="288" w:lineRule="auto"/>
              <w:ind w:firstLine="0"/>
              <w:jc w:val="center"/>
              <w:rPr>
                <w:rFonts w:cs="Tahoma"/>
                <w:b/>
                <w:sz w:val="20"/>
                <w:szCs w:val="20"/>
              </w:rPr>
            </w:pPr>
          </w:p>
        </w:tc>
        <w:tc>
          <w:tcPr>
            <w:tcW w:w="1277" w:type="dxa"/>
            <w:tcBorders>
              <w:bottom w:val="single" w:sz="6" w:space="0" w:color="auto"/>
            </w:tcBorders>
            <w:shd w:val="clear" w:color="auto" w:fill="FFFF99"/>
            <w:vAlign w:val="center"/>
          </w:tcPr>
          <w:p w14:paraId="439E388B" w14:textId="600B0BC9" w:rsidR="000C512A" w:rsidRPr="00821AF6" w:rsidRDefault="000C512A" w:rsidP="0037720C">
            <w:pPr>
              <w:keepNext/>
              <w:spacing w:before="60" w:after="40" w:line="288" w:lineRule="auto"/>
              <w:ind w:firstLine="0"/>
              <w:jc w:val="center"/>
              <w:rPr>
                <w:rFonts w:cs="Tahoma"/>
                <w:b/>
                <w:sz w:val="20"/>
                <w:szCs w:val="20"/>
              </w:rPr>
            </w:pPr>
            <w:r w:rsidRPr="00821AF6">
              <w:rPr>
                <w:rFonts w:cs="Tahoma"/>
                <w:b/>
                <w:sz w:val="20"/>
                <w:szCs w:val="20"/>
              </w:rPr>
              <w:t>201</w:t>
            </w:r>
            <w:r w:rsidR="0054129D" w:rsidRPr="00821AF6">
              <w:rPr>
                <w:rFonts w:cs="Tahoma"/>
                <w:b/>
                <w:sz w:val="20"/>
                <w:szCs w:val="20"/>
              </w:rPr>
              <w:t>8</w:t>
            </w:r>
          </w:p>
        </w:tc>
        <w:tc>
          <w:tcPr>
            <w:tcW w:w="1278" w:type="dxa"/>
            <w:tcBorders>
              <w:bottom w:val="single" w:sz="6" w:space="0" w:color="auto"/>
            </w:tcBorders>
            <w:shd w:val="clear" w:color="auto" w:fill="FFFF99"/>
            <w:vAlign w:val="center"/>
          </w:tcPr>
          <w:p w14:paraId="27EBFD7F" w14:textId="298D67AC" w:rsidR="000C512A" w:rsidRPr="00821AF6" w:rsidRDefault="00B24E04" w:rsidP="0037720C">
            <w:pPr>
              <w:keepNext/>
              <w:spacing w:before="60" w:after="40" w:line="288" w:lineRule="auto"/>
              <w:ind w:firstLine="0"/>
              <w:jc w:val="center"/>
              <w:rPr>
                <w:rFonts w:cs="Tahoma"/>
                <w:b/>
                <w:sz w:val="20"/>
                <w:szCs w:val="20"/>
              </w:rPr>
            </w:pPr>
            <w:r w:rsidRPr="00821AF6">
              <w:rPr>
                <w:rFonts w:cs="Tahoma"/>
                <w:b/>
                <w:sz w:val="20"/>
                <w:szCs w:val="20"/>
              </w:rPr>
              <w:t>201</w:t>
            </w:r>
            <w:r w:rsidR="0054129D" w:rsidRPr="00821AF6">
              <w:rPr>
                <w:rFonts w:cs="Tahoma"/>
                <w:b/>
                <w:sz w:val="20"/>
                <w:szCs w:val="20"/>
              </w:rPr>
              <w:t>9</w:t>
            </w:r>
            <w:r w:rsidR="000C512A" w:rsidRPr="00821AF6">
              <w:rPr>
                <w:rFonts w:cs="Tahoma"/>
                <w:b/>
                <w:sz w:val="20"/>
                <w:szCs w:val="20"/>
              </w:rPr>
              <w:t xml:space="preserve"> </w:t>
            </w:r>
          </w:p>
        </w:tc>
        <w:tc>
          <w:tcPr>
            <w:tcW w:w="1278" w:type="dxa"/>
            <w:tcBorders>
              <w:bottom w:val="single" w:sz="6" w:space="0" w:color="auto"/>
            </w:tcBorders>
            <w:shd w:val="clear" w:color="auto" w:fill="FFFF99"/>
            <w:vAlign w:val="center"/>
          </w:tcPr>
          <w:p w14:paraId="2368B22D" w14:textId="40127BE9" w:rsidR="000C512A" w:rsidRPr="00821AF6" w:rsidRDefault="000C512A" w:rsidP="0037720C">
            <w:pPr>
              <w:keepNext/>
              <w:spacing w:before="60" w:after="40" w:line="288" w:lineRule="auto"/>
              <w:ind w:firstLine="0"/>
              <w:jc w:val="center"/>
              <w:rPr>
                <w:rFonts w:cs="Tahoma"/>
                <w:b/>
                <w:sz w:val="20"/>
                <w:szCs w:val="20"/>
              </w:rPr>
            </w:pPr>
            <w:r w:rsidRPr="00821AF6">
              <w:rPr>
                <w:rFonts w:cs="Tahoma"/>
                <w:b/>
                <w:sz w:val="20"/>
                <w:szCs w:val="20"/>
              </w:rPr>
              <w:t>2</w:t>
            </w:r>
            <w:r w:rsidR="0054129D" w:rsidRPr="00821AF6">
              <w:rPr>
                <w:rFonts w:cs="Tahoma"/>
                <w:b/>
                <w:sz w:val="20"/>
                <w:szCs w:val="20"/>
              </w:rPr>
              <w:t>020</w:t>
            </w:r>
          </w:p>
        </w:tc>
        <w:tc>
          <w:tcPr>
            <w:tcW w:w="1278" w:type="dxa"/>
            <w:vMerge/>
            <w:tcBorders>
              <w:bottom w:val="single" w:sz="6" w:space="0" w:color="auto"/>
            </w:tcBorders>
            <w:shd w:val="clear" w:color="auto" w:fill="FFFF99"/>
            <w:vAlign w:val="center"/>
          </w:tcPr>
          <w:p w14:paraId="0288354E" w14:textId="77777777" w:rsidR="000C512A" w:rsidRPr="00821AF6" w:rsidRDefault="000C512A" w:rsidP="0037720C">
            <w:pPr>
              <w:keepNext/>
              <w:spacing w:before="60" w:after="40" w:line="288" w:lineRule="auto"/>
              <w:ind w:firstLine="0"/>
              <w:jc w:val="center"/>
              <w:rPr>
                <w:rFonts w:cs="Tahoma"/>
                <w:b/>
                <w:sz w:val="20"/>
                <w:szCs w:val="20"/>
              </w:rPr>
            </w:pPr>
          </w:p>
        </w:tc>
      </w:tr>
      <w:tr w:rsidR="000C512A" w:rsidRPr="00C711E7" w14:paraId="395BC5F6" w14:textId="77777777" w:rsidTr="002D2A53">
        <w:trPr>
          <w:cantSplit/>
          <w:jc w:val="center"/>
        </w:trPr>
        <w:tc>
          <w:tcPr>
            <w:tcW w:w="614" w:type="dxa"/>
            <w:tcBorders>
              <w:top w:val="single" w:sz="6" w:space="0" w:color="auto"/>
              <w:left w:val="single" w:sz="4" w:space="0" w:color="auto"/>
              <w:bottom w:val="dotted" w:sz="4" w:space="0" w:color="auto"/>
              <w:right w:val="single" w:sz="4" w:space="0" w:color="auto"/>
            </w:tcBorders>
            <w:vAlign w:val="center"/>
          </w:tcPr>
          <w:p w14:paraId="262ECF5F" w14:textId="77777777" w:rsidR="000C512A" w:rsidRPr="00C711E7" w:rsidRDefault="000C512A" w:rsidP="0037720C">
            <w:pPr>
              <w:spacing w:before="60" w:after="40" w:line="288" w:lineRule="auto"/>
              <w:ind w:firstLine="0"/>
              <w:jc w:val="center"/>
              <w:rPr>
                <w:rFonts w:cs="Tahoma"/>
                <w:b/>
                <w:sz w:val="20"/>
                <w:szCs w:val="20"/>
              </w:rPr>
            </w:pPr>
            <w:r w:rsidRPr="00C711E7">
              <w:rPr>
                <w:rFonts w:cs="Tahoma"/>
                <w:b/>
                <w:sz w:val="20"/>
                <w:szCs w:val="20"/>
              </w:rPr>
              <w:t>1</w:t>
            </w:r>
          </w:p>
        </w:tc>
        <w:tc>
          <w:tcPr>
            <w:tcW w:w="3347" w:type="dxa"/>
            <w:tcBorders>
              <w:top w:val="single" w:sz="6" w:space="0" w:color="auto"/>
              <w:left w:val="single" w:sz="4" w:space="0" w:color="auto"/>
              <w:bottom w:val="dotted" w:sz="4" w:space="0" w:color="auto"/>
              <w:right w:val="single" w:sz="4" w:space="0" w:color="auto"/>
            </w:tcBorders>
            <w:vAlign w:val="center"/>
          </w:tcPr>
          <w:p w14:paraId="6CD63AAA" w14:textId="77777777" w:rsidR="000C512A" w:rsidRPr="00C711E7" w:rsidRDefault="000C512A" w:rsidP="0037720C">
            <w:pPr>
              <w:spacing w:before="60" w:after="40" w:line="288" w:lineRule="auto"/>
              <w:ind w:firstLine="0"/>
              <w:jc w:val="left"/>
              <w:rPr>
                <w:rFonts w:cs="Tahoma"/>
                <w:b/>
                <w:sz w:val="20"/>
                <w:szCs w:val="20"/>
              </w:rPr>
            </w:pPr>
            <w:r w:rsidRPr="00C711E7">
              <w:rPr>
                <w:rFonts w:cs="Tahoma"/>
                <w:b/>
                <w:sz w:val="20"/>
                <w:szCs w:val="20"/>
              </w:rPr>
              <w:t>Dochody</w:t>
            </w:r>
          </w:p>
        </w:tc>
        <w:tc>
          <w:tcPr>
            <w:tcW w:w="1277" w:type="dxa"/>
            <w:tcBorders>
              <w:top w:val="single" w:sz="6" w:space="0" w:color="auto"/>
              <w:left w:val="single" w:sz="4" w:space="0" w:color="auto"/>
              <w:bottom w:val="dotted" w:sz="4" w:space="0" w:color="auto"/>
              <w:right w:val="single" w:sz="4" w:space="0" w:color="auto"/>
            </w:tcBorders>
            <w:vAlign w:val="center"/>
          </w:tcPr>
          <w:p w14:paraId="71956CB6" w14:textId="7421DFB8" w:rsidR="000C512A" w:rsidRPr="00C711E7" w:rsidRDefault="0037720C" w:rsidP="0037720C">
            <w:pPr>
              <w:spacing w:before="60" w:after="40" w:line="288" w:lineRule="auto"/>
              <w:ind w:firstLine="0"/>
              <w:jc w:val="right"/>
              <w:rPr>
                <w:rFonts w:cs="Tahoma"/>
                <w:b/>
                <w:sz w:val="20"/>
                <w:szCs w:val="20"/>
              </w:rPr>
            </w:pPr>
            <w:r>
              <w:rPr>
                <w:rFonts w:cs="Tahoma"/>
                <w:b/>
                <w:sz w:val="20"/>
                <w:szCs w:val="20"/>
              </w:rPr>
              <w:t>1 332,00</w:t>
            </w:r>
          </w:p>
        </w:tc>
        <w:tc>
          <w:tcPr>
            <w:tcW w:w="1278" w:type="dxa"/>
            <w:tcBorders>
              <w:top w:val="single" w:sz="6" w:space="0" w:color="auto"/>
              <w:left w:val="single" w:sz="4" w:space="0" w:color="auto"/>
              <w:bottom w:val="dotted" w:sz="4" w:space="0" w:color="auto"/>
              <w:right w:val="single" w:sz="4" w:space="0" w:color="auto"/>
            </w:tcBorders>
            <w:shd w:val="clear" w:color="auto" w:fill="auto"/>
            <w:vAlign w:val="center"/>
          </w:tcPr>
          <w:p w14:paraId="0C78841F" w14:textId="303ECBEC" w:rsidR="000C512A" w:rsidRPr="00C711E7" w:rsidRDefault="0037720C" w:rsidP="0037720C">
            <w:pPr>
              <w:spacing w:before="60" w:after="40" w:line="288" w:lineRule="auto"/>
              <w:ind w:firstLine="0"/>
              <w:jc w:val="right"/>
              <w:rPr>
                <w:rFonts w:cs="Tahoma"/>
                <w:b/>
                <w:sz w:val="20"/>
                <w:szCs w:val="20"/>
              </w:rPr>
            </w:pPr>
            <w:r>
              <w:rPr>
                <w:rFonts w:cs="Tahoma"/>
                <w:b/>
                <w:sz w:val="20"/>
                <w:szCs w:val="20"/>
              </w:rPr>
              <w:t>1 468,10</w:t>
            </w:r>
          </w:p>
        </w:tc>
        <w:tc>
          <w:tcPr>
            <w:tcW w:w="1278" w:type="dxa"/>
            <w:tcBorders>
              <w:top w:val="single" w:sz="6" w:space="0" w:color="auto"/>
              <w:left w:val="single" w:sz="4" w:space="0" w:color="auto"/>
              <w:bottom w:val="dotted" w:sz="4" w:space="0" w:color="auto"/>
              <w:right w:val="single" w:sz="4" w:space="0" w:color="auto"/>
            </w:tcBorders>
            <w:vAlign w:val="center"/>
          </w:tcPr>
          <w:p w14:paraId="06715270" w14:textId="06C9940F" w:rsidR="000C512A" w:rsidRPr="00C711E7" w:rsidRDefault="0037720C" w:rsidP="0037720C">
            <w:pPr>
              <w:spacing w:before="60" w:after="40" w:line="288" w:lineRule="auto"/>
              <w:ind w:firstLine="0"/>
              <w:jc w:val="right"/>
              <w:rPr>
                <w:rFonts w:cs="Tahoma"/>
                <w:b/>
                <w:sz w:val="20"/>
                <w:szCs w:val="20"/>
              </w:rPr>
            </w:pPr>
            <w:r>
              <w:rPr>
                <w:rFonts w:cs="Tahoma"/>
                <w:b/>
                <w:sz w:val="20"/>
                <w:szCs w:val="20"/>
              </w:rPr>
              <w:t>1 637,12</w:t>
            </w:r>
          </w:p>
        </w:tc>
        <w:tc>
          <w:tcPr>
            <w:tcW w:w="1278" w:type="dxa"/>
            <w:tcBorders>
              <w:top w:val="single" w:sz="6" w:space="0" w:color="auto"/>
              <w:left w:val="single" w:sz="4" w:space="0" w:color="auto"/>
              <w:bottom w:val="dotted" w:sz="4" w:space="0" w:color="auto"/>
              <w:right w:val="single" w:sz="4" w:space="0" w:color="auto"/>
            </w:tcBorders>
            <w:vAlign w:val="center"/>
          </w:tcPr>
          <w:p w14:paraId="44743681" w14:textId="19F7B690" w:rsidR="000C512A" w:rsidRPr="00C711E7" w:rsidRDefault="0037720C" w:rsidP="0037720C">
            <w:pPr>
              <w:spacing w:before="60" w:after="40" w:line="288" w:lineRule="auto"/>
              <w:ind w:firstLine="0"/>
              <w:jc w:val="right"/>
              <w:rPr>
                <w:rFonts w:cs="Tahoma"/>
                <w:b/>
                <w:sz w:val="20"/>
                <w:szCs w:val="20"/>
              </w:rPr>
            </w:pPr>
            <w:r>
              <w:rPr>
                <w:rFonts w:cs="Tahoma"/>
                <w:b/>
                <w:sz w:val="20"/>
                <w:szCs w:val="20"/>
              </w:rPr>
              <w:t>1 606,11</w:t>
            </w:r>
          </w:p>
        </w:tc>
      </w:tr>
      <w:tr w:rsidR="000C512A" w:rsidRPr="00C711E7" w14:paraId="2D20B918" w14:textId="77777777" w:rsidTr="002D2A53">
        <w:trPr>
          <w:cantSplit/>
          <w:jc w:val="center"/>
        </w:trPr>
        <w:tc>
          <w:tcPr>
            <w:tcW w:w="614" w:type="dxa"/>
            <w:tcBorders>
              <w:top w:val="dotted" w:sz="4" w:space="0" w:color="auto"/>
              <w:left w:val="single" w:sz="4" w:space="0" w:color="auto"/>
              <w:bottom w:val="dotted" w:sz="4" w:space="0" w:color="auto"/>
              <w:right w:val="single" w:sz="4" w:space="0" w:color="auto"/>
            </w:tcBorders>
            <w:vAlign w:val="center"/>
          </w:tcPr>
          <w:p w14:paraId="10C632B4" w14:textId="77777777" w:rsidR="000C512A" w:rsidRPr="00C711E7" w:rsidRDefault="000C512A" w:rsidP="0037720C">
            <w:pPr>
              <w:spacing w:before="60" w:after="40" w:line="288" w:lineRule="auto"/>
              <w:ind w:firstLine="0"/>
              <w:jc w:val="center"/>
              <w:rPr>
                <w:rFonts w:cs="Tahoma"/>
                <w:sz w:val="20"/>
                <w:szCs w:val="20"/>
              </w:rPr>
            </w:pPr>
            <w:r w:rsidRPr="00C711E7">
              <w:rPr>
                <w:rFonts w:cs="Tahoma"/>
                <w:sz w:val="20"/>
                <w:szCs w:val="20"/>
              </w:rPr>
              <w:t>1a</w:t>
            </w:r>
          </w:p>
        </w:tc>
        <w:tc>
          <w:tcPr>
            <w:tcW w:w="3347" w:type="dxa"/>
            <w:tcBorders>
              <w:top w:val="dotted" w:sz="4" w:space="0" w:color="auto"/>
              <w:left w:val="single" w:sz="4" w:space="0" w:color="auto"/>
              <w:bottom w:val="dotted" w:sz="4" w:space="0" w:color="auto"/>
              <w:right w:val="single" w:sz="4" w:space="0" w:color="auto"/>
            </w:tcBorders>
            <w:vAlign w:val="center"/>
          </w:tcPr>
          <w:p w14:paraId="1E93F00B" w14:textId="45BFC150" w:rsidR="000C512A" w:rsidRPr="00C711E7" w:rsidRDefault="000C512A" w:rsidP="0037720C">
            <w:pPr>
              <w:spacing w:before="60" w:after="40" w:line="288" w:lineRule="auto"/>
              <w:ind w:firstLine="0"/>
              <w:jc w:val="left"/>
              <w:rPr>
                <w:rFonts w:cs="Tahoma"/>
                <w:sz w:val="20"/>
                <w:szCs w:val="20"/>
              </w:rPr>
            </w:pPr>
            <w:r w:rsidRPr="00C711E7">
              <w:rPr>
                <w:rFonts w:cs="Tahoma"/>
                <w:sz w:val="20"/>
                <w:szCs w:val="20"/>
              </w:rPr>
              <w:softHyphen/>
            </w:r>
            <w:r w:rsidR="00EC599A" w:rsidRPr="00C711E7">
              <w:rPr>
                <w:rFonts w:cs="Tahoma"/>
                <w:sz w:val="20"/>
                <w:szCs w:val="20"/>
              </w:rPr>
              <w:t>–</w:t>
            </w:r>
            <w:r w:rsidRPr="00C711E7">
              <w:rPr>
                <w:rFonts w:cs="Tahoma"/>
                <w:sz w:val="20"/>
                <w:szCs w:val="20"/>
              </w:rPr>
              <w:t xml:space="preserve"> dochody bieżące</w:t>
            </w:r>
          </w:p>
        </w:tc>
        <w:tc>
          <w:tcPr>
            <w:tcW w:w="1277" w:type="dxa"/>
            <w:tcBorders>
              <w:top w:val="dotted" w:sz="4" w:space="0" w:color="auto"/>
              <w:left w:val="single" w:sz="4" w:space="0" w:color="auto"/>
              <w:bottom w:val="dotted" w:sz="4" w:space="0" w:color="auto"/>
              <w:right w:val="single" w:sz="4" w:space="0" w:color="auto"/>
            </w:tcBorders>
            <w:vAlign w:val="center"/>
          </w:tcPr>
          <w:p w14:paraId="2C6CA8DE" w14:textId="44500560" w:rsidR="000C512A" w:rsidRPr="00C711E7" w:rsidRDefault="0037720C" w:rsidP="0037720C">
            <w:pPr>
              <w:spacing w:before="60" w:after="40" w:line="288" w:lineRule="auto"/>
              <w:ind w:firstLine="0"/>
              <w:jc w:val="right"/>
              <w:rPr>
                <w:rFonts w:cs="Tahoma"/>
                <w:sz w:val="20"/>
                <w:szCs w:val="20"/>
              </w:rPr>
            </w:pPr>
            <w:r>
              <w:rPr>
                <w:rFonts w:cs="Tahoma"/>
                <w:sz w:val="20"/>
                <w:szCs w:val="20"/>
              </w:rPr>
              <w:t>1 141,71</w:t>
            </w:r>
          </w:p>
        </w:tc>
        <w:tc>
          <w:tcPr>
            <w:tcW w:w="1278" w:type="dxa"/>
            <w:tcBorders>
              <w:top w:val="dotted" w:sz="4" w:space="0" w:color="auto"/>
              <w:left w:val="single" w:sz="4" w:space="0" w:color="auto"/>
              <w:bottom w:val="dotted" w:sz="4" w:space="0" w:color="auto"/>
              <w:right w:val="single" w:sz="4" w:space="0" w:color="auto"/>
            </w:tcBorders>
            <w:shd w:val="clear" w:color="auto" w:fill="auto"/>
            <w:vAlign w:val="center"/>
          </w:tcPr>
          <w:p w14:paraId="5F972271" w14:textId="799F81FB" w:rsidR="000C512A" w:rsidRPr="00C711E7" w:rsidRDefault="0037720C" w:rsidP="0037720C">
            <w:pPr>
              <w:spacing w:before="60" w:after="40" w:line="288" w:lineRule="auto"/>
              <w:ind w:firstLine="0"/>
              <w:jc w:val="right"/>
              <w:rPr>
                <w:rFonts w:cs="Tahoma"/>
                <w:sz w:val="20"/>
                <w:szCs w:val="20"/>
              </w:rPr>
            </w:pPr>
            <w:r>
              <w:rPr>
                <w:rFonts w:cs="Tahoma"/>
                <w:sz w:val="20"/>
                <w:szCs w:val="20"/>
              </w:rPr>
              <w:t>1 330,15</w:t>
            </w:r>
          </w:p>
        </w:tc>
        <w:tc>
          <w:tcPr>
            <w:tcW w:w="1278" w:type="dxa"/>
            <w:tcBorders>
              <w:top w:val="dotted" w:sz="4" w:space="0" w:color="auto"/>
              <w:left w:val="single" w:sz="4" w:space="0" w:color="auto"/>
              <w:bottom w:val="dotted" w:sz="4" w:space="0" w:color="auto"/>
              <w:right w:val="single" w:sz="4" w:space="0" w:color="auto"/>
            </w:tcBorders>
            <w:vAlign w:val="center"/>
          </w:tcPr>
          <w:p w14:paraId="44112211" w14:textId="7687EA0A" w:rsidR="000C512A" w:rsidRPr="00C711E7" w:rsidRDefault="0037720C" w:rsidP="0037720C">
            <w:pPr>
              <w:spacing w:before="60" w:after="40" w:line="288" w:lineRule="auto"/>
              <w:ind w:firstLine="0"/>
              <w:jc w:val="right"/>
              <w:rPr>
                <w:rFonts w:cs="Tahoma"/>
                <w:sz w:val="20"/>
                <w:szCs w:val="20"/>
              </w:rPr>
            </w:pPr>
            <w:r>
              <w:rPr>
                <w:rFonts w:cs="Tahoma"/>
                <w:sz w:val="20"/>
                <w:szCs w:val="20"/>
              </w:rPr>
              <w:t>1 421,64</w:t>
            </w:r>
          </w:p>
        </w:tc>
        <w:tc>
          <w:tcPr>
            <w:tcW w:w="1278" w:type="dxa"/>
            <w:tcBorders>
              <w:top w:val="dotted" w:sz="4" w:space="0" w:color="auto"/>
              <w:left w:val="single" w:sz="4" w:space="0" w:color="auto"/>
              <w:bottom w:val="dotted" w:sz="4" w:space="0" w:color="auto"/>
              <w:right w:val="single" w:sz="4" w:space="0" w:color="auto"/>
            </w:tcBorders>
            <w:vAlign w:val="center"/>
          </w:tcPr>
          <w:p w14:paraId="6054B7EC" w14:textId="7F5706E1" w:rsidR="000C512A" w:rsidRPr="00C711E7" w:rsidRDefault="0037720C" w:rsidP="0037720C">
            <w:pPr>
              <w:spacing w:before="60" w:after="40" w:line="288" w:lineRule="auto"/>
              <w:ind w:firstLine="0"/>
              <w:jc w:val="right"/>
              <w:rPr>
                <w:rFonts w:cs="Tahoma"/>
                <w:sz w:val="20"/>
                <w:szCs w:val="20"/>
              </w:rPr>
            </w:pPr>
            <w:r>
              <w:rPr>
                <w:rFonts w:cs="Tahoma"/>
                <w:sz w:val="20"/>
                <w:szCs w:val="20"/>
              </w:rPr>
              <w:t>1 474,07</w:t>
            </w:r>
          </w:p>
        </w:tc>
      </w:tr>
      <w:tr w:rsidR="000C512A" w:rsidRPr="00C711E7" w14:paraId="4D3A853D" w14:textId="77777777" w:rsidTr="002D2A53">
        <w:trPr>
          <w:cantSplit/>
          <w:jc w:val="center"/>
        </w:trPr>
        <w:tc>
          <w:tcPr>
            <w:tcW w:w="614" w:type="dxa"/>
            <w:tcBorders>
              <w:top w:val="dotted" w:sz="4" w:space="0" w:color="auto"/>
              <w:left w:val="single" w:sz="4" w:space="0" w:color="auto"/>
              <w:bottom w:val="dotted" w:sz="4" w:space="0" w:color="auto"/>
              <w:right w:val="single" w:sz="4" w:space="0" w:color="auto"/>
            </w:tcBorders>
            <w:vAlign w:val="center"/>
          </w:tcPr>
          <w:p w14:paraId="19E71A9A" w14:textId="77777777" w:rsidR="000C512A" w:rsidRPr="00C711E7" w:rsidRDefault="000C512A" w:rsidP="0037720C">
            <w:pPr>
              <w:spacing w:before="60" w:after="40" w:line="288" w:lineRule="auto"/>
              <w:ind w:firstLine="0"/>
              <w:jc w:val="center"/>
              <w:rPr>
                <w:rFonts w:cs="Tahoma"/>
                <w:sz w:val="20"/>
                <w:szCs w:val="20"/>
              </w:rPr>
            </w:pPr>
            <w:r w:rsidRPr="00C711E7">
              <w:rPr>
                <w:rFonts w:cs="Tahoma"/>
                <w:sz w:val="20"/>
                <w:szCs w:val="20"/>
              </w:rPr>
              <w:t>1b</w:t>
            </w:r>
          </w:p>
        </w:tc>
        <w:tc>
          <w:tcPr>
            <w:tcW w:w="3347" w:type="dxa"/>
            <w:tcBorders>
              <w:top w:val="dotted" w:sz="4" w:space="0" w:color="auto"/>
              <w:left w:val="single" w:sz="4" w:space="0" w:color="auto"/>
              <w:bottom w:val="dotted" w:sz="4" w:space="0" w:color="auto"/>
              <w:right w:val="single" w:sz="4" w:space="0" w:color="auto"/>
            </w:tcBorders>
            <w:vAlign w:val="center"/>
          </w:tcPr>
          <w:p w14:paraId="51F43A05" w14:textId="2C3672BF" w:rsidR="000C512A" w:rsidRPr="00C711E7" w:rsidRDefault="000C512A" w:rsidP="0037720C">
            <w:pPr>
              <w:spacing w:before="60" w:after="40" w:line="288" w:lineRule="auto"/>
              <w:ind w:firstLine="0"/>
              <w:jc w:val="left"/>
              <w:rPr>
                <w:rFonts w:cs="Tahoma"/>
                <w:sz w:val="20"/>
                <w:szCs w:val="20"/>
              </w:rPr>
            </w:pPr>
            <w:r w:rsidRPr="00C711E7">
              <w:rPr>
                <w:rFonts w:cs="Tahoma"/>
                <w:sz w:val="20"/>
                <w:szCs w:val="20"/>
              </w:rPr>
              <w:softHyphen/>
            </w:r>
            <w:r w:rsidR="00EC599A" w:rsidRPr="00C711E7">
              <w:rPr>
                <w:rFonts w:cs="Tahoma"/>
                <w:sz w:val="20"/>
                <w:szCs w:val="20"/>
              </w:rPr>
              <w:t>–</w:t>
            </w:r>
            <w:r w:rsidRPr="00C711E7">
              <w:rPr>
                <w:rFonts w:cs="Tahoma"/>
                <w:sz w:val="20"/>
                <w:szCs w:val="20"/>
              </w:rPr>
              <w:t xml:space="preserve"> dochody majątkowe</w:t>
            </w:r>
          </w:p>
        </w:tc>
        <w:tc>
          <w:tcPr>
            <w:tcW w:w="1277" w:type="dxa"/>
            <w:tcBorders>
              <w:top w:val="dotted" w:sz="4" w:space="0" w:color="auto"/>
              <w:left w:val="single" w:sz="4" w:space="0" w:color="auto"/>
              <w:bottom w:val="dotted" w:sz="4" w:space="0" w:color="auto"/>
              <w:right w:val="single" w:sz="4" w:space="0" w:color="auto"/>
            </w:tcBorders>
            <w:vAlign w:val="center"/>
          </w:tcPr>
          <w:p w14:paraId="2162B4E0" w14:textId="48AFEB69" w:rsidR="000C512A" w:rsidRPr="00C711E7" w:rsidRDefault="0037720C" w:rsidP="0037720C">
            <w:pPr>
              <w:spacing w:before="60" w:after="40" w:line="288" w:lineRule="auto"/>
              <w:ind w:firstLine="0"/>
              <w:jc w:val="right"/>
              <w:rPr>
                <w:rFonts w:cs="Tahoma"/>
                <w:sz w:val="20"/>
                <w:szCs w:val="20"/>
              </w:rPr>
            </w:pPr>
            <w:r>
              <w:rPr>
                <w:rFonts w:cs="Tahoma"/>
                <w:sz w:val="20"/>
                <w:szCs w:val="20"/>
              </w:rPr>
              <w:t>190,29</w:t>
            </w:r>
          </w:p>
        </w:tc>
        <w:tc>
          <w:tcPr>
            <w:tcW w:w="1278" w:type="dxa"/>
            <w:tcBorders>
              <w:top w:val="dotted" w:sz="4" w:space="0" w:color="auto"/>
              <w:left w:val="single" w:sz="4" w:space="0" w:color="auto"/>
              <w:bottom w:val="dotted" w:sz="4" w:space="0" w:color="auto"/>
              <w:right w:val="single" w:sz="4" w:space="0" w:color="auto"/>
            </w:tcBorders>
            <w:shd w:val="clear" w:color="auto" w:fill="auto"/>
            <w:vAlign w:val="center"/>
          </w:tcPr>
          <w:p w14:paraId="62C1ADCB" w14:textId="1FE6F6C9" w:rsidR="000C512A" w:rsidRPr="00C711E7" w:rsidRDefault="0037720C" w:rsidP="0037720C">
            <w:pPr>
              <w:spacing w:before="60" w:after="40" w:line="288" w:lineRule="auto"/>
              <w:ind w:firstLine="0"/>
              <w:jc w:val="right"/>
              <w:rPr>
                <w:rFonts w:cs="Tahoma"/>
                <w:sz w:val="20"/>
                <w:szCs w:val="20"/>
              </w:rPr>
            </w:pPr>
            <w:r>
              <w:rPr>
                <w:rFonts w:cs="Tahoma"/>
                <w:sz w:val="20"/>
                <w:szCs w:val="20"/>
              </w:rPr>
              <w:t>137,98</w:t>
            </w:r>
          </w:p>
        </w:tc>
        <w:tc>
          <w:tcPr>
            <w:tcW w:w="1278" w:type="dxa"/>
            <w:tcBorders>
              <w:top w:val="dotted" w:sz="4" w:space="0" w:color="auto"/>
              <w:left w:val="single" w:sz="4" w:space="0" w:color="auto"/>
              <w:bottom w:val="dotted" w:sz="4" w:space="0" w:color="auto"/>
              <w:right w:val="single" w:sz="4" w:space="0" w:color="auto"/>
            </w:tcBorders>
            <w:vAlign w:val="center"/>
          </w:tcPr>
          <w:p w14:paraId="3B353C55" w14:textId="7A96361D" w:rsidR="000C512A" w:rsidRPr="00C711E7" w:rsidRDefault="0037720C" w:rsidP="0037720C">
            <w:pPr>
              <w:spacing w:before="60" w:after="40" w:line="288" w:lineRule="auto"/>
              <w:ind w:firstLine="0"/>
              <w:jc w:val="right"/>
              <w:rPr>
                <w:rFonts w:cs="Tahoma"/>
                <w:sz w:val="20"/>
                <w:szCs w:val="20"/>
              </w:rPr>
            </w:pPr>
            <w:r>
              <w:rPr>
                <w:rFonts w:cs="Tahoma"/>
                <w:sz w:val="20"/>
                <w:szCs w:val="20"/>
              </w:rPr>
              <w:t>215,48</w:t>
            </w:r>
          </w:p>
        </w:tc>
        <w:tc>
          <w:tcPr>
            <w:tcW w:w="1278" w:type="dxa"/>
            <w:tcBorders>
              <w:top w:val="dotted" w:sz="4" w:space="0" w:color="auto"/>
              <w:left w:val="single" w:sz="4" w:space="0" w:color="auto"/>
              <w:bottom w:val="dotted" w:sz="4" w:space="0" w:color="auto"/>
              <w:right w:val="single" w:sz="4" w:space="0" w:color="auto"/>
            </w:tcBorders>
            <w:vAlign w:val="center"/>
          </w:tcPr>
          <w:p w14:paraId="04585ED3" w14:textId="6FA6E01B" w:rsidR="000C512A" w:rsidRPr="00C711E7" w:rsidRDefault="0037720C" w:rsidP="0037720C">
            <w:pPr>
              <w:spacing w:before="60" w:after="40" w:line="288" w:lineRule="auto"/>
              <w:ind w:firstLine="0"/>
              <w:jc w:val="right"/>
              <w:rPr>
                <w:rFonts w:cs="Tahoma"/>
                <w:sz w:val="20"/>
                <w:szCs w:val="20"/>
              </w:rPr>
            </w:pPr>
            <w:r>
              <w:rPr>
                <w:rFonts w:cs="Tahoma"/>
                <w:sz w:val="20"/>
                <w:szCs w:val="20"/>
              </w:rPr>
              <w:t>132,04</w:t>
            </w:r>
          </w:p>
        </w:tc>
      </w:tr>
      <w:tr w:rsidR="00225774" w:rsidRPr="00C711E7" w14:paraId="64056CA7" w14:textId="77777777" w:rsidTr="00C44DD6">
        <w:trPr>
          <w:cantSplit/>
          <w:jc w:val="center"/>
        </w:trPr>
        <w:tc>
          <w:tcPr>
            <w:tcW w:w="614" w:type="dxa"/>
            <w:tcBorders>
              <w:top w:val="single" w:sz="4" w:space="0" w:color="auto"/>
              <w:left w:val="single" w:sz="4" w:space="0" w:color="auto"/>
              <w:bottom w:val="dotted" w:sz="4" w:space="0" w:color="auto"/>
              <w:right w:val="single" w:sz="4" w:space="0" w:color="auto"/>
            </w:tcBorders>
            <w:vAlign w:val="center"/>
          </w:tcPr>
          <w:p w14:paraId="59166507" w14:textId="77777777" w:rsidR="00225774" w:rsidRPr="00C711E7" w:rsidRDefault="00225774" w:rsidP="0037720C">
            <w:pPr>
              <w:spacing w:before="60" w:after="40" w:line="288" w:lineRule="auto"/>
              <w:ind w:firstLine="0"/>
              <w:jc w:val="center"/>
              <w:rPr>
                <w:rFonts w:cs="Tahoma"/>
                <w:b/>
                <w:sz w:val="20"/>
                <w:szCs w:val="20"/>
              </w:rPr>
            </w:pPr>
            <w:r w:rsidRPr="00C711E7">
              <w:rPr>
                <w:rFonts w:cs="Tahoma"/>
                <w:b/>
                <w:sz w:val="20"/>
                <w:szCs w:val="20"/>
              </w:rPr>
              <w:t>2</w:t>
            </w:r>
          </w:p>
        </w:tc>
        <w:tc>
          <w:tcPr>
            <w:tcW w:w="3347" w:type="dxa"/>
            <w:tcBorders>
              <w:top w:val="single" w:sz="4" w:space="0" w:color="auto"/>
              <w:left w:val="single" w:sz="4" w:space="0" w:color="auto"/>
              <w:bottom w:val="dotted" w:sz="4" w:space="0" w:color="auto"/>
              <w:right w:val="single" w:sz="4" w:space="0" w:color="auto"/>
            </w:tcBorders>
            <w:vAlign w:val="center"/>
          </w:tcPr>
          <w:p w14:paraId="4B2E9EA6" w14:textId="77777777" w:rsidR="00225774" w:rsidRPr="00C711E7" w:rsidRDefault="00225774" w:rsidP="0037720C">
            <w:pPr>
              <w:spacing w:before="60" w:after="40" w:line="288" w:lineRule="auto"/>
              <w:ind w:firstLine="0"/>
              <w:jc w:val="left"/>
              <w:rPr>
                <w:rFonts w:cs="Tahoma"/>
                <w:b/>
                <w:sz w:val="20"/>
                <w:szCs w:val="20"/>
              </w:rPr>
            </w:pPr>
            <w:r w:rsidRPr="00C711E7">
              <w:rPr>
                <w:rFonts w:cs="Tahoma"/>
                <w:b/>
                <w:sz w:val="20"/>
                <w:szCs w:val="20"/>
              </w:rPr>
              <w:t>Wydatki</w:t>
            </w:r>
          </w:p>
        </w:tc>
        <w:tc>
          <w:tcPr>
            <w:tcW w:w="1277" w:type="dxa"/>
            <w:tcBorders>
              <w:top w:val="single" w:sz="4" w:space="0" w:color="auto"/>
              <w:left w:val="single" w:sz="4" w:space="0" w:color="auto"/>
              <w:bottom w:val="dotted" w:sz="4" w:space="0" w:color="auto"/>
              <w:right w:val="single" w:sz="4" w:space="0" w:color="auto"/>
            </w:tcBorders>
            <w:vAlign w:val="center"/>
          </w:tcPr>
          <w:p w14:paraId="56892FBA" w14:textId="02E1529B" w:rsidR="00225774" w:rsidRPr="00C711E7" w:rsidRDefault="0037720C" w:rsidP="0037720C">
            <w:pPr>
              <w:spacing w:before="60" w:after="40" w:line="288" w:lineRule="auto"/>
              <w:ind w:firstLine="0"/>
              <w:jc w:val="right"/>
              <w:rPr>
                <w:rFonts w:cs="Tahoma"/>
                <w:b/>
                <w:sz w:val="20"/>
                <w:szCs w:val="20"/>
              </w:rPr>
            </w:pPr>
            <w:r>
              <w:rPr>
                <w:rFonts w:cs="Tahoma"/>
                <w:b/>
                <w:sz w:val="20"/>
                <w:szCs w:val="20"/>
              </w:rPr>
              <w:t>1 381,17</w:t>
            </w:r>
          </w:p>
        </w:tc>
        <w:tc>
          <w:tcPr>
            <w:tcW w:w="1278" w:type="dxa"/>
            <w:tcBorders>
              <w:top w:val="single" w:sz="4" w:space="0" w:color="auto"/>
              <w:left w:val="single" w:sz="4" w:space="0" w:color="auto"/>
              <w:bottom w:val="dotted" w:sz="4" w:space="0" w:color="auto"/>
              <w:right w:val="single" w:sz="4" w:space="0" w:color="auto"/>
            </w:tcBorders>
            <w:vAlign w:val="center"/>
          </w:tcPr>
          <w:p w14:paraId="67F8E236" w14:textId="0BF751FF" w:rsidR="00225774" w:rsidRPr="00C711E7" w:rsidRDefault="0037720C" w:rsidP="0037720C">
            <w:pPr>
              <w:spacing w:before="60" w:after="40" w:line="288" w:lineRule="auto"/>
              <w:ind w:firstLine="0"/>
              <w:jc w:val="right"/>
              <w:rPr>
                <w:rFonts w:cs="Tahoma"/>
                <w:b/>
                <w:sz w:val="20"/>
                <w:szCs w:val="20"/>
              </w:rPr>
            </w:pPr>
            <w:r>
              <w:rPr>
                <w:rFonts w:cs="Tahoma"/>
                <w:b/>
                <w:sz w:val="20"/>
                <w:szCs w:val="20"/>
              </w:rPr>
              <w:t>1 532,65</w:t>
            </w:r>
          </w:p>
        </w:tc>
        <w:tc>
          <w:tcPr>
            <w:tcW w:w="1278" w:type="dxa"/>
            <w:tcBorders>
              <w:top w:val="single" w:sz="4" w:space="0" w:color="auto"/>
              <w:left w:val="single" w:sz="4" w:space="0" w:color="auto"/>
              <w:bottom w:val="dotted" w:sz="4" w:space="0" w:color="auto"/>
              <w:right w:val="single" w:sz="4" w:space="0" w:color="auto"/>
            </w:tcBorders>
            <w:vAlign w:val="center"/>
          </w:tcPr>
          <w:p w14:paraId="520B242F" w14:textId="2B3573A1" w:rsidR="00225774" w:rsidRPr="00C711E7" w:rsidRDefault="0037720C" w:rsidP="0037720C">
            <w:pPr>
              <w:spacing w:before="60" w:after="40" w:line="288" w:lineRule="auto"/>
              <w:ind w:firstLine="0"/>
              <w:jc w:val="right"/>
              <w:rPr>
                <w:rFonts w:cs="Tahoma"/>
                <w:b/>
                <w:sz w:val="20"/>
                <w:szCs w:val="20"/>
              </w:rPr>
            </w:pPr>
            <w:r>
              <w:rPr>
                <w:rFonts w:cs="Tahoma"/>
                <w:b/>
                <w:sz w:val="20"/>
                <w:szCs w:val="20"/>
              </w:rPr>
              <w:t>1 627,97</w:t>
            </w:r>
          </w:p>
        </w:tc>
        <w:tc>
          <w:tcPr>
            <w:tcW w:w="1278" w:type="dxa"/>
            <w:tcBorders>
              <w:top w:val="single" w:sz="4" w:space="0" w:color="auto"/>
              <w:left w:val="single" w:sz="4" w:space="0" w:color="auto"/>
              <w:bottom w:val="dotted" w:sz="4" w:space="0" w:color="auto"/>
              <w:right w:val="single" w:sz="4" w:space="0" w:color="auto"/>
            </w:tcBorders>
            <w:shd w:val="clear" w:color="auto" w:fill="auto"/>
            <w:vAlign w:val="center"/>
          </w:tcPr>
          <w:p w14:paraId="1077EE80" w14:textId="6DF1AE63" w:rsidR="00225774" w:rsidRPr="00C711E7" w:rsidRDefault="0037720C" w:rsidP="0037720C">
            <w:pPr>
              <w:spacing w:before="60" w:after="40" w:line="288" w:lineRule="auto"/>
              <w:ind w:firstLine="0"/>
              <w:jc w:val="right"/>
              <w:rPr>
                <w:rFonts w:cs="Tahoma"/>
                <w:b/>
                <w:sz w:val="20"/>
                <w:szCs w:val="20"/>
              </w:rPr>
            </w:pPr>
            <w:r>
              <w:rPr>
                <w:rFonts w:cs="Tahoma"/>
                <w:b/>
                <w:sz w:val="20"/>
                <w:szCs w:val="20"/>
              </w:rPr>
              <w:t>1 892,21</w:t>
            </w:r>
          </w:p>
        </w:tc>
      </w:tr>
      <w:tr w:rsidR="00225774" w:rsidRPr="00C711E7" w14:paraId="286D0528" w14:textId="77777777" w:rsidTr="00C44DD6">
        <w:trPr>
          <w:cantSplit/>
          <w:jc w:val="center"/>
        </w:trPr>
        <w:tc>
          <w:tcPr>
            <w:tcW w:w="614" w:type="dxa"/>
            <w:tcBorders>
              <w:top w:val="dotted" w:sz="4" w:space="0" w:color="auto"/>
              <w:left w:val="single" w:sz="4" w:space="0" w:color="auto"/>
              <w:bottom w:val="dotted" w:sz="4" w:space="0" w:color="auto"/>
              <w:right w:val="single" w:sz="4" w:space="0" w:color="auto"/>
            </w:tcBorders>
            <w:vAlign w:val="center"/>
          </w:tcPr>
          <w:p w14:paraId="3F263FCC" w14:textId="77777777" w:rsidR="00225774" w:rsidRPr="00C711E7" w:rsidRDefault="00225774" w:rsidP="0037720C">
            <w:pPr>
              <w:spacing w:before="60" w:after="40" w:line="288" w:lineRule="auto"/>
              <w:ind w:firstLine="0"/>
              <w:jc w:val="center"/>
              <w:rPr>
                <w:rFonts w:cs="Tahoma"/>
                <w:sz w:val="20"/>
                <w:szCs w:val="20"/>
              </w:rPr>
            </w:pPr>
            <w:r w:rsidRPr="00C711E7">
              <w:rPr>
                <w:rFonts w:cs="Tahoma"/>
                <w:sz w:val="20"/>
                <w:szCs w:val="20"/>
              </w:rPr>
              <w:t>2a</w:t>
            </w:r>
          </w:p>
        </w:tc>
        <w:tc>
          <w:tcPr>
            <w:tcW w:w="3347" w:type="dxa"/>
            <w:tcBorders>
              <w:top w:val="dotted" w:sz="4" w:space="0" w:color="auto"/>
              <w:left w:val="single" w:sz="4" w:space="0" w:color="auto"/>
              <w:bottom w:val="dotted" w:sz="4" w:space="0" w:color="auto"/>
              <w:right w:val="single" w:sz="4" w:space="0" w:color="auto"/>
            </w:tcBorders>
            <w:vAlign w:val="center"/>
          </w:tcPr>
          <w:p w14:paraId="396A5BFD" w14:textId="340BC74A" w:rsidR="00225774" w:rsidRPr="00C711E7" w:rsidRDefault="00225774" w:rsidP="0037720C">
            <w:pPr>
              <w:spacing w:before="60" w:after="40" w:line="288" w:lineRule="auto"/>
              <w:ind w:firstLine="0"/>
              <w:jc w:val="left"/>
              <w:rPr>
                <w:rFonts w:cs="Tahoma"/>
                <w:sz w:val="20"/>
                <w:szCs w:val="20"/>
              </w:rPr>
            </w:pPr>
            <w:r w:rsidRPr="00C711E7">
              <w:rPr>
                <w:rFonts w:cs="Tahoma"/>
                <w:sz w:val="20"/>
                <w:szCs w:val="20"/>
              </w:rPr>
              <w:softHyphen/>
              <w:t>– wydatki bieżące</w:t>
            </w:r>
          </w:p>
        </w:tc>
        <w:tc>
          <w:tcPr>
            <w:tcW w:w="1277" w:type="dxa"/>
            <w:tcBorders>
              <w:top w:val="dotted" w:sz="4" w:space="0" w:color="auto"/>
              <w:left w:val="single" w:sz="4" w:space="0" w:color="auto"/>
              <w:bottom w:val="dotted" w:sz="4" w:space="0" w:color="auto"/>
              <w:right w:val="single" w:sz="4" w:space="0" w:color="auto"/>
            </w:tcBorders>
            <w:vAlign w:val="center"/>
          </w:tcPr>
          <w:p w14:paraId="4057BB72" w14:textId="49B6FFA1" w:rsidR="00225774" w:rsidRPr="00C711E7" w:rsidRDefault="0037720C" w:rsidP="0037720C">
            <w:pPr>
              <w:spacing w:before="60" w:after="40" w:line="288" w:lineRule="auto"/>
              <w:ind w:firstLine="0"/>
              <w:jc w:val="right"/>
              <w:rPr>
                <w:rFonts w:cs="Tahoma"/>
                <w:sz w:val="20"/>
                <w:szCs w:val="20"/>
              </w:rPr>
            </w:pPr>
            <w:r>
              <w:rPr>
                <w:rFonts w:cs="Tahoma"/>
                <w:sz w:val="20"/>
                <w:szCs w:val="20"/>
              </w:rPr>
              <w:t>1 053,80</w:t>
            </w:r>
          </w:p>
        </w:tc>
        <w:tc>
          <w:tcPr>
            <w:tcW w:w="1278" w:type="dxa"/>
            <w:tcBorders>
              <w:top w:val="dotted" w:sz="4" w:space="0" w:color="auto"/>
              <w:left w:val="single" w:sz="4" w:space="0" w:color="auto"/>
              <w:bottom w:val="dotted" w:sz="4" w:space="0" w:color="auto"/>
              <w:right w:val="single" w:sz="4" w:space="0" w:color="auto"/>
            </w:tcBorders>
            <w:vAlign w:val="center"/>
          </w:tcPr>
          <w:p w14:paraId="00BEE9A5" w14:textId="707C3A5E" w:rsidR="00225774" w:rsidRPr="00C711E7" w:rsidRDefault="0037720C" w:rsidP="0037720C">
            <w:pPr>
              <w:spacing w:before="60" w:after="40" w:line="288" w:lineRule="auto"/>
              <w:ind w:firstLine="0"/>
              <w:jc w:val="right"/>
              <w:rPr>
                <w:rFonts w:cs="Tahoma"/>
                <w:sz w:val="20"/>
                <w:szCs w:val="20"/>
              </w:rPr>
            </w:pPr>
            <w:r>
              <w:rPr>
                <w:rFonts w:cs="Tahoma"/>
                <w:sz w:val="20"/>
                <w:szCs w:val="20"/>
              </w:rPr>
              <w:t>1 247,59</w:t>
            </w:r>
          </w:p>
        </w:tc>
        <w:tc>
          <w:tcPr>
            <w:tcW w:w="1278" w:type="dxa"/>
            <w:tcBorders>
              <w:top w:val="dotted" w:sz="4" w:space="0" w:color="auto"/>
              <w:left w:val="single" w:sz="4" w:space="0" w:color="auto"/>
              <w:bottom w:val="dotted" w:sz="4" w:space="0" w:color="auto"/>
              <w:right w:val="single" w:sz="4" w:space="0" w:color="auto"/>
            </w:tcBorders>
            <w:vAlign w:val="center"/>
          </w:tcPr>
          <w:p w14:paraId="371621A1" w14:textId="37BD38B9" w:rsidR="00225774" w:rsidRPr="00C711E7" w:rsidRDefault="0037720C" w:rsidP="0037720C">
            <w:pPr>
              <w:spacing w:before="60" w:after="40" w:line="288" w:lineRule="auto"/>
              <w:ind w:firstLine="0"/>
              <w:jc w:val="right"/>
              <w:rPr>
                <w:rFonts w:cs="Tahoma"/>
                <w:sz w:val="20"/>
                <w:szCs w:val="20"/>
              </w:rPr>
            </w:pPr>
            <w:r>
              <w:rPr>
                <w:rFonts w:cs="Tahoma"/>
                <w:sz w:val="20"/>
                <w:szCs w:val="20"/>
              </w:rPr>
              <w:t>1 370,19</w:t>
            </w:r>
          </w:p>
        </w:tc>
        <w:tc>
          <w:tcPr>
            <w:tcW w:w="1278" w:type="dxa"/>
            <w:tcBorders>
              <w:top w:val="dotted" w:sz="4" w:space="0" w:color="auto"/>
              <w:left w:val="single" w:sz="4" w:space="0" w:color="auto"/>
              <w:bottom w:val="dotted" w:sz="4" w:space="0" w:color="auto"/>
              <w:right w:val="single" w:sz="4" w:space="0" w:color="auto"/>
            </w:tcBorders>
            <w:shd w:val="clear" w:color="auto" w:fill="auto"/>
            <w:vAlign w:val="center"/>
          </w:tcPr>
          <w:p w14:paraId="6714EA4A" w14:textId="04948B6E" w:rsidR="00225774" w:rsidRPr="00C711E7" w:rsidRDefault="0037720C" w:rsidP="0037720C">
            <w:pPr>
              <w:spacing w:before="60" w:after="40" w:line="288" w:lineRule="auto"/>
              <w:ind w:firstLine="0"/>
              <w:jc w:val="right"/>
              <w:rPr>
                <w:rFonts w:cs="Tahoma"/>
                <w:sz w:val="20"/>
                <w:szCs w:val="20"/>
              </w:rPr>
            </w:pPr>
            <w:r>
              <w:rPr>
                <w:rFonts w:cs="Tahoma"/>
                <w:sz w:val="20"/>
                <w:szCs w:val="20"/>
              </w:rPr>
              <w:t>1 454,22</w:t>
            </w:r>
          </w:p>
        </w:tc>
      </w:tr>
      <w:tr w:rsidR="0037720C" w:rsidRPr="00C711E7" w14:paraId="7AE11ECC" w14:textId="77777777" w:rsidTr="0037720C">
        <w:trPr>
          <w:cantSplit/>
          <w:jc w:val="center"/>
        </w:trPr>
        <w:tc>
          <w:tcPr>
            <w:tcW w:w="614" w:type="dxa"/>
            <w:tcBorders>
              <w:top w:val="dotted" w:sz="4" w:space="0" w:color="auto"/>
              <w:left w:val="single" w:sz="4" w:space="0" w:color="auto"/>
              <w:bottom w:val="dotted" w:sz="4" w:space="0" w:color="auto"/>
              <w:right w:val="single" w:sz="4" w:space="0" w:color="auto"/>
            </w:tcBorders>
            <w:vAlign w:val="center"/>
          </w:tcPr>
          <w:p w14:paraId="74C27ABF" w14:textId="7FD31A26" w:rsidR="0037720C" w:rsidRPr="00C711E7" w:rsidRDefault="0037720C" w:rsidP="0037720C">
            <w:pPr>
              <w:spacing w:before="60" w:after="40" w:line="288" w:lineRule="auto"/>
              <w:ind w:firstLine="0"/>
              <w:jc w:val="center"/>
              <w:rPr>
                <w:rFonts w:cs="Tahoma"/>
                <w:sz w:val="20"/>
                <w:szCs w:val="20"/>
              </w:rPr>
            </w:pPr>
            <w:r>
              <w:rPr>
                <w:rFonts w:cs="Tahoma"/>
                <w:sz w:val="20"/>
                <w:szCs w:val="20"/>
              </w:rPr>
              <w:t>2aa</w:t>
            </w:r>
          </w:p>
        </w:tc>
        <w:tc>
          <w:tcPr>
            <w:tcW w:w="3347" w:type="dxa"/>
            <w:tcBorders>
              <w:top w:val="dotted" w:sz="4" w:space="0" w:color="auto"/>
              <w:left w:val="single" w:sz="4" w:space="0" w:color="auto"/>
              <w:bottom w:val="dotted" w:sz="4" w:space="0" w:color="auto"/>
              <w:right w:val="single" w:sz="4" w:space="0" w:color="auto"/>
            </w:tcBorders>
            <w:vAlign w:val="center"/>
          </w:tcPr>
          <w:p w14:paraId="63EBED51" w14:textId="77777777" w:rsidR="0037720C" w:rsidRPr="00C711E7" w:rsidRDefault="0037720C" w:rsidP="0037720C">
            <w:pPr>
              <w:spacing w:before="60" w:after="40" w:line="288" w:lineRule="auto"/>
              <w:ind w:firstLine="0"/>
              <w:jc w:val="left"/>
              <w:rPr>
                <w:rFonts w:cs="Tahoma"/>
                <w:sz w:val="20"/>
                <w:szCs w:val="20"/>
              </w:rPr>
            </w:pPr>
            <w:r w:rsidRPr="00C711E7">
              <w:rPr>
                <w:rFonts w:cs="Tahoma"/>
                <w:sz w:val="20"/>
                <w:szCs w:val="20"/>
              </w:rPr>
              <w:softHyphen/>
            </w:r>
            <w:r>
              <w:rPr>
                <w:rFonts w:cs="Tahoma"/>
                <w:sz w:val="20"/>
                <w:szCs w:val="20"/>
              </w:rPr>
              <w:softHyphen/>
            </w:r>
            <w:r>
              <w:rPr>
                <w:rFonts w:cs="Tahoma"/>
                <w:sz w:val="20"/>
                <w:szCs w:val="20"/>
              </w:rPr>
              <w:softHyphen/>
            </w:r>
            <w:r w:rsidRPr="00C711E7">
              <w:rPr>
                <w:rFonts w:cs="Tahoma"/>
                <w:sz w:val="20"/>
                <w:szCs w:val="20"/>
              </w:rPr>
              <w:t xml:space="preserve">– </w:t>
            </w:r>
            <w:r>
              <w:rPr>
                <w:rFonts w:cs="Tahoma"/>
                <w:sz w:val="20"/>
                <w:szCs w:val="20"/>
              </w:rPr>
              <w:t>w tym transport zbiorowy</w:t>
            </w:r>
          </w:p>
        </w:tc>
        <w:tc>
          <w:tcPr>
            <w:tcW w:w="1277" w:type="dxa"/>
            <w:tcBorders>
              <w:top w:val="dotted" w:sz="4" w:space="0" w:color="auto"/>
              <w:left w:val="single" w:sz="4" w:space="0" w:color="auto"/>
              <w:bottom w:val="dotted" w:sz="4" w:space="0" w:color="auto"/>
              <w:right w:val="single" w:sz="4" w:space="0" w:color="auto"/>
            </w:tcBorders>
            <w:vAlign w:val="center"/>
          </w:tcPr>
          <w:p w14:paraId="6CFC270C" w14:textId="609F31B8" w:rsidR="0037720C" w:rsidRPr="00C711E7" w:rsidRDefault="0037720C" w:rsidP="0037720C">
            <w:pPr>
              <w:spacing w:before="60" w:after="40" w:line="288" w:lineRule="auto"/>
              <w:ind w:firstLine="0"/>
              <w:jc w:val="right"/>
              <w:rPr>
                <w:rFonts w:cs="Tahoma"/>
                <w:sz w:val="20"/>
                <w:szCs w:val="20"/>
              </w:rPr>
            </w:pPr>
            <w:r>
              <w:rPr>
                <w:rFonts w:cs="Tahoma"/>
                <w:sz w:val="20"/>
                <w:szCs w:val="20"/>
              </w:rPr>
              <w:t>80,31</w:t>
            </w:r>
          </w:p>
        </w:tc>
        <w:tc>
          <w:tcPr>
            <w:tcW w:w="1278" w:type="dxa"/>
            <w:tcBorders>
              <w:top w:val="dotted" w:sz="4" w:space="0" w:color="auto"/>
              <w:left w:val="single" w:sz="4" w:space="0" w:color="auto"/>
              <w:bottom w:val="dotted" w:sz="4" w:space="0" w:color="auto"/>
              <w:right w:val="single" w:sz="4" w:space="0" w:color="auto"/>
            </w:tcBorders>
            <w:vAlign w:val="center"/>
          </w:tcPr>
          <w:p w14:paraId="2072E369" w14:textId="56433AE1" w:rsidR="0037720C" w:rsidRPr="00C711E7" w:rsidRDefault="0037720C" w:rsidP="0037720C">
            <w:pPr>
              <w:spacing w:before="60" w:after="40" w:line="288" w:lineRule="auto"/>
              <w:ind w:firstLine="0"/>
              <w:jc w:val="right"/>
              <w:rPr>
                <w:rFonts w:cs="Tahoma"/>
                <w:sz w:val="20"/>
                <w:szCs w:val="20"/>
              </w:rPr>
            </w:pPr>
            <w:r>
              <w:rPr>
                <w:rFonts w:cs="Tahoma"/>
                <w:sz w:val="20"/>
                <w:szCs w:val="20"/>
              </w:rPr>
              <w:t>97,24</w:t>
            </w:r>
          </w:p>
        </w:tc>
        <w:tc>
          <w:tcPr>
            <w:tcW w:w="1278" w:type="dxa"/>
            <w:tcBorders>
              <w:top w:val="dotted" w:sz="4" w:space="0" w:color="auto"/>
              <w:left w:val="single" w:sz="4" w:space="0" w:color="auto"/>
              <w:bottom w:val="dotted" w:sz="4" w:space="0" w:color="auto"/>
              <w:right w:val="single" w:sz="4" w:space="0" w:color="auto"/>
            </w:tcBorders>
            <w:vAlign w:val="center"/>
          </w:tcPr>
          <w:p w14:paraId="728AE3EC" w14:textId="6C36BE2D" w:rsidR="0037720C" w:rsidRPr="00C711E7" w:rsidRDefault="0037720C" w:rsidP="0037720C">
            <w:pPr>
              <w:spacing w:before="60" w:after="40" w:line="288" w:lineRule="auto"/>
              <w:ind w:firstLine="0"/>
              <w:jc w:val="right"/>
              <w:rPr>
                <w:rFonts w:cs="Tahoma"/>
                <w:sz w:val="20"/>
                <w:szCs w:val="20"/>
              </w:rPr>
            </w:pPr>
            <w:r>
              <w:rPr>
                <w:rFonts w:cs="Tahoma"/>
                <w:sz w:val="20"/>
                <w:szCs w:val="20"/>
              </w:rPr>
              <w:t>95,58</w:t>
            </w:r>
          </w:p>
        </w:tc>
        <w:tc>
          <w:tcPr>
            <w:tcW w:w="1278" w:type="dxa"/>
            <w:tcBorders>
              <w:top w:val="dotted" w:sz="4" w:space="0" w:color="auto"/>
              <w:left w:val="single" w:sz="4" w:space="0" w:color="auto"/>
              <w:bottom w:val="dotted" w:sz="4" w:space="0" w:color="auto"/>
              <w:right w:val="single" w:sz="4" w:space="0" w:color="auto"/>
            </w:tcBorders>
            <w:vAlign w:val="center"/>
          </w:tcPr>
          <w:p w14:paraId="5556B817" w14:textId="0B2AA888" w:rsidR="0037720C" w:rsidRPr="00C711E7" w:rsidRDefault="0037720C" w:rsidP="0037720C">
            <w:pPr>
              <w:spacing w:before="60" w:after="40" w:line="288" w:lineRule="auto"/>
              <w:ind w:firstLine="0"/>
              <w:jc w:val="right"/>
              <w:rPr>
                <w:rFonts w:cs="Tahoma"/>
                <w:sz w:val="20"/>
                <w:szCs w:val="20"/>
              </w:rPr>
            </w:pPr>
            <w:r>
              <w:rPr>
                <w:rFonts w:cs="Tahoma"/>
                <w:sz w:val="20"/>
                <w:szCs w:val="20"/>
              </w:rPr>
              <w:t>93,30</w:t>
            </w:r>
          </w:p>
        </w:tc>
      </w:tr>
      <w:tr w:rsidR="00225774" w:rsidRPr="00C711E7" w14:paraId="08DBE208" w14:textId="77777777" w:rsidTr="0055711A">
        <w:trPr>
          <w:cantSplit/>
          <w:jc w:val="center"/>
        </w:trPr>
        <w:tc>
          <w:tcPr>
            <w:tcW w:w="614" w:type="dxa"/>
            <w:tcBorders>
              <w:top w:val="dotted" w:sz="4" w:space="0" w:color="auto"/>
              <w:left w:val="single" w:sz="4" w:space="0" w:color="auto"/>
              <w:bottom w:val="dotted" w:sz="4" w:space="0" w:color="auto"/>
              <w:right w:val="single" w:sz="4" w:space="0" w:color="auto"/>
            </w:tcBorders>
            <w:vAlign w:val="center"/>
          </w:tcPr>
          <w:p w14:paraId="42579805" w14:textId="77777777" w:rsidR="00225774" w:rsidRPr="00C711E7" w:rsidRDefault="00225774" w:rsidP="0037720C">
            <w:pPr>
              <w:spacing w:before="60" w:after="40" w:line="288" w:lineRule="auto"/>
              <w:ind w:firstLine="0"/>
              <w:jc w:val="center"/>
              <w:rPr>
                <w:rFonts w:cs="Tahoma"/>
                <w:sz w:val="20"/>
                <w:szCs w:val="20"/>
              </w:rPr>
            </w:pPr>
            <w:r w:rsidRPr="00C711E7">
              <w:rPr>
                <w:rFonts w:cs="Tahoma"/>
                <w:sz w:val="20"/>
                <w:szCs w:val="20"/>
              </w:rPr>
              <w:t>2b</w:t>
            </w:r>
          </w:p>
        </w:tc>
        <w:tc>
          <w:tcPr>
            <w:tcW w:w="3347" w:type="dxa"/>
            <w:tcBorders>
              <w:top w:val="dotted" w:sz="4" w:space="0" w:color="auto"/>
              <w:left w:val="single" w:sz="4" w:space="0" w:color="auto"/>
              <w:bottom w:val="dotted" w:sz="4" w:space="0" w:color="auto"/>
              <w:right w:val="single" w:sz="4" w:space="0" w:color="auto"/>
            </w:tcBorders>
            <w:vAlign w:val="center"/>
          </w:tcPr>
          <w:p w14:paraId="356FCE0F" w14:textId="38AEA116" w:rsidR="00225774" w:rsidRPr="00C711E7" w:rsidRDefault="00225774" w:rsidP="0037720C">
            <w:pPr>
              <w:spacing w:before="60" w:after="40" w:line="288" w:lineRule="auto"/>
              <w:ind w:firstLine="0"/>
              <w:jc w:val="left"/>
              <w:rPr>
                <w:rFonts w:cs="Tahoma"/>
                <w:sz w:val="20"/>
                <w:szCs w:val="20"/>
              </w:rPr>
            </w:pPr>
            <w:r w:rsidRPr="00C711E7">
              <w:rPr>
                <w:rFonts w:cs="Tahoma"/>
                <w:sz w:val="20"/>
                <w:szCs w:val="20"/>
              </w:rPr>
              <w:softHyphen/>
              <w:t>– wydatki majątkowe</w:t>
            </w:r>
          </w:p>
        </w:tc>
        <w:tc>
          <w:tcPr>
            <w:tcW w:w="1277" w:type="dxa"/>
            <w:tcBorders>
              <w:top w:val="dotted" w:sz="4" w:space="0" w:color="auto"/>
              <w:left w:val="single" w:sz="4" w:space="0" w:color="auto"/>
              <w:bottom w:val="dotted" w:sz="4" w:space="0" w:color="auto"/>
              <w:right w:val="single" w:sz="4" w:space="0" w:color="auto"/>
            </w:tcBorders>
            <w:vAlign w:val="center"/>
          </w:tcPr>
          <w:p w14:paraId="1D40F1EA" w14:textId="7E901755" w:rsidR="00225774" w:rsidRPr="00C711E7" w:rsidRDefault="0037720C" w:rsidP="0037720C">
            <w:pPr>
              <w:spacing w:before="60" w:after="40" w:line="288" w:lineRule="auto"/>
              <w:ind w:firstLine="0"/>
              <w:jc w:val="right"/>
              <w:rPr>
                <w:rFonts w:cs="Tahoma"/>
                <w:sz w:val="20"/>
                <w:szCs w:val="20"/>
              </w:rPr>
            </w:pPr>
            <w:r>
              <w:rPr>
                <w:rFonts w:cs="Tahoma"/>
                <w:sz w:val="20"/>
                <w:szCs w:val="20"/>
              </w:rPr>
              <w:t>327,37</w:t>
            </w:r>
          </w:p>
        </w:tc>
        <w:tc>
          <w:tcPr>
            <w:tcW w:w="1278" w:type="dxa"/>
            <w:tcBorders>
              <w:top w:val="dotted" w:sz="4" w:space="0" w:color="auto"/>
              <w:left w:val="single" w:sz="4" w:space="0" w:color="auto"/>
              <w:bottom w:val="dotted" w:sz="4" w:space="0" w:color="auto"/>
              <w:right w:val="single" w:sz="4" w:space="0" w:color="auto"/>
            </w:tcBorders>
            <w:vAlign w:val="center"/>
          </w:tcPr>
          <w:p w14:paraId="5F8D5707" w14:textId="78DC2557" w:rsidR="00225774" w:rsidRPr="00C711E7" w:rsidRDefault="0037720C" w:rsidP="0037720C">
            <w:pPr>
              <w:spacing w:before="60" w:after="40" w:line="288" w:lineRule="auto"/>
              <w:ind w:firstLine="0"/>
              <w:jc w:val="right"/>
              <w:rPr>
                <w:rFonts w:cs="Tahoma"/>
                <w:sz w:val="20"/>
                <w:szCs w:val="20"/>
              </w:rPr>
            </w:pPr>
            <w:r>
              <w:rPr>
                <w:rFonts w:cs="Tahoma"/>
                <w:sz w:val="20"/>
                <w:szCs w:val="20"/>
              </w:rPr>
              <w:t>285,06</w:t>
            </w:r>
          </w:p>
        </w:tc>
        <w:tc>
          <w:tcPr>
            <w:tcW w:w="1278" w:type="dxa"/>
            <w:tcBorders>
              <w:top w:val="dotted" w:sz="4" w:space="0" w:color="auto"/>
              <w:left w:val="single" w:sz="4" w:space="0" w:color="auto"/>
              <w:bottom w:val="dotted" w:sz="4" w:space="0" w:color="auto"/>
              <w:right w:val="single" w:sz="4" w:space="0" w:color="auto"/>
            </w:tcBorders>
            <w:vAlign w:val="center"/>
          </w:tcPr>
          <w:p w14:paraId="4C508A26" w14:textId="30917869" w:rsidR="00225774" w:rsidRPr="00C711E7" w:rsidRDefault="0037720C" w:rsidP="0037720C">
            <w:pPr>
              <w:spacing w:before="60" w:after="40" w:line="288" w:lineRule="auto"/>
              <w:ind w:firstLine="0"/>
              <w:jc w:val="right"/>
              <w:rPr>
                <w:rFonts w:cs="Tahoma"/>
                <w:sz w:val="20"/>
                <w:szCs w:val="20"/>
              </w:rPr>
            </w:pPr>
            <w:r>
              <w:rPr>
                <w:rFonts w:cs="Tahoma"/>
                <w:sz w:val="20"/>
                <w:szCs w:val="20"/>
              </w:rPr>
              <w:t>257,78</w:t>
            </w:r>
          </w:p>
        </w:tc>
        <w:tc>
          <w:tcPr>
            <w:tcW w:w="1278" w:type="dxa"/>
            <w:tcBorders>
              <w:top w:val="dotted" w:sz="4" w:space="0" w:color="auto"/>
              <w:left w:val="single" w:sz="4" w:space="0" w:color="auto"/>
              <w:bottom w:val="dotted" w:sz="4" w:space="0" w:color="auto"/>
              <w:right w:val="single" w:sz="4" w:space="0" w:color="auto"/>
            </w:tcBorders>
            <w:vAlign w:val="center"/>
          </w:tcPr>
          <w:p w14:paraId="48D0AF24" w14:textId="57C52D15" w:rsidR="00225774" w:rsidRPr="00C711E7" w:rsidRDefault="0037720C" w:rsidP="0037720C">
            <w:pPr>
              <w:spacing w:before="60" w:after="40" w:line="288" w:lineRule="auto"/>
              <w:ind w:firstLine="0"/>
              <w:jc w:val="right"/>
              <w:rPr>
                <w:rFonts w:cs="Tahoma"/>
                <w:sz w:val="20"/>
                <w:szCs w:val="20"/>
              </w:rPr>
            </w:pPr>
            <w:r>
              <w:rPr>
                <w:rFonts w:cs="Tahoma"/>
                <w:sz w:val="20"/>
                <w:szCs w:val="20"/>
              </w:rPr>
              <w:t>438,00</w:t>
            </w:r>
          </w:p>
        </w:tc>
      </w:tr>
      <w:tr w:rsidR="00225774" w:rsidRPr="00C711E7" w14:paraId="0B9128AC" w14:textId="77777777" w:rsidTr="0055711A">
        <w:trPr>
          <w:cantSplit/>
          <w:jc w:val="center"/>
        </w:trPr>
        <w:tc>
          <w:tcPr>
            <w:tcW w:w="614" w:type="dxa"/>
            <w:tcBorders>
              <w:top w:val="dotted" w:sz="4" w:space="0" w:color="auto"/>
              <w:left w:val="single" w:sz="4" w:space="0" w:color="auto"/>
              <w:bottom w:val="dotted" w:sz="4" w:space="0" w:color="auto"/>
              <w:right w:val="single" w:sz="4" w:space="0" w:color="auto"/>
            </w:tcBorders>
            <w:vAlign w:val="center"/>
          </w:tcPr>
          <w:p w14:paraId="631D5EE4" w14:textId="479075CB" w:rsidR="00225774" w:rsidRPr="00C711E7" w:rsidRDefault="00225774" w:rsidP="0037720C">
            <w:pPr>
              <w:spacing w:before="60" w:after="40" w:line="288" w:lineRule="auto"/>
              <w:ind w:firstLine="0"/>
              <w:jc w:val="center"/>
              <w:rPr>
                <w:rFonts w:cs="Tahoma"/>
                <w:sz w:val="20"/>
                <w:szCs w:val="20"/>
              </w:rPr>
            </w:pPr>
            <w:r>
              <w:rPr>
                <w:rFonts w:cs="Tahoma"/>
                <w:sz w:val="20"/>
                <w:szCs w:val="20"/>
              </w:rPr>
              <w:t>2ba</w:t>
            </w:r>
          </w:p>
        </w:tc>
        <w:tc>
          <w:tcPr>
            <w:tcW w:w="3347" w:type="dxa"/>
            <w:tcBorders>
              <w:top w:val="dotted" w:sz="4" w:space="0" w:color="auto"/>
              <w:left w:val="single" w:sz="4" w:space="0" w:color="auto"/>
              <w:bottom w:val="dotted" w:sz="4" w:space="0" w:color="auto"/>
              <w:right w:val="single" w:sz="4" w:space="0" w:color="auto"/>
            </w:tcBorders>
            <w:vAlign w:val="center"/>
          </w:tcPr>
          <w:p w14:paraId="78CE4856" w14:textId="6B4D865C" w:rsidR="00225774" w:rsidRPr="00C711E7" w:rsidRDefault="00225774" w:rsidP="0037720C">
            <w:pPr>
              <w:spacing w:before="60" w:after="40" w:line="288" w:lineRule="auto"/>
              <w:ind w:firstLine="0"/>
              <w:jc w:val="left"/>
              <w:rPr>
                <w:rFonts w:cs="Tahoma"/>
                <w:sz w:val="20"/>
                <w:szCs w:val="20"/>
              </w:rPr>
            </w:pPr>
            <w:r w:rsidRPr="00C711E7">
              <w:rPr>
                <w:rFonts w:cs="Tahoma"/>
                <w:sz w:val="20"/>
                <w:szCs w:val="20"/>
              </w:rPr>
              <w:softHyphen/>
            </w:r>
            <w:r>
              <w:rPr>
                <w:rFonts w:cs="Tahoma"/>
                <w:sz w:val="20"/>
                <w:szCs w:val="20"/>
              </w:rPr>
              <w:softHyphen/>
            </w:r>
            <w:r>
              <w:rPr>
                <w:rFonts w:cs="Tahoma"/>
                <w:sz w:val="20"/>
                <w:szCs w:val="20"/>
              </w:rPr>
              <w:softHyphen/>
            </w:r>
            <w:r w:rsidRPr="00C711E7">
              <w:rPr>
                <w:rFonts w:cs="Tahoma"/>
                <w:sz w:val="20"/>
                <w:szCs w:val="20"/>
              </w:rPr>
              <w:t xml:space="preserve">– </w:t>
            </w:r>
            <w:r>
              <w:rPr>
                <w:rFonts w:cs="Tahoma"/>
                <w:sz w:val="20"/>
                <w:szCs w:val="20"/>
              </w:rPr>
              <w:t>w tym transport zbiorowy</w:t>
            </w:r>
          </w:p>
        </w:tc>
        <w:tc>
          <w:tcPr>
            <w:tcW w:w="1277" w:type="dxa"/>
            <w:tcBorders>
              <w:top w:val="dotted" w:sz="4" w:space="0" w:color="auto"/>
              <w:left w:val="single" w:sz="4" w:space="0" w:color="auto"/>
              <w:bottom w:val="dotted" w:sz="4" w:space="0" w:color="auto"/>
              <w:right w:val="single" w:sz="4" w:space="0" w:color="auto"/>
            </w:tcBorders>
            <w:vAlign w:val="center"/>
          </w:tcPr>
          <w:p w14:paraId="1CBA0095" w14:textId="425F6FC5" w:rsidR="00225774" w:rsidRPr="00C711E7" w:rsidRDefault="0037720C" w:rsidP="0037720C">
            <w:pPr>
              <w:spacing w:before="60" w:after="40" w:line="288" w:lineRule="auto"/>
              <w:ind w:firstLine="0"/>
              <w:jc w:val="right"/>
              <w:rPr>
                <w:rFonts w:cs="Tahoma"/>
                <w:sz w:val="20"/>
                <w:szCs w:val="20"/>
              </w:rPr>
            </w:pPr>
            <w:r>
              <w:rPr>
                <w:rFonts w:cs="Tahoma"/>
                <w:sz w:val="20"/>
                <w:szCs w:val="20"/>
              </w:rPr>
              <w:t>80,98</w:t>
            </w:r>
          </w:p>
        </w:tc>
        <w:tc>
          <w:tcPr>
            <w:tcW w:w="1278" w:type="dxa"/>
            <w:tcBorders>
              <w:top w:val="dotted" w:sz="4" w:space="0" w:color="auto"/>
              <w:left w:val="single" w:sz="4" w:space="0" w:color="auto"/>
              <w:bottom w:val="dotted" w:sz="4" w:space="0" w:color="auto"/>
              <w:right w:val="single" w:sz="4" w:space="0" w:color="auto"/>
            </w:tcBorders>
            <w:vAlign w:val="center"/>
          </w:tcPr>
          <w:p w14:paraId="26B518FD" w14:textId="624FBD0B" w:rsidR="00225774" w:rsidRPr="00C711E7" w:rsidRDefault="0037720C" w:rsidP="0037720C">
            <w:pPr>
              <w:spacing w:before="60" w:after="40" w:line="288" w:lineRule="auto"/>
              <w:ind w:firstLine="0"/>
              <w:jc w:val="right"/>
              <w:rPr>
                <w:rFonts w:cs="Tahoma"/>
                <w:sz w:val="20"/>
                <w:szCs w:val="20"/>
              </w:rPr>
            </w:pPr>
            <w:r>
              <w:rPr>
                <w:rFonts w:cs="Tahoma"/>
                <w:sz w:val="20"/>
                <w:szCs w:val="20"/>
              </w:rPr>
              <w:t>35,59</w:t>
            </w:r>
          </w:p>
        </w:tc>
        <w:tc>
          <w:tcPr>
            <w:tcW w:w="1278" w:type="dxa"/>
            <w:tcBorders>
              <w:top w:val="dotted" w:sz="4" w:space="0" w:color="auto"/>
              <w:left w:val="single" w:sz="4" w:space="0" w:color="auto"/>
              <w:bottom w:val="dotted" w:sz="4" w:space="0" w:color="auto"/>
              <w:right w:val="single" w:sz="4" w:space="0" w:color="auto"/>
            </w:tcBorders>
            <w:vAlign w:val="center"/>
          </w:tcPr>
          <w:p w14:paraId="0C8C78FB" w14:textId="28143F17" w:rsidR="00225774" w:rsidRPr="00C711E7" w:rsidRDefault="0037720C" w:rsidP="0037720C">
            <w:pPr>
              <w:spacing w:before="60" w:after="40" w:line="288" w:lineRule="auto"/>
              <w:ind w:firstLine="0"/>
              <w:jc w:val="right"/>
              <w:rPr>
                <w:rFonts w:cs="Tahoma"/>
                <w:sz w:val="20"/>
                <w:szCs w:val="20"/>
              </w:rPr>
            </w:pPr>
            <w:r>
              <w:rPr>
                <w:rFonts w:cs="Tahoma"/>
                <w:sz w:val="20"/>
                <w:szCs w:val="20"/>
              </w:rPr>
              <w:t>38,08</w:t>
            </w:r>
          </w:p>
        </w:tc>
        <w:tc>
          <w:tcPr>
            <w:tcW w:w="1278" w:type="dxa"/>
            <w:tcBorders>
              <w:top w:val="dotted" w:sz="4" w:space="0" w:color="auto"/>
              <w:left w:val="single" w:sz="4" w:space="0" w:color="auto"/>
              <w:bottom w:val="dotted" w:sz="4" w:space="0" w:color="auto"/>
              <w:right w:val="single" w:sz="4" w:space="0" w:color="auto"/>
            </w:tcBorders>
            <w:vAlign w:val="center"/>
          </w:tcPr>
          <w:p w14:paraId="0409EB36" w14:textId="2BC52501" w:rsidR="00225774" w:rsidRPr="00C711E7" w:rsidRDefault="0037720C" w:rsidP="0037720C">
            <w:pPr>
              <w:spacing w:before="60" w:after="40" w:line="288" w:lineRule="auto"/>
              <w:ind w:firstLine="0"/>
              <w:jc w:val="right"/>
              <w:rPr>
                <w:rFonts w:cs="Tahoma"/>
                <w:sz w:val="20"/>
                <w:szCs w:val="20"/>
              </w:rPr>
            </w:pPr>
            <w:r>
              <w:rPr>
                <w:rFonts w:cs="Tahoma"/>
                <w:sz w:val="20"/>
                <w:szCs w:val="20"/>
              </w:rPr>
              <w:t>65,66</w:t>
            </w:r>
          </w:p>
        </w:tc>
      </w:tr>
      <w:tr w:rsidR="00225774" w:rsidRPr="00C711E7" w14:paraId="0C6A2527" w14:textId="77777777" w:rsidTr="009250B4">
        <w:trPr>
          <w:cantSplit/>
          <w:jc w:val="center"/>
        </w:trPr>
        <w:tc>
          <w:tcPr>
            <w:tcW w:w="614" w:type="dxa"/>
            <w:tcBorders>
              <w:top w:val="single" w:sz="4" w:space="0" w:color="auto"/>
              <w:left w:val="single" w:sz="4" w:space="0" w:color="auto"/>
              <w:bottom w:val="single" w:sz="4" w:space="0" w:color="auto"/>
              <w:right w:val="single" w:sz="4" w:space="0" w:color="auto"/>
            </w:tcBorders>
            <w:vAlign w:val="center"/>
          </w:tcPr>
          <w:p w14:paraId="767AFA3C" w14:textId="77777777" w:rsidR="00225774" w:rsidRPr="00C711E7" w:rsidRDefault="00225774" w:rsidP="0037720C">
            <w:pPr>
              <w:spacing w:before="60" w:after="40" w:line="288" w:lineRule="auto"/>
              <w:ind w:firstLine="0"/>
              <w:jc w:val="center"/>
              <w:rPr>
                <w:rFonts w:cs="Tahoma"/>
                <w:b/>
                <w:sz w:val="20"/>
                <w:szCs w:val="20"/>
              </w:rPr>
            </w:pPr>
            <w:r w:rsidRPr="00C711E7">
              <w:rPr>
                <w:rFonts w:cs="Tahoma"/>
                <w:b/>
                <w:sz w:val="20"/>
                <w:szCs w:val="20"/>
              </w:rPr>
              <w:t>3</w:t>
            </w:r>
          </w:p>
        </w:tc>
        <w:tc>
          <w:tcPr>
            <w:tcW w:w="3347" w:type="dxa"/>
            <w:tcBorders>
              <w:top w:val="single" w:sz="4" w:space="0" w:color="auto"/>
              <w:left w:val="single" w:sz="4" w:space="0" w:color="auto"/>
              <w:bottom w:val="single" w:sz="4" w:space="0" w:color="auto"/>
              <w:right w:val="single" w:sz="4" w:space="0" w:color="auto"/>
            </w:tcBorders>
            <w:vAlign w:val="center"/>
          </w:tcPr>
          <w:p w14:paraId="66DECBE0" w14:textId="77777777" w:rsidR="00225774" w:rsidRPr="00C711E7" w:rsidRDefault="00225774" w:rsidP="0037720C">
            <w:pPr>
              <w:spacing w:before="60" w:after="40" w:line="288" w:lineRule="auto"/>
              <w:ind w:firstLine="0"/>
              <w:jc w:val="left"/>
              <w:rPr>
                <w:rFonts w:cs="Tahoma"/>
                <w:b/>
                <w:sz w:val="20"/>
                <w:szCs w:val="20"/>
              </w:rPr>
            </w:pPr>
            <w:r w:rsidRPr="00C711E7">
              <w:rPr>
                <w:rFonts w:cs="Tahoma"/>
                <w:b/>
                <w:sz w:val="20"/>
                <w:szCs w:val="20"/>
              </w:rPr>
              <w:t>Deficyt/nadwyżka</w:t>
            </w:r>
          </w:p>
        </w:tc>
        <w:tc>
          <w:tcPr>
            <w:tcW w:w="1277" w:type="dxa"/>
            <w:tcBorders>
              <w:top w:val="single" w:sz="4" w:space="0" w:color="auto"/>
              <w:left w:val="single" w:sz="4" w:space="0" w:color="auto"/>
              <w:bottom w:val="single" w:sz="4" w:space="0" w:color="auto"/>
              <w:right w:val="single" w:sz="4" w:space="0" w:color="auto"/>
            </w:tcBorders>
            <w:vAlign w:val="center"/>
          </w:tcPr>
          <w:p w14:paraId="0C4048CA" w14:textId="4529746D" w:rsidR="00225774" w:rsidRPr="00C711E7" w:rsidRDefault="0037720C" w:rsidP="0037720C">
            <w:pPr>
              <w:spacing w:before="60" w:after="40" w:line="288" w:lineRule="auto"/>
              <w:ind w:firstLine="0"/>
              <w:jc w:val="right"/>
              <w:rPr>
                <w:rFonts w:cs="Tahoma"/>
                <w:b/>
                <w:sz w:val="20"/>
                <w:szCs w:val="20"/>
              </w:rPr>
            </w:pPr>
            <w:r>
              <w:rPr>
                <w:rFonts w:cs="Tahoma"/>
                <w:b/>
                <w:sz w:val="20"/>
                <w:szCs w:val="20"/>
              </w:rPr>
              <w:t>-49,17</w:t>
            </w:r>
          </w:p>
        </w:tc>
        <w:tc>
          <w:tcPr>
            <w:tcW w:w="1278" w:type="dxa"/>
            <w:tcBorders>
              <w:top w:val="single" w:sz="4" w:space="0" w:color="auto"/>
              <w:left w:val="single" w:sz="4" w:space="0" w:color="auto"/>
              <w:bottom w:val="single" w:sz="4" w:space="0" w:color="auto"/>
              <w:right w:val="single" w:sz="4" w:space="0" w:color="auto"/>
            </w:tcBorders>
            <w:vAlign w:val="center"/>
          </w:tcPr>
          <w:p w14:paraId="19351CE4" w14:textId="62644400" w:rsidR="00225774" w:rsidRPr="00C711E7" w:rsidRDefault="0037720C" w:rsidP="0037720C">
            <w:pPr>
              <w:spacing w:before="60" w:after="40" w:line="288" w:lineRule="auto"/>
              <w:ind w:firstLine="0"/>
              <w:jc w:val="right"/>
              <w:rPr>
                <w:rFonts w:cs="Tahoma"/>
                <w:b/>
                <w:sz w:val="20"/>
                <w:szCs w:val="20"/>
              </w:rPr>
            </w:pPr>
            <w:r>
              <w:rPr>
                <w:rFonts w:cs="Tahoma"/>
                <w:b/>
                <w:sz w:val="20"/>
                <w:szCs w:val="20"/>
              </w:rPr>
              <w:t>-64,55</w:t>
            </w:r>
          </w:p>
        </w:tc>
        <w:tc>
          <w:tcPr>
            <w:tcW w:w="1278" w:type="dxa"/>
            <w:tcBorders>
              <w:top w:val="single" w:sz="4" w:space="0" w:color="auto"/>
              <w:left w:val="single" w:sz="4" w:space="0" w:color="auto"/>
              <w:bottom w:val="single" w:sz="4" w:space="0" w:color="auto"/>
              <w:right w:val="single" w:sz="4" w:space="0" w:color="auto"/>
            </w:tcBorders>
            <w:vAlign w:val="center"/>
          </w:tcPr>
          <w:p w14:paraId="25A21073" w14:textId="3B919C00" w:rsidR="00225774" w:rsidRPr="00C711E7" w:rsidRDefault="0037720C" w:rsidP="0037720C">
            <w:pPr>
              <w:spacing w:before="60" w:after="40" w:line="288" w:lineRule="auto"/>
              <w:ind w:firstLine="0"/>
              <w:jc w:val="right"/>
              <w:rPr>
                <w:rFonts w:cs="Tahoma"/>
                <w:b/>
                <w:sz w:val="20"/>
                <w:szCs w:val="20"/>
              </w:rPr>
            </w:pPr>
            <w:r>
              <w:rPr>
                <w:rFonts w:cs="Tahoma"/>
                <w:b/>
                <w:sz w:val="20"/>
                <w:szCs w:val="20"/>
              </w:rPr>
              <w:t>9,15</w:t>
            </w:r>
          </w:p>
        </w:tc>
        <w:tc>
          <w:tcPr>
            <w:tcW w:w="1278" w:type="dxa"/>
            <w:tcBorders>
              <w:top w:val="single" w:sz="4" w:space="0" w:color="auto"/>
              <w:left w:val="single" w:sz="4" w:space="0" w:color="auto"/>
              <w:bottom w:val="single" w:sz="4" w:space="0" w:color="auto"/>
              <w:right w:val="single" w:sz="4" w:space="0" w:color="auto"/>
            </w:tcBorders>
            <w:vAlign w:val="center"/>
          </w:tcPr>
          <w:p w14:paraId="555DD967" w14:textId="5C1A8A55" w:rsidR="00225774" w:rsidRPr="00C711E7" w:rsidRDefault="0037720C" w:rsidP="0037720C">
            <w:pPr>
              <w:spacing w:before="60" w:after="40" w:line="288" w:lineRule="auto"/>
              <w:ind w:firstLine="0"/>
              <w:jc w:val="right"/>
              <w:rPr>
                <w:rFonts w:cs="Tahoma"/>
                <w:b/>
                <w:sz w:val="20"/>
                <w:szCs w:val="20"/>
              </w:rPr>
            </w:pPr>
            <w:r>
              <w:rPr>
                <w:rFonts w:cs="Tahoma"/>
                <w:b/>
                <w:sz w:val="20"/>
                <w:szCs w:val="20"/>
              </w:rPr>
              <w:t>-286,10</w:t>
            </w:r>
          </w:p>
        </w:tc>
      </w:tr>
      <w:tr w:rsidR="00225774" w:rsidRPr="00C711E7" w14:paraId="4AA2EB7D" w14:textId="77777777" w:rsidTr="009250B4">
        <w:trPr>
          <w:cantSplit/>
          <w:jc w:val="center"/>
        </w:trPr>
        <w:tc>
          <w:tcPr>
            <w:tcW w:w="614" w:type="dxa"/>
            <w:tcBorders>
              <w:top w:val="single" w:sz="4" w:space="0" w:color="auto"/>
              <w:left w:val="single" w:sz="4" w:space="0" w:color="auto"/>
              <w:bottom w:val="single" w:sz="4" w:space="0" w:color="auto"/>
              <w:right w:val="single" w:sz="4" w:space="0" w:color="auto"/>
            </w:tcBorders>
            <w:vAlign w:val="center"/>
          </w:tcPr>
          <w:p w14:paraId="5F200FC0" w14:textId="77777777" w:rsidR="00225774" w:rsidRPr="00C711E7" w:rsidRDefault="00225774" w:rsidP="0037720C">
            <w:pPr>
              <w:spacing w:before="60" w:after="40" w:line="288" w:lineRule="auto"/>
              <w:ind w:firstLine="0"/>
              <w:jc w:val="center"/>
              <w:rPr>
                <w:rFonts w:cs="Tahoma"/>
                <w:sz w:val="20"/>
                <w:szCs w:val="20"/>
              </w:rPr>
            </w:pPr>
            <w:r w:rsidRPr="00C711E7">
              <w:rPr>
                <w:rFonts w:cs="Tahoma"/>
                <w:sz w:val="20"/>
                <w:szCs w:val="20"/>
              </w:rPr>
              <w:t>4</w:t>
            </w:r>
          </w:p>
        </w:tc>
        <w:tc>
          <w:tcPr>
            <w:tcW w:w="3347" w:type="dxa"/>
            <w:tcBorders>
              <w:top w:val="single" w:sz="4" w:space="0" w:color="auto"/>
              <w:left w:val="single" w:sz="4" w:space="0" w:color="auto"/>
              <w:bottom w:val="single" w:sz="4" w:space="0" w:color="auto"/>
              <w:right w:val="single" w:sz="4" w:space="0" w:color="auto"/>
            </w:tcBorders>
            <w:vAlign w:val="center"/>
          </w:tcPr>
          <w:p w14:paraId="6C0916A2" w14:textId="77777777" w:rsidR="00225774" w:rsidRPr="00C711E7" w:rsidRDefault="00225774" w:rsidP="0037720C">
            <w:pPr>
              <w:spacing w:before="60" w:after="40" w:line="288" w:lineRule="auto"/>
              <w:ind w:firstLine="0"/>
              <w:jc w:val="left"/>
              <w:rPr>
                <w:rFonts w:cs="Tahoma"/>
                <w:sz w:val="20"/>
                <w:szCs w:val="20"/>
              </w:rPr>
            </w:pPr>
            <w:r w:rsidRPr="00C711E7">
              <w:rPr>
                <w:rFonts w:cs="Tahoma"/>
                <w:sz w:val="20"/>
                <w:szCs w:val="20"/>
              </w:rPr>
              <w:t>Deficyt/nadwyżka operacyjna</w:t>
            </w:r>
          </w:p>
        </w:tc>
        <w:tc>
          <w:tcPr>
            <w:tcW w:w="1277" w:type="dxa"/>
            <w:tcBorders>
              <w:top w:val="single" w:sz="4" w:space="0" w:color="auto"/>
              <w:left w:val="single" w:sz="4" w:space="0" w:color="auto"/>
              <w:bottom w:val="single" w:sz="4" w:space="0" w:color="auto"/>
              <w:right w:val="single" w:sz="4" w:space="0" w:color="auto"/>
            </w:tcBorders>
            <w:vAlign w:val="center"/>
          </w:tcPr>
          <w:p w14:paraId="33B6358B" w14:textId="0139D306" w:rsidR="00225774" w:rsidRPr="00C711E7" w:rsidRDefault="0037720C" w:rsidP="0037720C">
            <w:pPr>
              <w:spacing w:before="60" w:after="40" w:line="288" w:lineRule="auto"/>
              <w:ind w:firstLine="0"/>
              <w:jc w:val="right"/>
              <w:rPr>
                <w:rFonts w:cs="Tahoma"/>
                <w:sz w:val="20"/>
                <w:szCs w:val="20"/>
              </w:rPr>
            </w:pPr>
            <w:r>
              <w:rPr>
                <w:rFonts w:cs="Tahoma"/>
                <w:sz w:val="20"/>
                <w:szCs w:val="20"/>
              </w:rPr>
              <w:t>87,91</w:t>
            </w:r>
          </w:p>
        </w:tc>
        <w:tc>
          <w:tcPr>
            <w:tcW w:w="1278" w:type="dxa"/>
            <w:tcBorders>
              <w:top w:val="single" w:sz="4" w:space="0" w:color="auto"/>
              <w:left w:val="single" w:sz="4" w:space="0" w:color="auto"/>
              <w:bottom w:val="single" w:sz="4" w:space="0" w:color="auto"/>
              <w:right w:val="single" w:sz="4" w:space="0" w:color="auto"/>
            </w:tcBorders>
            <w:vAlign w:val="center"/>
          </w:tcPr>
          <w:p w14:paraId="7030F687" w14:textId="22612F20" w:rsidR="00225774" w:rsidRPr="00C711E7" w:rsidRDefault="0037720C" w:rsidP="0037720C">
            <w:pPr>
              <w:spacing w:before="60" w:after="40" w:line="288" w:lineRule="auto"/>
              <w:ind w:firstLine="0"/>
              <w:jc w:val="right"/>
              <w:rPr>
                <w:rFonts w:cs="Tahoma"/>
                <w:sz w:val="20"/>
                <w:szCs w:val="20"/>
              </w:rPr>
            </w:pPr>
            <w:r>
              <w:rPr>
                <w:rFonts w:cs="Tahoma"/>
                <w:sz w:val="20"/>
                <w:szCs w:val="20"/>
              </w:rPr>
              <w:t>82,56</w:t>
            </w:r>
          </w:p>
        </w:tc>
        <w:tc>
          <w:tcPr>
            <w:tcW w:w="1278" w:type="dxa"/>
            <w:tcBorders>
              <w:top w:val="single" w:sz="4" w:space="0" w:color="auto"/>
              <w:left w:val="single" w:sz="4" w:space="0" w:color="auto"/>
              <w:bottom w:val="single" w:sz="4" w:space="0" w:color="auto"/>
              <w:right w:val="single" w:sz="4" w:space="0" w:color="auto"/>
            </w:tcBorders>
            <w:vAlign w:val="center"/>
          </w:tcPr>
          <w:p w14:paraId="216E7B80" w14:textId="05599CF8" w:rsidR="00225774" w:rsidRPr="00C711E7" w:rsidRDefault="0037720C" w:rsidP="0037720C">
            <w:pPr>
              <w:spacing w:before="60" w:after="40" w:line="288" w:lineRule="auto"/>
              <w:ind w:firstLine="0"/>
              <w:jc w:val="right"/>
              <w:rPr>
                <w:rFonts w:cs="Tahoma"/>
                <w:sz w:val="20"/>
                <w:szCs w:val="20"/>
              </w:rPr>
            </w:pPr>
            <w:r>
              <w:rPr>
                <w:rFonts w:cs="Tahoma"/>
                <w:sz w:val="20"/>
                <w:szCs w:val="20"/>
              </w:rPr>
              <w:t>51,45</w:t>
            </w:r>
          </w:p>
        </w:tc>
        <w:tc>
          <w:tcPr>
            <w:tcW w:w="1278" w:type="dxa"/>
            <w:tcBorders>
              <w:top w:val="single" w:sz="4" w:space="0" w:color="auto"/>
              <w:left w:val="single" w:sz="4" w:space="0" w:color="auto"/>
              <w:bottom w:val="single" w:sz="4" w:space="0" w:color="auto"/>
              <w:right w:val="single" w:sz="4" w:space="0" w:color="auto"/>
            </w:tcBorders>
            <w:vAlign w:val="center"/>
          </w:tcPr>
          <w:p w14:paraId="2684AB0D" w14:textId="59E799DD" w:rsidR="00225774" w:rsidRPr="00C711E7" w:rsidRDefault="0037720C" w:rsidP="0037720C">
            <w:pPr>
              <w:spacing w:before="60" w:after="40" w:line="288" w:lineRule="auto"/>
              <w:ind w:firstLine="0"/>
              <w:jc w:val="right"/>
              <w:rPr>
                <w:rFonts w:cs="Tahoma"/>
                <w:sz w:val="20"/>
                <w:szCs w:val="20"/>
              </w:rPr>
            </w:pPr>
            <w:r>
              <w:rPr>
                <w:rFonts w:cs="Tahoma"/>
                <w:sz w:val="20"/>
                <w:szCs w:val="20"/>
              </w:rPr>
              <w:t>19,85</w:t>
            </w:r>
          </w:p>
        </w:tc>
      </w:tr>
      <w:tr w:rsidR="00225774" w:rsidRPr="00C711E7" w14:paraId="297C173A" w14:textId="77777777" w:rsidTr="002D2A53">
        <w:trPr>
          <w:cantSplit/>
          <w:jc w:val="center"/>
        </w:trPr>
        <w:tc>
          <w:tcPr>
            <w:tcW w:w="614" w:type="dxa"/>
            <w:tcBorders>
              <w:top w:val="single" w:sz="4" w:space="0" w:color="auto"/>
              <w:left w:val="single" w:sz="4" w:space="0" w:color="auto"/>
              <w:bottom w:val="dotted" w:sz="4" w:space="0" w:color="auto"/>
              <w:right w:val="single" w:sz="4" w:space="0" w:color="auto"/>
            </w:tcBorders>
            <w:vAlign w:val="center"/>
          </w:tcPr>
          <w:p w14:paraId="6730E51D" w14:textId="77777777" w:rsidR="00225774" w:rsidRPr="00C711E7" w:rsidRDefault="00225774" w:rsidP="0037720C">
            <w:pPr>
              <w:spacing w:before="60" w:after="40" w:line="288" w:lineRule="auto"/>
              <w:ind w:firstLine="0"/>
              <w:jc w:val="center"/>
              <w:rPr>
                <w:rFonts w:cs="Tahoma"/>
                <w:sz w:val="20"/>
                <w:szCs w:val="20"/>
              </w:rPr>
            </w:pPr>
            <w:r w:rsidRPr="00C711E7">
              <w:rPr>
                <w:rFonts w:cs="Tahoma"/>
                <w:sz w:val="20"/>
                <w:szCs w:val="20"/>
              </w:rPr>
              <w:t>5</w:t>
            </w:r>
          </w:p>
        </w:tc>
        <w:tc>
          <w:tcPr>
            <w:tcW w:w="3347" w:type="dxa"/>
            <w:tcBorders>
              <w:top w:val="single" w:sz="4" w:space="0" w:color="auto"/>
              <w:left w:val="single" w:sz="4" w:space="0" w:color="auto"/>
              <w:bottom w:val="dotted" w:sz="4" w:space="0" w:color="auto"/>
              <w:right w:val="single" w:sz="4" w:space="0" w:color="auto"/>
            </w:tcBorders>
            <w:vAlign w:val="center"/>
          </w:tcPr>
          <w:p w14:paraId="59D2670B" w14:textId="77777777" w:rsidR="00225774" w:rsidRPr="00C711E7" w:rsidRDefault="00225774" w:rsidP="0037720C">
            <w:pPr>
              <w:spacing w:before="60" w:after="40" w:line="288" w:lineRule="auto"/>
              <w:ind w:firstLine="0"/>
              <w:jc w:val="left"/>
              <w:rPr>
                <w:rFonts w:cs="Tahoma"/>
                <w:sz w:val="20"/>
                <w:szCs w:val="20"/>
              </w:rPr>
            </w:pPr>
            <w:r w:rsidRPr="00C711E7">
              <w:rPr>
                <w:rFonts w:cs="Tahoma"/>
                <w:sz w:val="20"/>
                <w:szCs w:val="20"/>
              </w:rPr>
              <w:t>Finansowanie</w:t>
            </w:r>
          </w:p>
        </w:tc>
        <w:tc>
          <w:tcPr>
            <w:tcW w:w="1277" w:type="dxa"/>
            <w:tcBorders>
              <w:top w:val="single" w:sz="4" w:space="0" w:color="auto"/>
              <w:left w:val="single" w:sz="4" w:space="0" w:color="auto"/>
              <w:bottom w:val="dotted" w:sz="4" w:space="0" w:color="auto"/>
              <w:right w:val="single" w:sz="4" w:space="0" w:color="auto"/>
            </w:tcBorders>
            <w:vAlign w:val="center"/>
          </w:tcPr>
          <w:p w14:paraId="77C80535" w14:textId="43D7AF9E" w:rsidR="00225774" w:rsidRPr="00C711E7" w:rsidRDefault="00060BF1" w:rsidP="0037720C">
            <w:pPr>
              <w:spacing w:before="60" w:after="40" w:line="288" w:lineRule="auto"/>
              <w:ind w:firstLine="0"/>
              <w:jc w:val="right"/>
              <w:rPr>
                <w:rFonts w:cs="Tahoma"/>
                <w:sz w:val="20"/>
                <w:szCs w:val="20"/>
              </w:rPr>
            </w:pPr>
            <w:r>
              <w:rPr>
                <w:rFonts w:cs="Tahoma"/>
                <w:sz w:val="20"/>
                <w:szCs w:val="20"/>
              </w:rPr>
              <w:t>131,53</w:t>
            </w:r>
          </w:p>
        </w:tc>
        <w:tc>
          <w:tcPr>
            <w:tcW w:w="1278" w:type="dxa"/>
            <w:tcBorders>
              <w:top w:val="single" w:sz="4" w:space="0" w:color="auto"/>
              <w:left w:val="single" w:sz="4" w:space="0" w:color="auto"/>
              <w:bottom w:val="dotted" w:sz="4" w:space="0" w:color="auto"/>
              <w:right w:val="single" w:sz="4" w:space="0" w:color="auto"/>
            </w:tcBorders>
            <w:vAlign w:val="center"/>
          </w:tcPr>
          <w:p w14:paraId="4F7CB7E4" w14:textId="447922B4" w:rsidR="00225774" w:rsidRPr="00C711E7" w:rsidRDefault="00060BF1" w:rsidP="0037720C">
            <w:pPr>
              <w:spacing w:before="60" w:after="40" w:line="288" w:lineRule="auto"/>
              <w:ind w:firstLine="0"/>
              <w:jc w:val="right"/>
              <w:rPr>
                <w:rFonts w:cs="Tahoma"/>
                <w:sz w:val="20"/>
                <w:szCs w:val="20"/>
              </w:rPr>
            </w:pPr>
            <w:r>
              <w:rPr>
                <w:rFonts w:cs="Tahoma"/>
                <w:sz w:val="20"/>
                <w:szCs w:val="20"/>
              </w:rPr>
              <w:t>148,41</w:t>
            </w:r>
          </w:p>
        </w:tc>
        <w:tc>
          <w:tcPr>
            <w:tcW w:w="1278" w:type="dxa"/>
            <w:tcBorders>
              <w:top w:val="single" w:sz="4" w:space="0" w:color="auto"/>
              <w:left w:val="single" w:sz="4" w:space="0" w:color="auto"/>
              <w:bottom w:val="dotted" w:sz="4" w:space="0" w:color="auto"/>
              <w:right w:val="single" w:sz="4" w:space="0" w:color="auto"/>
            </w:tcBorders>
            <w:shd w:val="clear" w:color="auto" w:fill="auto"/>
            <w:vAlign w:val="center"/>
          </w:tcPr>
          <w:p w14:paraId="7EA7868F" w14:textId="76353937" w:rsidR="00225774" w:rsidRPr="00C711E7" w:rsidRDefault="00060BF1" w:rsidP="0037720C">
            <w:pPr>
              <w:spacing w:before="60" w:after="40" w:line="288" w:lineRule="auto"/>
              <w:ind w:firstLine="0"/>
              <w:jc w:val="right"/>
              <w:rPr>
                <w:rFonts w:cs="Tahoma"/>
                <w:sz w:val="20"/>
                <w:szCs w:val="20"/>
              </w:rPr>
            </w:pPr>
            <w:r>
              <w:rPr>
                <w:rFonts w:cs="Tahoma"/>
                <w:sz w:val="20"/>
                <w:szCs w:val="20"/>
              </w:rPr>
              <w:t>185,17</w:t>
            </w:r>
          </w:p>
        </w:tc>
        <w:tc>
          <w:tcPr>
            <w:tcW w:w="1278" w:type="dxa"/>
            <w:tcBorders>
              <w:top w:val="single" w:sz="4" w:space="0" w:color="auto"/>
              <w:left w:val="single" w:sz="4" w:space="0" w:color="auto"/>
              <w:bottom w:val="dotted" w:sz="4" w:space="0" w:color="auto"/>
              <w:right w:val="single" w:sz="4" w:space="0" w:color="auto"/>
            </w:tcBorders>
            <w:vAlign w:val="center"/>
          </w:tcPr>
          <w:p w14:paraId="7BE208E4" w14:textId="72E0ED69" w:rsidR="00225774" w:rsidRPr="00C711E7" w:rsidRDefault="00060BF1" w:rsidP="0037720C">
            <w:pPr>
              <w:spacing w:before="60" w:after="40" w:line="288" w:lineRule="auto"/>
              <w:ind w:firstLine="0"/>
              <w:jc w:val="right"/>
              <w:rPr>
                <w:rFonts w:cs="Tahoma"/>
                <w:sz w:val="20"/>
                <w:szCs w:val="20"/>
              </w:rPr>
            </w:pPr>
            <w:r>
              <w:rPr>
                <w:rFonts w:cs="Tahoma"/>
                <w:sz w:val="20"/>
                <w:szCs w:val="20"/>
              </w:rPr>
              <w:t>185,13</w:t>
            </w:r>
          </w:p>
        </w:tc>
      </w:tr>
      <w:tr w:rsidR="00225774" w:rsidRPr="00C711E7" w14:paraId="40CC191D" w14:textId="77777777" w:rsidTr="002D2A53">
        <w:trPr>
          <w:cantSplit/>
          <w:jc w:val="center"/>
        </w:trPr>
        <w:tc>
          <w:tcPr>
            <w:tcW w:w="614" w:type="dxa"/>
            <w:tcBorders>
              <w:top w:val="dotted" w:sz="4" w:space="0" w:color="auto"/>
              <w:left w:val="single" w:sz="4" w:space="0" w:color="auto"/>
              <w:bottom w:val="dotted" w:sz="4" w:space="0" w:color="auto"/>
              <w:right w:val="single" w:sz="4" w:space="0" w:color="auto"/>
            </w:tcBorders>
            <w:vAlign w:val="center"/>
          </w:tcPr>
          <w:p w14:paraId="1893E46A" w14:textId="77777777" w:rsidR="00225774" w:rsidRPr="00C711E7" w:rsidRDefault="00225774" w:rsidP="0037720C">
            <w:pPr>
              <w:spacing w:before="60" w:after="40" w:line="288" w:lineRule="auto"/>
              <w:ind w:firstLine="0"/>
              <w:jc w:val="center"/>
              <w:rPr>
                <w:rFonts w:cs="Tahoma"/>
                <w:sz w:val="20"/>
                <w:szCs w:val="20"/>
              </w:rPr>
            </w:pPr>
            <w:r w:rsidRPr="00C711E7">
              <w:rPr>
                <w:rFonts w:cs="Tahoma"/>
                <w:sz w:val="20"/>
                <w:szCs w:val="20"/>
              </w:rPr>
              <w:t>5a</w:t>
            </w:r>
          </w:p>
        </w:tc>
        <w:tc>
          <w:tcPr>
            <w:tcW w:w="3347" w:type="dxa"/>
            <w:tcBorders>
              <w:top w:val="dotted" w:sz="4" w:space="0" w:color="auto"/>
              <w:left w:val="single" w:sz="4" w:space="0" w:color="auto"/>
              <w:bottom w:val="dotted" w:sz="4" w:space="0" w:color="auto"/>
              <w:right w:val="single" w:sz="4" w:space="0" w:color="auto"/>
            </w:tcBorders>
            <w:vAlign w:val="center"/>
          </w:tcPr>
          <w:p w14:paraId="7CAE6FE6" w14:textId="37DA2F46" w:rsidR="00225774" w:rsidRPr="00C711E7" w:rsidRDefault="00225774" w:rsidP="0037720C">
            <w:pPr>
              <w:spacing w:before="60" w:after="40" w:line="288" w:lineRule="auto"/>
              <w:ind w:firstLine="0"/>
              <w:jc w:val="left"/>
              <w:rPr>
                <w:rFonts w:cs="Tahoma"/>
                <w:sz w:val="20"/>
                <w:szCs w:val="20"/>
              </w:rPr>
            </w:pPr>
            <w:r w:rsidRPr="00C711E7">
              <w:rPr>
                <w:rFonts w:cs="Tahoma"/>
                <w:sz w:val="20"/>
                <w:szCs w:val="20"/>
              </w:rPr>
              <w:softHyphen/>
              <w:t>– w tym przychody</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4B07D000" w14:textId="3A00CDDB" w:rsidR="00225774" w:rsidRPr="00C711E7" w:rsidRDefault="00060BF1" w:rsidP="0037720C">
            <w:pPr>
              <w:spacing w:before="60" w:after="40" w:line="288" w:lineRule="auto"/>
              <w:ind w:firstLine="0"/>
              <w:jc w:val="right"/>
              <w:rPr>
                <w:rFonts w:cs="Tahoma"/>
                <w:sz w:val="20"/>
                <w:szCs w:val="20"/>
              </w:rPr>
            </w:pPr>
            <w:r>
              <w:rPr>
                <w:rFonts w:cs="Tahoma"/>
                <w:sz w:val="20"/>
                <w:szCs w:val="20"/>
              </w:rPr>
              <w:t>170,89</w:t>
            </w:r>
          </w:p>
        </w:tc>
        <w:tc>
          <w:tcPr>
            <w:tcW w:w="1278" w:type="dxa"/>
            <w:tcBorders>
              <w:top w:val="dotted" w:sz="4" w:space="0" w:color="auto"/>
              <w:left w:val="single" w:sz="4" w:space="0" w:color="auto"/>
              <w:bottom w:val="dotted" w:sz="4" w:space="0" w:color="auto"/>
              <w:right w:val="single" w:sz="4" w:space="0" w:color="auto"/>
            </w:tcBorders>
            <w:vAlign w:val="center"/>
          </w:tcPr>
          <w:p w14:paraId="05C37D2D" w14:textId="4BE61603" w:rsidR="00225774" w:rsidRPr="00C711E7" w:rsidRDefault="00060BF1" w:rsidP="0037720C">
            <w:pPr>
              <w:spacing w:before="60" w:after="40" w:line="288" w:lineRule="auto"/>
              <w:ind w:firstLine="0"/>
              <w:jc w:val="right"/>
              <w:rPr>
                <w:rFonts w:cs="Tahoma"/>
                <w:sz w:val="20"/>
                <w:szCs w:val="20"/>
              </w:rPr>
            </w:pPr>
            <w:r>
              <w:rPr>
                <w:rFonts w:cs="Tahoma"/>
                <w:sz w:val="20"/>
                <w:szCs w:val="20"/>
              </w:rPr>
              <w:t>199,76</w:t>
            </w:r>
          </w:p>
        </w:tc>
        <w:tc>
          <w:tcPr>
            <w:tcW w:w="1278" w:type="dxa"/>
            <w:tcBorders>
              <w:top w:val="dotted" w:sz="4" w:space="0" w:color="auto"/>
              <w:left w:val="single" w:sz="4" w:space="0" w:color="auto"/>
              <w:bottom w:val="dotted" w:sz="4" w:space="0" w:color="auto"/>
              <w:right w:val="single" w:sz="4" w:space="0" w:color="auto"/>
            </w:tcBorders>
            <w:shd w:val="clear" w:color="auto" w:fill="auto"/>
            <w:vAlign w:val="center"/>
          </w:tcPr>
          <w:p w14:paraId="37A5CD69" w14:textId="54E7478E" w:rsidR="00225774" w:rsidRPr="00C711E7" w:rsidRDefault="00060BF1" w:rsidP="0037720C">
            <w:pPr>
              <w:spacing w:before="60" w:after="40" w:line="288" w:lineRule="auto"/>
              <w:ind w:firstLine="0"/>
              <w:jc w:val="right"/>
              <w:rPr>
                <w:rFonts w:cs="Tahoma"/>
                <w:sz w:val="20"/>
                <w:szCs w:val="20"/>
              </w:rPr>
            </w:pPr>
            <w:r>
              <w:rPr>
                <w:rFonts w:cs="Tahoma"/>
                <w:sz w:val="20"/>
                <w:szCs w:val="20"/>
              </w:rPr>
              <w:t>223,96</w:t>
            </w:r>
          </w:p>
        </w:tc>
        <w:tc>
          <w:tcPr>
            <w:tcW w:w="1278" w:type="dxa"/>
            <w:tcBorders>
              <w:top w:val="dotted" w:sz="4" w:space="0" w:color="auto"/>
              <w:left w:val="single" w:sz="4" w:space="0" w:color="auto"/>
              <w:bottom w:val="dotted" w:sz="4" w:space="0" w:color="auto"/>
              <w:right w:val="single" w:sz="4" w:space="0" w:color="auto"/>
            </w:tcBorders>
            <w:vAlign w:val="center"/>
          </w:tcPr>
          <w:p w14:paraId="6EC61979" w14:textId="47B103F4" w:rsidR="00225774" w:rsidRPr="00C711E7" w:rsidRDefault="00060BF1" w:rsidP="0037720C">
            <w:pPr>
              <w:spacing w:before="60" w:after="40" w:line="288" w:lineRule="auto"/>
              <w:ind w:firstLine="0"/>
              <w:jc w:val="right"/>
              <w:rPr>
                <w:rFonts w:cs="Tahoma"/>
                <w:sz w:val="20"/>
                <w:szCs w:val="20"/>
              </w:rPr>
            </w:pPr>
            <w:r>
              <w:rPr>
                <w:rFonts w:cs="Tahoma"/>
                <w:sz w:val="20"/>
                <w:szCs w:val="20"/>
              </w:rPr>
              <w:t>193,32</w:t>
            </w:r>
          </w:p>
        </w:tc>
      </w:tr>
      <w:tr w:rsidR="00225774" w:rsidRPr="00C711E7" w14:paraId="4513ABA7" w14:textId="77777777" w:rsidTr="002D2A53">
        <w:trPr>
          <w:cantSplit/>
          <w:jc w:val="center"/>
        </w:trPr>
        <w:tc>
          <w:tcPr>
            <w:tcW w:w="614" w:type="dxa"/>
            <w:tcBorders>
              <w:top w:val="dotted" w:sz="4" w:space="0" w:color="auto"/>
              <w:left w:val="single" w:sz="4" w:space="0" w:color="auto"/>
              <w:bottom w:val="single" w:sz="4" w:space="0" w:color="auto"/>
              <w:right w:val="single" w:sz="4" w:space="0" w:color="auto"/>
            </w:tcBorders>
            <w:vAlign w:val="center"/>
          </w:tcPr>
          <w:p w14:paraId="70EC4593" w14:textId="77777777" w:rsidR="00225774" w:rsidRPr="00C711E7" w:rsidRDefault="00225774" w:rsidP="0037720C">
            <w:pPr>
              <w:spacing w:before="60" w:after="40" w:line="288" w:lineRule="auto"/>
              <w:ind w:firstLine="0"/>
              <w:jc w:val="center"/>
              <w:rPr>
                <w:rFonts w:cs="Tahoma"/>
                <w:sz w:val="20"/>
                <w:szCs w:val="20"/>
              </w:rPr>
            </w:pPr>
            <w:r w:rsidRPr="00C711E7">
              <w:rPr>
                <w:rFonts w:cs="Tahoma"/>
                <w:sz w:val="20"/>
                <w:szCs w:val="20"/>
              </w:rPr>
              <w:t>5b</w:t>
            </w:r>
          </w:p>
        </w:tc>
        <w:tc>
          <w:tcPr>
            <w:tcW w:w="3347" w:type="dxa"/>
            <w:tcBorders>
              <w:top w:val="dotted" w:sz="4" w:space="0" w:color="auto"/>
              <w:left w:val="single" w:sz="4" w:space="0" w:color="auto"/>
              <w:bottom w:val="single" w:sz="4" w:space="0" w:color="auto"/>
              <w:right w:val="single" w:sz="4" w:space="0" w:color="auto"/>
            </w:tcBorders>
            <w:vAlign w:val="center"/>
          </w:tcPr>
          <w:p w14:paraId="333602A7" w14:textId="48547489" w:rsidR="00225774" w:rsidRPr="00C711E7" w:rsidRDefault="00225774" w:rsidP="0037720C">
            <w:pPr>
              <w:spacing w:before="60" w:after="40" w:line="288" w:lineRule="auto"/>
              <w:ind w:firstLine="0"/>
              <w:jc w:val="left"/>
              <w:rPr>
                <w:rFonts w:cs="Tahoma"/>
                <w:sz w:val="20"/>
                <w:szCs w:val="20"/>
              </w:rPr>
            </w:pPr>
            <w:r w:rsidRPr="00C711E7">
              <w:rPr>
                <w:rFonts w:cs="Tahoma"/>
                <w:sz w:val="20"/>
                <w:szCs w:val="20"/>
              </w:rPr>
              <w:softHyphen/>
              <w:t>– w tym rozchody</w:t>
            </w:r>
          </w:p>
        </w:tc>
        <w:tc>
          <w:tcPr>
            <w:tcW w:w="1277" w:type="dxa"/>
            <w:tcBorders>
              <w:top w:val="dotted" w:sz="4" w:space="0" w:color="auto"/>
              <w:left w:val="single" w:sz="4" w:space="0" w:color="auto"/>
              <w:bottom w:val="single" w:sz="4" w:space="0" w:color="auto"/>
              <w:right w:val="single" w:sz="4" w:space="0" w:color="auto"/>
            </w:tcBorders>
            <w:shd w:val="clear" w:color="auto" w:fill="auto"/>
            <w:vAlign w:val="center"/>
          </w:tcPr>
          <w:p w14:paraId="3A108A06" w14:textId="6CF17AA9" w:rsidR="00225774" w:rsidRPr="00C711E7" w:rsidRDefault="00060BF1" w:rsidP="0037720C">
            <w:pPr>
              <w:spacing w:before="60" w:after="40" w:line="288" w:lineRule="auto"/>
              <w:ind w:firstLine="0"/>
              <w:jc w:val="right"/>
              <w:rPr>
                <w:rFonts w:cs="Tahoma"/>
                <w:sz w:val="20"/>
                <w:szCs w:val="20"/>
              </w:rPr>
            </w:pPr>
            <w:r>
              <w:rPr>
                <w:rFonts w:cs="Tahoma"/>
                <w:sz w:val="20"/>
                <w:szCs w:val="20"/>
              </w:rPr>
              <w:t>39,36</w:t>
            </w:r>
          </w:p>
        </w:tc>
        <w:tc>
          <w:tcPr>
            <w:tcW w:w="1278" w:type="dxa"/>
            <w:tcBorders>
              <w:top w:val="dotted" w:sz="4" w:space="0" w:color="auto"/>
              <w:left w:val="single" w:sz="4" w:space="0" w:color="auto"/>
              <w:bottom w:val="single" w:sz="4" w:space="0" w:color="auto"/>
              <w:right w:val="single" w:sz="4" w:space="0" w:color="auto"/>
            </w:tcBorders>
            <w:vAlign w:val="center"/>
          </w:tcPr>
          <w:p w14:paraId="278BDB5A" w14:textId="06FB8921" w:rsidR="00225774" w:rsidRPr="00C711E7" w:rsidRDefault="00060BF1" w:rsidP="0037720C">
            <w:pPr>
              <w:spacing w:before="60" w:after="40" w:line="288" w:lineRule="auto"/>
              <w:ind w:firstLine="0"/>
              <w:jc w:val="right"/>
              <w:rPr>
                <w:rFonts w:cs="Tahoma"/>
                <w:sz w:val="20"/>
                <w:szCs w:val="20"/>
              </w:rPr>
            </w:pPr>
            <w:r>
              <w:rPr>
                <w:rFonts w:cs="Tahoma"/>
                <w:sz w:val="20"/>
                <w:szCs w:val="20"/>
              </w:rPr>
              <w:t>51,35</w:t>
            </w:r>
          </w:p>
        </w:tc>
        <w:tc>
          <w:tcPr>
            <w:tcW w:w="1278" w:type="dxa"/>
            <w:tcBorders>
              <w:top w:val="dotted" w:sz="4" w:space="0" w:color="auto"/>
              <w:left w:val="single" w:sz="4" w:space="0" w:color="auto"/>
              <w:bottom w:val="single" w:sz="4" w:space="0" w:color="auto"/>
              <w:right w:val="single" w:sz="4" w:space="0" w:color="auto"/>
            </w:tcBorders>
            <w:shd w:val="clear" w:color="auto" w:fill="auto"/>
            <w:vAlign w:val="center"/>
          </w:tcPr>
          <w:p w14:paraId="3B6AD700" w14:textId="7AC86178" w:rsidR="00225774" w:rsidRPr="00C711E7" w:rsidRDefault="00060BF1" w:rsidP="0037720C">
            <w:pPr>
              <w:spacing w:before="60" w:after="40" w:line="288" w:lineRule="auto"/>
              <w:ind w:firstLine="0"/>
              <w:jc w:val="right"/>
              <w:rPr>
                <w:rFonts w:cs="Tahoma"/>
                <w:sz w:val="20"/>
                <w:szCs w:val="20"/>
              </w:rPr>
            </w:pPr>
            <w:r>
              <w:rPr>
                <w:rFonts w:cs="Tahoma"/>
                <w:sz w:val="20"/>
                <w:szCs w:val="20"/>
              </w:rPr>
              <w:t>38,79</w:t>
            </w:r>
          </w:p>
        </w:tc>
        <w:tc>
          <w:tcPr>
            <w:tcW w:w="1278" w:type="dxa"/>
            <w:tcBorders>
              <w:top w:val="dotted" w:sz="4" w:space="0" w:color="auto"/>
              <w:left w:val="single" w:sz="4" w:space="0" w:color="auto"/>
              <w:bottom w:val="single" w:sz="4" w:space="0" w:color="auto"/>
              <w:right w:val="single" w:sz="4" w:space="0" w:color="auto"/>
            </w:tcBorders>
            <w:vAlign w:val="center"/>
          </w:tcPr>
          <w:p w14:paraId="0CC6E389" w14:textId="7450386B" w:rsidR="00225774" w:rsidRPr="00C711E7" w:rsidRDefault="00060BF1" w:rsidP="0037720C">
            <w:pPr>
              <w:spacing w:before="60" w:after="40" w:line="288" w:lineRule="auto"/>
              <w:ind w:firstLine="0"/>
              <w:jc w:val="right"/>
              <w:rPr>
                <w:rFonts w:cs="Tahoma"/>
                <w:sz w:val="20"/>
                <w:szCs w:val="20"/>
              </w:rPr>
            </w:pPr>
            <w:r>
              <w:rPr>
                <w:rFonts w:cs="Tahoma"/>
                <w:sz w:val="20"/>
                <w:szCs w:val="20"/>
              </w:rPr>
              <w:t>8,19</w:t>
            </w:r>
          </w:p>
        </w:tc>
      </w:tr>
    </w:tbl>
    <w:p w14:paraId="64E06960" w14:textId="084C4BAE" w:rsidR="0037720C" w:rsidRDefault="0037720C" w:rsidP="0037720C">
      <w:pPr>
        <w:spacing w:before="120"/>
        <w:ind w:firstLine="0"/>
        <w:jc w:val="left"/>
        <w:rPr>
          <w:rFonts w:cs="Tahoma"/>
          <w:sz w:val="20"/>
          <w:szCs w:val="20"/>
        </w:rPr>
      </w:pPr>
      <w:r>
        <w:rPr>
          <w:rFonts w:cs="Tahoma"/>
          <w:sz w:val="20"/>
          <w:szCs w:val="20"/>
        </w:rPr>
        <w:t xml:space="preserve">* </w:t>
      </w:r>
      <w:r w:rsidR="007F019A">
        <w:rPr>
          <w:rFonts w:cs="Tahoma"/>
          <w:sz w:val="20"/>
          <w:szCs w:val="20"/>
        </w:rPr>
        <w:t xml:space="preserve">– </w:t>
      </w:r>
      <w:r>
        <w:rPr>
          <w:rFonts w:cs="Tahoma"/>
          <w:sz w:val="20"/>
          <w:szCs w:val="20"/>
        </w:rPr>
        <w:t>na podstawie Informacji o przebiegu wykonania budżetu Miasta Rzeszowa za I półrocze 2021 r.</w:t>
      </w:r>
    </w:p>
    <w:p w14:paraId="1EACF7F1" w14:textId="471EB1DA" w:rsidR="000C512A" w:rsidRPr="00821AF6" w:rsidRDefault="000C512A" w:rsidP="0037720C">
      <w:pPr>
        <w:spacing w:after="240"/>
        <w:ind w:firstLine="0"/>
        <w:jc w:val="left"/>
        <w:rPr>
          <w:rFonts w:cs="Tahoma"/>
          <w:sz w:val="20"/>
          <w:szCs w:val="20"/>
        </w:rPr>
      </w:pPr>
      <w:r w:rsidRPr="00C711E7">
        <w:rPr>
          <w:rFonts w:cs="Tahoma"/>
          <w:sz w:val="20"/>
          <w:szCs w:val="20"/>
        </w:rPr>
        <w:t xml:space="preserve">Źródło: </w:t>
      </w:r>
      <w:r w:rsidR="0037720C">
        <w:rPr>
          <w:rFonts w:cs="Tahoma"/>
          <w:sz w:val="20"/>
          <w:szCs w:val="20"/>
        </w:rPr>
        <w:t xml:space="preserve">dane ZTM w Rzeszowie, </w:t>
      </w:r>
      <w:r w:rsidR="00342624">
        <w:rPr>
          <w:rFonts w:cs="Tahoma"/>
          <w:sz w:val="20"/>
          <w:szCs w:val="20"/>
        </w:rPr>
        <w:t>bip.</w:t>
      </w:r>
      <w:r w:rsidR="0037720C">
        <w:rPr>
          <w:rFonts w:cs="Tahoma"/>
          <w:sz w:val="20"/>
          <w:szCs w:val="20"/>
        </w:rPr>
        <w:t>rzeszow</w:t>
      </w:r>
      <w:r w:rsidR="00342624">
        <w:rPr>
          <w:rFonts w:cs="Tahoma"/>
          <w:sz w:val="20"/>
          <w:szCs w:val="20"/>
        </w:rPr>
        <w:t>.pl</w:t>
      </w:r>
      <w:r w:rsidR="00F27402" w:rsidRPr="00C711E7">
        <w:rPr>
          <w:rFonts w:cs="Tahoma"/>
          <w:sz w:val="20"/>
          <w:szCs w:val="20"/>
        </w:rPr>
        <w:t>, dostęp</w:t>
      </w:r>
      <w:r w:rsidR="00941AA5" w:rsidRPr="00C711E7">
        <w:rPr>
          <w:rFonts w:cs="Tahoma"/>
          <w:sz w:val="20"/>
          <w:szCs w:val="20"/>
        </w:rPr>
        <w:t>:</w:t>
      </w:r>
      <w:r w:rsidR="00F27402" w:rsidRPr="00C711E7">
        <w:rPr>
          <w:rFonts w:cs="Tahoma"/>
          <w:sz w:val="20"/>
          <w:szCs w:val="20"/>
        </w:rPr>
        <w:t xml:space="preserve"> </w:t>
      </w:r>
      <w:r w:rsidR="00C711E7" w:rsidRPr="00C711E7">
        <w:rPr>
          <w:rFonts w:cs="Tahoma"/>
          <w:sz w:val="20"/>
          <w:szCs w:val="20"/>
        </w:rPr>
        <w:t>20.</w:t>
      </w:r>
      <w:r w:rsidR="0037720C">
        <w:rPr>
          <w:rFonts w:cs="Tahoma"/>
          <w:sz w:val="20"/>
          <w:szCs w:val="20"/>
        </w:rPr>
        <w:t>11</w:t>
      </w:r>
      <w:r w:rsidR="0054129D" w:rsidRPr="00C711E7">
        <w:rPr>
          <w:rFonts w:cs="Tahoma"/>
          <w:sz w:val="20"/>
          <w:szCs w:val="20"/>
        </w:rPr>
        <w:t>.2021</w:t>
      </w:r>
      <w:r w:rsidRPr="00C711E7">
        <w:rPr>
          <w:rFonts w:cs="Tahoma"/>
          <w:sz w:val="20"/>
          <w:szCs w:val="20"/>
        </w:rPr>
        <w:t xml:space="preserve"> r.</w:t>
      </w:r>
    </w:p>
    <w:p w14:paraId="115F8D1F" w14:textId="05F841D6" w:rsidR="004B3835" w:rsidRDefault="004B7CAC" w:rsidP="00D9209B">
      <w:pPr>
        <w:rPr>
          <w:rFonts w:cs="Tahoma"/>
          <w:bCs/>
          <w:szCs w:val="22"/>
        </w:rPr>
      </w:pPr>
      <w:r>
        <w:rPr>
          <w:rFonts w:cs="Tahoma"/>
          <w:bCs/>
          <w:szCs w:val="22"/>
        </w:rPr>
        <w:t>Miasto</w:t>
      </w:r>
      <w:r w:rsidR="004B3835">
        <w:rPr>
          <w:rFonts w:cs="Tahoma"/>
          <w:bCs/>
          <w:szCs w:val="22"/>
        </w:rPr>
        <w:t xml:space="preserve"> </w:t>
      </w:r>
      <w:r w:rsidR="00C73F5E">
        <w:rPr>
          <w:rFonts w:cs="Tahoma"/>
          <w:bCs/>
          <w:szCs w:val="22"/>
        </w:rPr>
        <w:t xml:space="preserve">Rzeszów </w:t>
      </w:r>
      <w:r w:rsidR="004B3835">
        <w:rPr>
          <w:rFonts w:cs="Tahoma"/>
          <w:bCs/>
          <w:szCs w:val="22"/>
        </w:rPr>
        <w:t>wykazuje zdolność do dalszego przekazywania</w:t>
      </w:r>
      <w:r>
        <w:rPr>
          <w:rFonts w:cs="Tahoma"/>
          <w:bCs/>
          <w:szCs w:val="22"/>
        </w:rPr>
        <w:t xml:space="preserve"> </w:t>
      </w:r>
      <w:r w:rsidR="00C73F5E">
        <w:rPr>
          <w:rFonts w:cs="Tahoma"/>
          <w:bCs/>
          <w:szCs w:val="22"/>
        </w:rPr>
        <w:t>MPK</w:t>
      </w:r>
      <w:r w:rsidR="006D2BD2">
        <w:rPr>
          <w:rFonts w:cs="Tahoma"/>
          <w:bCs/>
          <w:szCs w:val="22"/>
        </w:rPr>
        <w:t>-Rzeszów</w:t>
      </w:r>
      <w:r w:rsidR="00C73F5E">
        <w:rPr>
          <w:rFonts w:cs="Tahoma"/>
          <w:bCs/>
          <w:szCs w:val="22"/>
        </w:rPr>
        <w:t xml:space="preserve"> </w:t>
      </w:r>
      <w:r>
        <w:rPr>
          <w:rFonts w:cs="Tahoma"/>
          <w:bCs/>
          <w:szCs w:val="22"/>
        </w:rPr>
        <w:t>sp. z o.o.</w:t>
      </w:r>
      <w:r w:rsidR="004B3835">
        <w:rPr>
          <w:rFonts w:cs="Tahoma"/>
          <w:bCs/>
          <w:szCs w:val="22"/>
        </w:rPr>
        <w:t xml:space="preserve"> środków finansowych w wysokości pozwalającej na funkcjonowanie komunikacji miejskiej w</w:t>
      </w:r>
      <w:r w:rsidR="007F019A">
        <w:rPr>
          <w:rFonts w:cs="Tahoma"/>
          <w:bCs/>
          <w:szCs w:val="22"/>
        </w:rPr>
        <w:t> </w:t>
      </w:r>
      <w:r w:rsidR="004B3835">
        <w:rPr>
          <w:rFonts w:cs="Tahoma"/>
          <w:bCs/>
          <w:szCs w:val="22"/>
        </w:rPr>
        <w:t xml:space="preserve">obecnym zakresie. </w:t>
      </w:r>
      <w:r w:rsidR="004B3835" w:rsidRPr="004B3835">
        <w:rPr>
          <w:rFonts w:cs="Tahoma"/>
          <w:bCs/>
          <w:szCs w:val="22"/>
        </w:rPr>
        <w:t>Realizowanie programu odnowy taboru w wariancie konwencjonalnym</w:t>
      </w:r>
      <w:r w:rsidR="004B3835">
        <w:rPr>
          <w:rFonts w:cs="Tahoma"/>
          <w:bCs/>
          <w:szCs w:val="22"/>
        </w:rPr>
        <w:t xml:space="preserve"> </w:t>
      </w:r>
      <w:r>
        <w:rPr>
          <w:rFonts w:cs="Tahoma"/>
          <w:bCs/>
          <w:szCs w:val="22"/>
        </w:rPr>
        <w:t xml:space="preserve">wymagać będzie jednak od Miasta poniesienia </w:t>
      </w:r>
      <w:r w:rsidR="00D9209B">
        <w:rPr>
          <w:rFonts w:cs="Tahoma"/>
          <w:bCs/>
          <w:szCs w:val="22"/>
        </w:rPr>
        <w:t xml:space="preserve">istotnych </w:t>
      </w:r>
      <w:r>
        <w:rPr>
          <w:rFonts w:cs="Tahoma"/>
          <w:bCs/>
          <w:szCs w:val="22"/>
        </w:rPr>
        <w:t>wydatków majątkowych w zakresie lokalnego transportu zbiorowego.</w:t>
      </w:r>
    </w:p>
    <w:p w14:paraId="143D7129" w14:textId="0C379A69" w:rsidR="00C038F4" w:rsidRDefault="00C038F4" w:rsidP="00D9209B">
      <w:pPr>
        <w:rPr>
          <w:rFonts w:cs="Tahoma"/>
          <w:bCs/>
          <w:szCs w:val="22"/>
        </w:rPr>
      </w:pPr>
      <w:r w:rsidRPr="00821AF6">
        <w:rPr>
          <w:rFonts w:cs="Tahoma"/>
          <w:bCs/>
          <w:szCs w:val="22"/>
        </w:rPr>
        <w:t>W ostatni</w:t>
      </w:r>
      <w:r>
        <w:rPr>
          <w:rFonts w:cs="Tahoma"/>
          <w:bCs/>
          <w:szCs w:val="22"/>
        </w:rPr>
        <w:t>ch kilku latach</w:t>
      </w:r>
      <w:r w:rsidRPr="00821AF6">
        <w:rPr>
          <w:rFonts w:cs="Tahoma"/>
          <w:bCs/>
          <w:szCs w:val="22"/>
        </w:rPr>
        <w:t xml:space="preserve"> </w:t>
      </w:r>
      <w:r>
        <w:rPr>
          <w:rFonts w:cs="Tahoma"/>
          <w:bCs/>
          <w:szCs w:val="22"/>
        </w:rPr>
        <w:t>Miasto ponosiło znaczące</w:t>
      </w:r>
      <w:r w:rsidRPr="00821AF6">
        <w:rPr>
          <w:rFonts w:cs="Tahoma"/>
          <w:bCs/>
          <w:szCs w:val="22"/>
        </w:rPr>
        <w:t xml:space="preserve"> wydatki </w:t>
      </w:r>
      <w:r>
        <w:rPr>
          <w:rFonts w:cs="Tahoma"/>
          <w:bCs/>
          <w:szCs w:val="22"/>
        </w:rPr>
        <w:t xml:space="preserve">inwestycyjne </w:t>
      </w:r>
      <w:r w:rsidRPr="00821AF6">
        <w:rPr>
          <w:rFonts w:cs="Tahoma"/>
          <w:bCs/>
          <w:szCs w:val="22"/>
        </w:rPr>
        <w:t xml:space="preserve">na </w:t>
      </w:r>
      <w:r>
        <w:rPr>
          <w:rFonts w:cs="Tahoma"/>
          <w:bCs/>
          <w:szCs w:val="22"/>
        </w:rPr>
        <w:t xml:space="preserve">modernizację </w:t>
      </w:r>
      <w:r w:rsidRPr="00821AF6">
        <w:rPr>
          <w:rFonts w:cs="Tahoma"/>
          <w:bCs/>
          <w:szCs w:val="22"/>
        </w:rPr>
        <w:t>taboru</w:t>
      </w:r>
      <w:r>
        <w:rPr>
          <w:rFonts w:cs="Tahoma"/>
          <w:bCs/>
          <w:szCs w:val="22"/>
        </w:rPr>
        <w:t xml:space="preserve"> autobusowego, ze wsparciem środkami pomocowymi z Unii Europejskiej. </w:t>
      </w:r>
    </w:p>
    <w:p w14:paraId="45936321" w14:textId="5A2D954C" w:rsidR="00C038F4" w:rsidRDefault="00C038F4" w:rsidP="00D9209B">
      <w:pPr>
        <w:rPr>
          <w:rFonts w:cs="Tahoma"/>
          <w:bCs/>
          <w:szCs w:val="22"/>
        </w:rPr>
      </w:pPr>
      <w:r>
        <w:rPr>
          <w:rFonts w:cs="Tahoma"/>
          <w:bCs/>
          <w:szCs w:val="22"/>
        </w:rPr>
        <w:lastRenderedPageBreak/>
        <w:t>Obecna sytuacja finansowa Miasta pozwala na zrealizowanie przez Miasto inwestycji budowy stacji zasilania autobusów elektrycznych na pętlach autobusowych, dla spełnienia wymogów ustawy o elektromobilności</w:t>
      </w:r>
      <w:r w:rsidR="00123F7E">
        <w:rPr>
          <w:rFonts w:cs="Tahoma"/>
          <w:bCs/>
          <w:szCs w:val="22"/>
        </w:rPr>
        <w:t xml:space="preserve"> –</w:t>
      </w:r>
      <w:r>
        <w:rPr>
          <w:rFonts w:cs="Tahoma"/>
          <w:bCs/>
          <w:szCs w:val="22"/>
        </w:rPr>
        <w:t xml:space="preserve"> w okresie do końca 2027 r.</w:t>
      </w:r>
      <w:r w:rsidR="00123F7E">
        <w:rPr>
          <w:rFonts w:cs="Tahoma"/>
          <w:bCs/>
          <w:szCs w:val="22"/>
        </w:rPr>
        <w:t xml:space="preserve"> –</w:t>
      </w:r>
      <w:r>
        <w:rPr>
          <w:rFonts w:cs="Tahoma"/>
          <w:bCs/>
          <w:szCs w:val="22"/>
        </w:rPr>
        <w:t xml:space="preserve"> i ich udostępnienie operatorowi</w:t>
      </w:r>
      <w:r w:rsidR="00123F7E">
        <w:rPr>
          <w:rFonts w:cs="Tahoma"/>
          <w:bCs/>
          <w:szCs w:val="22"/>
        </w:rPr>
        <w:t xml:space="preserve">, </w:t>
      </w:r>
      <w:r>
        <w:rPr>
          <w:rFonts w:cs="Tahoma"/>
          <w:bCs/>
          <w:szCs w:val="22"/>
        </w:rPr>
        <w:t xml:space="preserve">podmiotowi wewnętrznemu. </w:t>
      </w:r>
      <w:r w:rsidR="004B3835">
        <w:rPr>
          <w:rFonts w:cs="Tahoma"/>
          <w:bCs/>
          <w:szCs w:val="22"/>
        </w:rPr>
        <w:t>W</w:t>
      </w:r>
      <w:r w:rsidR="004B3835" w:rsidRPr="004B3835">
        <w:rPr>
          <w:rFonts w:cs="Tahoma"/>
          <w:bCs/>
          <w:szCs w:val="22"/>
        </w:rPr>
        <w:t xml:space="preserve"> warian</w:t>
      </w:r>
      <w:r w:rsidR="004B3835">
        <w:rPr>
          <w:rFonts w:cs="Tahoma"/>
          <w:bCs/>
          <w:szCs w:val="22"/>
        </w:rPr>
        <w:t xml:space="preserve">tach </w:t>
      </w:r>
      <w:r w:rsidR="004B3835" w:rsidRPr="004B3835">
        <w:rPr>
          <w:rFonts w:cs="Tahoma"/>
          <w:bCs/>
          <w:szCs w:val="22"/>
        </w:rPr>
        <w:t>e</w:t>
      </w:r>
      <w:r w:rsidR="004B3835">
        <w:rPr>
          <w:rFonts w:cs="Tahoma"/>
          <w:bCs/>
          <w:szCs w:val="22"/>
        </w:rPr>
        <w:t>lektryczny</w:t>
      </w:r>
      <w:r w:rsidR="00D9209B">
        <w:rPr>
          <w:rFonts w:cs="Tahoma"/>
          <w:bCs/>
          <w:szCs w:val="22"/>
        </w:rPr>
        <w:t>m i wodorowym</w:t>
      </w:r>
      <w:r w:rsidR="004B3835" w:rsidRPr="004B3835">
        <w:rPr>
          <w:rFonts w:cs="Tahoma"/>
          <w:bCs/>
          <w:szCs w:val="22"/>
        </w:rPr>
        <w:t xml:space="preserve"> wydatki </w:t>
      </w:r>
      <w:r w:rsidR="004B7CAC">
        <w:rPr>
          <w:rFonts w:cs="Tahoma"/>
          <w:bCs/>
          <w:szCs w:val="22"/>
        </w:rPr>
        <w:t xml:space="preserve">Miasta </w:t>
      </w:r>
      <w:r w:rsidR="004B3835" w:rsidRPr="004B3835">
        <w:rPr>
          <w:rFonts w:cs="Tahoma"/>
          <w:bCs/>
          <w:szCs w:val="22"/>
        </w:rPr>
        <w:t>na</w:t>
      </w:r>
      <w:r>
        <w:rPr>
          <w:rFonts w:cs="Tahoma"/>
          <w:bCs/>
          <w:szCs w:val="22"/>
        </w:rPr>
        <w:t xml:space="preserve"> lokalny transport zbiorowy, związane z</w:t>
      </w:r>
      <w:r w:rsidR="004B3835" w:rsidRPr="004B3835">
        <w:rPr>
          <w:rFonts w:cs="Tahoma"/>
          <w:bCs/>
          <w:szCs w:val="22"/>
        </w:rPr>
        <w:t xml:space="preserve"> zakup</w:t>
      </w:r>
      <w:r>
        <w:rPr>
          <w:rFonts w:cs="Tahoma"/>
          <w:bCs/>
          <w:szCs w:val="22"/>
        </w:rPr>
        <w:t>em</w:t>
      </w:r>
      <w:r w:rsidR="004B3835" w:rsidRPr="004B3835">
        <w:rPr>
          <w:rFonts w:cs="Tahoma"/>
          <w:bCs/>
          <w:szCs w:val="22"/>
        </w:rPr>
        <w:t xml:space="preserve"> taboru </w:t>
      </w:r>
      <w:r w:rsidR="006B190F">
        <w:rPr>
          <w:rFonts w:cs="Tahoma"/>
          <w:bCs/>
          <w:szCs w:val="22"/>
        </w:rPr>
        <w:t>zeroemisyjnego</w:t>
      </w:r>
      <w:r w:rsidR="004B3835" w:rsidRPr="004B3835">
        <w:rPr>
          <w:rFonts w:cs="Tahoma"/>
          <w:bCs/>
          <w:szCs w:val="22"/>
        </w:rPr>
        <w:t xml:space="preserve"> </w:t>
      </w:r>
      <w:r w:rsidR="004B3835">
        <w:rPr>
          <w:rFonts w:cs="Tahoma"/>
          <w:bCs/>
          <w:szCs w:val="22"/>
        </w:rPr>
        <w:t xml:space="preserve">oraz </w:t>
      </w:r>
      <w:r w:rsidR="00D404E1">
        <w:rPr>
          <w:rFonts w:cs="Tahoma"/>
          <w:bCs/>
          <w:szCs w:val="22"/>
        </w:rPr>
        <w:t xml:space="preserve">z budową kosztownych przyłączy, instalacji i </w:t>
      </w:r>
      <w:r w:rsidR="004B3835">
        <w:rPr>
          <w:rFonts w:cs="Tahoma"/>
          <w:bCs/>
          <w:szCs w:val="22"/>
        </w:rPr>
        <w:t>ur</w:t>
      </w:r>
      <w:r w:rsidR="006B190F">
        <w:rPr>
          <w:rFonts w:cs="Tahoma"/>
          <w:bCs/>
          <w:szCs w:val="22"/>
        </w:rPr>
        <w:t>z</w:t>
      </w:r>
      <w:r w:rsidR="004B3835">
        <w:rPr>
          <w:rFonts w:cs="Tahoma"/>
          <w:bCs/>
          <w:szCs w:val="22"/>
        </w:rPr>
        <w:t>ądze</w:t>
      </w:r>
      <w:r w:rsidR="006B190F">
        <w:rPr>
          <w:rFonts w:cs="Tahoma"/>
          <w:bCs/>
          <w:szCs w:val="22"/>
        </w:rPr>
        <w:t>ń</w:t>
      </w:r>
      <w:r w:rsidR="004B3835">
        <w:rPr>
          <w:rFonts w:cs="Tahoma"/>
          <w:bCs/>
          <w:szCs w:val="22"/>
        </w:rPr>
        <w:t xml:space="preserve"> </w:t>
      </w:r>
      <w:r w:rsidR="00D404E1">
        <w:rPr>
          <w:rFonts w:cs="Tahoma"/>
          <w:bCs/>
          <w:szCs w:val="22"/>
        </w:rPr>
        <w:t>zasilających autobusy zeroemisyjne</w:t>
      </w:r>
      <w:r w:rsidR="004B7CAC">
        <w:rPr>
          <w:rFonts w:cs="Tahoma"/>
          <w:bCs/>
          <w:szCs w:val="22"/>
        </w:rPr>
        <w:t>,</w:t>
      </w:r>
      <w:r w:rsidR="004B7CAC" w:rsidRPr="004B7CAC">
        <w:rPr>
          <w:rFonts w:cs="Tahoma"/>
          <w:bCs/>
          <w:szCs w:val="22"/>
        </w:rPr>
        <w:t xml:space="preserve"> </w:t>
      </w:r>
      <w:r w:rsidR="004B7CAC">
        <w:rPr>
          <w:rFonts w:cs="Tahoma"/>
          <w:bCs/>
          <w:szCs w:val="22"/>
        </w:rPr>
        <w:t xml:space="preserve">byłyby </w:t>
      </w:r>
      <w:r>
        <w:rPr>
          <w:rFonts w:cs="Tahoma"/>
          <w:bCs/>
          <w:szCs w:val="22"/>
        </w:rPr>
        <w:t xml:space="preserve">jednak </w:t>
      </w:r>
      <w:r w:rsidR="00D9209B">
        <w:rPr>
          <w:rFonts w:cs="Tahoma"/>
          <w:bCs/>
          <w:szCs w:val="22"/>
        </w:rPr>
        <w:t>ponad dwukrotnie</w:t>
      </w:r>
      <w:r>
        <w:rPr>
          <w:rFonts w:cs="Tahoma"/>
          <w:bCs/>
          <w:szCs w:val="22"/>
        </w:rPr>
        <w:t xml:space="preserve"> wyższe niż w</w:t>
      </w:r>
      <w:r w:rsidR="004B7CAC">
        <w:rPr>
          <w:rFonts w:cs="Tahoma"/>
          <w:bCs/>
          <w:szCs w:val="22"/>
        </w:rPr>
        <w:t xml:space="preserve"> </w:t>
      </w:r>
      <w:r>
        <w:rPr>
          <w:rFonts w:cs="Tahoma"/>
          <w:bCs/>
          <w:szCs w:val="22"/>
        </w:rPr>
        <w:t>wariancie konwencjonalnym</w:t>
      </w:r>
      <w:r w:rsidR="004B7CAC">
        <w:rPr>
          <w:rFonts w:cs="Tahoma"/>
          <w:bCs/>
          <w:szCs w:val="22"/>
        </w:rPr>
        <w:t xml:space="preserve">. </w:t>
      </w:r>
      <w:r>
        <w:rPr>
          <w:rFonts w:cs="Tahoma"/>
          <w:bCs/>
          <w:szCs w:val="22"/>
        </w:rPr>
        <w:t>Wydatki na zakup taboru zeroemisyjnego wraz z</w:t>
      </w:r>
      <w:r w:rsidR="00123F7E">
        <w:rPr>
          <w:rFonts w:cs="Tahoma"/>
          <w:bCs/>
          <w:szCs w:val="22"/>
        </w:rPr>
        <w:t> </w:t>
      </w:r>
      <w:r>
        <w:rPr>
          <w:rFonts w:cs="Tahoma"/>
          <w:bCs/>
          <w:szCs w:val="22"/>
        </w:rPr>
        <w:t>instalacjami zasilającymi ponoszone wyłącznie przez Miasto</w:t>
      </w:r>
      <w:r w:rsidR="00D9209B" w:rsidRPr="00D9209B">
        <w:rPr>
          <w:rFonts w:cs="Tahoma"/>
          <w:bCs/>
          <w:szCs w:val="22"/>
        </w:rPr>
        <w:t xml:space="preserve"> </w:t>
      </w:r>
      <w:r w:rsidR="00D9209B">
        <w:rPr>
          <w:rFonts w:cs="Tahoma"/>
          <w:bCs/>
          <w:szCs w:val="22"/>
        </w:rPr>
        <w:t>byłyby bardzo wysokie</w:t>
      </w:r>
      <w:r w:rsidR="00123F7E">
        <w:rPr>
          <w:rFonts w:cs="Tahoma"/>
          <w:bCs/>
          <w:szCs w:val="22"/>
        </w:rPr>
        <w:t>,</w:t>
      </w:r>
      <w:r>
        <w:rPr>
          <w:rFonts w:cs="Tahoma"/>
          <w:bCs/>
          <w:szCs w:val="22"/>
        </w:rPr>
        <w:t xml:space="preserve"> </w:t>
      </w:r>
      <w:r w:rsidR="00D9209B">
        <w:rPr>
          <w:rFonts w:cs="Tahoma"/>
          <w:bCs/>
          <w:szCs w:val="22"/>
        </w:rPr>
        <w:t xml:space="preserve">i </w:t>
      </w:r>
      <w:r>
        <w:rPr>
          <w:rFonts w:cs="Tahoma"/>
          <w:bCs/>
          <w:szCs w:val="22"/>
        </w:rPr>
        <w:t>wydają się być nieuzasadnione.</w:t>
      </w:r>
    </w:p>
    <w:p w14:paraId="37A9B135" w14:textId="5CCEBAF3" w:rsidR="00C028ED" w:rsidRDefault="00C028ED" w:rsidP="00D9209B">
      <w:pPr>
        <w:rPr>
          <w:rFonts w:cs="Tahoma"/>
          <w:bCs/>
          <w:szCs w:val="22"/>
        </w:rPr>
      </w:pPr>
      <w:r>
        <w:rPr>
          <w:rFonts w:cs="Tahoma"/>
          <w:bCs/>
          <w:szCs w:val="22"/>
        </w:rPr>
        <w:t xml:space="preserve">Pozyskanie </w:t>
      </w:r>
      <w:r w:rsidR="001E7669">
        <w:rPr>
          <w:rFonts w:cs="Tahoma"/>
          <w:bCs/>
          <w:szCs w:val="22"/>
        </w:rPr>
        <w:t xml:space="preserve">przez Miasto </w:t>
      </w:r>
      <w:r>
        <w:rPr>
          <w:rFonts w:cs="Tahoma"/>
          <w:bCs/>
          <w:szCs w:val="22"/>
        </w:rPr>
        <w:t xml:space="preserve">wsparcia finansowego dla takich inwestycji </w:t>
      </w:r>
      <w:r w:rsidR="001E7669">
        <w:rPr>
          <w:rFonts w:cs="Tahoma"/>
          <w:bCs/>
          <w:szCs w:val="22"/>
        </w:rPr>
        <w:t xml:space="preserve">ze środków krajowych lub europejskich, zmniejszyłoby zaangażowanie środków własnych Miasta, ułatwiając </w:t>
      </w:r>
      <w:r w:rsidR="00C038F4">
        <w:rPr>
          <w:rFonts w:cs="Tahoma"/>
          <w:bCs/>
          <w:szCs w:val="22"/>
        </w:rPr>
        <w:t xml:space="preserve">podjęcie decyzji o wprowadzeniu do eksploatacji </w:t>
      </w:r>
      <w:r w:rsidR="001E7669">
        <w:rPr>
          <w:rFonts w:cs="Tahoma"/>
          <w:bCs/>
          <w:szCs w:val="22"/>
        </w:rPr>
        <w:t>taboru zeroemisyjnego</w:t>
      </w:r>
      <w:r w:rsidR="001E7669" w:rsidRPr="001E7669">
        <w:rPr>
          <w:rFonts w:cs="Tahoma"/>
          <w:bCs/>
          <w:szCs w:val="22"/>
        </w:rPr>
        <w:t xml:space="preserve"> </w:t>
      </w:r>
      <w:r w:rsidR="001E7669">
        <w:rPr>
          <w:rFonts w:cs="Tahoma"/>
          <w:bCs/>
          <w:szCs w:val="22"/>
        </w:rPr>
        <w:t xml:space="preserve">we flocie obsługującej komunikację miejską </w:t>
      </w:r>
      <w:r w:rsidR="00FB29A8">
        <w:rPr>
          <w:rFonts w:cs="Tahoma"/>
          <w:bCs/>
          <w:szCs w:val="22"/>
        </w:rPr>
        <w:t>Rzeszowa</w:t>
      </w:r>
      <w:r w:rsidR="001E7669">
        <w:rPr>
          <w:rFonts w:cs="Tahoma"/>
          <w:bCs/>
          <w:szCs w:val="22"/>
        </w:rPr>
        <w:t>.</w:t>
      </w:r>
    </w:p>
    <w:p w14:paraId="0A293D91" w14:textId="0BCB0A0B" w:rsidR="000C512A" w:rsidRDefault="00C038F4" w:rsidP="00D9209B">
      <w:pPr>
        <w:rPr>
          <w:rFonts w:cs="Tahoma"/>
          <w:bCs/>
          <w:szCs w:val="22"/>
        </w:rPr>
      </w:pPr>
      <w:r>
        <w:rPr>
          <w:rFonts w:cs="Tahoma"/>
          <w:bCs/>
          <w:szCs w:val="22"/>
        </w:rPr>
        <w:t>Pow</w:t>
      </w:r>
      <w:r w:rsidR="002B0297">
        <w:rPr>
          <w:rFonts w:cs="Tahoma"/>
          <w:bCs/>
          <w:szCs w:val="22"/>
        </w:rPr>
        <w:t>yższe nie wyklucza zakupu zeroe</w:t>
      </w:r>
      <w:r>
        <w:rPr>
          <w:rFonts w:cs="Tahoma"/>
          <w:bCs/>
          <w:szCs w:val="22"/>
        </w:rPr>
        <w:t>misyjnych jednostek taborowych w części lub w</w:t>
      </w:r>
      <w:r w:rsidR="00123F7E">
        <w:rPr>
          <w:rFonts w:cs="Tahoma"/>
          <w:bCs/>
          <w:szCs w:val="22"/>
        </w:rPr>
        <w:t> </w:t>
      </w:r>
      <w:r>
        <w:rPr>
          <w:rFonts w:cs="Tahoma"/>
          <w:bCs/>
          <w:szCs w:val="22"/>
        </w:rPr>
        <w:t xml:space="preserve">całości oraz poniesienia nakładów na budowę instalacji zasilających na terenie zajezdni przez </w:t>
      </w:r>
      <w:r w:rsidR="00C73F5E">
        <w:rPr>
          <w:rFonts w:cs="Tahoma"/>
          <w:bCs/>
          <w:szCs w:val="22"/>
        </w:rPr>
        <w:t>MPK</w:t>
      </w:r>
      <w:r w:rsidR="00D9209B">
        <w:rPr>
          <w:rFonts w:cs="Tahoma"/>
          <w:bCs/>
          <w:szCs w:val="22"/>
        </w:rPr>
        <w:t>-Rzeszów</w:t>
      </w:r>
      <w:r w:rsidR="00C73F5E">
        <w:rPr>
          <w:rFonts w:cs="Tahoma"/>
          <w:bCs/>
          <w:szCs w:val="22"/>
        </w:rPr>
        <w:t xml:space="preserve"> </w:t>
      </w:r>
      <w:r>
        <w:rPr>
          <w:rFonts w:cs="Tahoma"/>
          <w:bCs/>
          <w:szCs w:val="22"/>
        </w:rPr>
        <w:t xml:space="preserve">sp. z o.o., jeżeli sytuacja finansowa Spółki na to pozwoli. </w:t>
      </w:r>
      <w:r w:rsidR="00C73F5E">
        <w:rPr>
          <w:rFonts w:cs="Tahoma"/>
          <w:bCs/>
          <w:szCs w:val="22"/>
        </w:rPr>
        <w:t xml:space="preserve">MPK </w:t>
      </w:r>
      <w:r w:rsidR="004F7ED2">
        <w:rPr>
          <w:rFonts w:cs="Tahoma"/>
          <w:bCs/>
          <w:szCs w:val="22"/>
        </w:rPr>
        <w:t xml:space="preserve">może także stać się beneficjentem środków pomocowych, jeśli w danym programie będzie to dopuszczalne. </w:t>
      </w:r>
      <w:r>
        <w:rPr>
          <w:rFonts w:cs="Tahoma"/>
          <w:bCs/>
          <w:szCs w:val="22"/>
        </w:rPr>
        <w:t>Ewentualne wsparcie finansowe takich działań przez budżet Miasta nie może jednak spowodować przekazania Spółce nadmiernej rekompensaty.</w:t>
      </w:r>
    </w:p>
    <w:p w14:paraId="7CA24B04" w14:textId="52F2358D" w:rsidR="000B19C1" w:rsidRDefault="000B19C1" w:rsidP="00D9209B">
      <w:pPr>
        <w:rPr>
          <w:rFonts w:cs="Tahoma"/>
          <w:szCs w:val="22"/>
        </w:rPr>
      </w:pPr>
      <w:r>
        <w:rPr>
          <w:rFonts w:cs="Tahoma"/>
          <w:szCs w:val="22"/>
        </w:rPr>
        <w:t xml:space="preserve">W 2020 r. koszty działalności przewozowej w </w:t>
      </w:r>
      <w:r w:rsidR="00C73F5E">
        <w:rPr>
          <w:rFonts w:cs="Tahoma"/>
          <w:szCs w:val="22"/>
        </w:rPr>
        <w:t>rzeszowskie</w:t>
      </w:r>
      <w:r w:rsidR="00AE0C28">
        <w:rPr>
          <w:rFonts w:cs="Tahoma"/>
          <w:szCs w:val="22"/>
        </w:rPr>
        <w:t>j</w:t>
      </w:r>
      <w:r>
        <w:rPr>
          <w:rFonts w:cs="Tahoma"/>
          <w:szCs w:val="22"/>
        </w:rPr>
        <w:t xml:space="preserve"> </w:t>
      </w:r>
      <w:r w:rsidR="004F7ED2">
        <w:rPr>
          <w:rFonts w:cs="Tahoma"/>
          <w:szCs w:val="22"/>
        </w:rPr>
        <w:t xml:space="preserve">komunikacji miejskiej wyniosły </w:t>
      </w:r>
      <w:r w:rsidR="00D9209B">
        <w:rPr>
          <w:rFonts w:cs="Tahoma"/>
          <w:szCs w:val="22"/>
        </w:rPr>
        <w:t>89 141,2</w:t>
      </w:r>
      <w:r>
        <w:rPr>
          <w:rFonts w:cs="Tahoma"/>
          <w:szCs w:val="22"/>
        </w:rPr>
        <w:t xml:space="preserve"> tys. zł</w:t>
      </w:r>
      <w:r w:rsidR="004F7ED2">
        <w:rPr>
          <w:rFonts w:cs="Tahoma"/>
          <w:szCs w:val="22"/>
        </w:rPr>
        <w:t>,</w:t>
      </w:r>
      <w:r w:rsidR="00D9209B">
        <w:rPr>
          <w:rFonts w:cs="Tahoma"/>
          <w:szCs w:val="22"/>
        </w:rPr>
        <w:t xml:space="preserve"> a bez uwzględniania kosztów wynikających z dzierżawy majątku Miasta – 75 27401 tys. zł. P</w:t>
      </w:r>
      <w:r>
        <w:rPr>
          <w:rFonts w:cs="Tahoma"/>
          <w:szCs w:val="22"/>
        </w:rPr>
        <w:t>rzy zrealizowanej pra</w:t>
      </w:r>
      <w:r w:rsidR="004F7ED2">
        <w:rPr>
          <w:rFonts w:cs="Tahoma"/>
          <w:szCs w:val="22"/>
        </w:rPr>
        <w:t xml:space="preserve">cy eksploatacyjnej w wysokości </w:t>
      </w:r>
      <w:r w:rsidR="00D9209B">
        <w:rPr>
          <w:rFonts w:cs="Tahoma"/>
          <w:szCs w:val="22"/>
        </w:rPr>
        <w:t>10 853,2</w:t>
      </w:r>
      <w:r w:rsidR="004F7ED2">
        <w:rPr>
          <w:rFonts w:cs="Tahoma"/>
          <w:szCs w:val="22"/>
        </w:rPr>
        <w:t xml:space="preserve"> </w:t>
      </w:r>
      <w:r>
        <w:rPr>
          <w:rFonts w:cs="Tahoma"/>
          <w:szCs w:val="22"/>
        </w:rPr>
        <w:t>tys. wozokilometrów</w:t>
      </w:r>
      <w:r w:rsidR="004F7ED2">
        <w:rPr>
          <w:rFonts w:cs="Tahoma"/>
          <w:szCs w:val="22"/>
        </w:rPr>
        <w:t xml:space="preserve">, odpowiada </w:t>
      </w:r>
      <w:r w:rsidR="00D9209B">
        <w:rPr>
          <w:rFonts w:cs="Tahoma"/>
          <w:szCs w:val="22"/>
        </w:rPr>
        <w:t>odpowiednio stawce 8,2</w:t>
      </w:r>
      <w:r w:rsidR="004F7ED2">
        <w:rPr>
          <w:rFonts w:cs="Tahoma"/>
          <w:szCs w:val="22"/>
        </w:rPr>
        <w:t>1</w:t>
      </w:r>
      <w:r>
        <w:rPr>
          <w:rFonts w:cs="Tahoma"/>
          <w:szCs w:val="22"/>
        </w:rPr>
        <w:t xml:space="preserve"> </w:t>
      </w:r>
      <w:r w:rsidR="00D9209B">
        <w:rPr>
          <w:rFonts w:cs="Tahoma"/>
          <w:szCs w:val="22"/>
        </w:rPr>
        <w:t xml:space="preserve">oraz 6,94 </w:t>
      </w:r>
      <w:r>
        <w:rPr>
          <w:rFonts w:cs="Tahoma"/>
          <w:szCs w:val="22"/>
        </w:rPr>
        <w:t>zł za wozokilometr. Dla sieci komunikacyjnej w mia</w:t>
      </w:r>
      <w:r w:rsidR="004F7ED2">
        <w:rPr>
          <w:rFonts w:cs="Tahoma"/>
          <w:szCs w:val="22"/>
        </w:rPr>
        <w:t xml:space="preserve">stach </w:t>
      </w:r>
      <w:r w:rsidR="00D9209B">
        <w:rPr>
          <w:rFonts w:cs="Tahoma"/>
          <w:szCs w:val="22"/>
        </w:rPr>
        <w:t>dużych</w:t>
      </w:r>
      <w:r w:rsidR="004F7ED2">
        <w:rPr>
          <w:rFonts w:cs="Tahoma"/>
          <w:szCs w:val="22"/>
        </w:rPr>
        <w:t>, stawkę t</w:t>
      </w:r>
      <w:r w:rsidR="00123F7E">
        <w:rPr>
          <w:rFonts w:cs="Tahoma"/>
          <w:szCs w:val="22"/>
        </w:rPr>
        <w:t>ę</w:t>
      </w:r>
      <w:r>
        <w:rPr>
          <w:rFonts w:cs="Tahoma"/>
          <w:szCs w:val="22"/>
        </w:rPr>
        <w:t xml:space="preserve"> należy uznać za </w:t>
      </w:r>
      <w:r w:rsidR="00D9209B">
        <w:rPr>
          <w:rFonts w:cs="Tahoma"/>
          <w:szCs w:val="22"/>
        </w:rPr>
        <w:t>niewygórowaną</w:t>
      </w:r>
      <w:r>
        <w:rPr>
          <w:rFonts w:cs="Tahoma"/>
          <w:szCs w:val="22"/>
        </w:rPr>
        <w:t>.</w:t>
      </w:r>
    </w:p>
    <w:p w14:paraId="112924C7" w14:textId="677E2FF6" w:rsidR="000B19C1" w:rsidRDefault="00C73F5E" w:rsidP="00276BA5">
      <w:pPr>
        <w:rPr>
          <w:rFonts w:cs="Tahoma"/>
          <w:szCs w:val="22"/>
        </w:rPr>
      </w:pPr>
      <w:r>
        <w:rPr>
          <w:rFonts w:cs="Tahoma"/>
          <w:szCs w:val="22"/>
        </w:rPr>
        <w:t>MPK</w:t>
      </w:r>
      <w:r w:rsidR="00FE1E87">
        <w:rPr>
          <w:rFonts w:cs="Tahoma"/>
          <w:szCs w:val="22"/>
        </w:rPr>
        <w:t>-Rzeszów</w:t>
      </w:r>
      <w:r>
        <w:rPr>
          <w:rFonts w:cs="Tahoma"/>
          <w:szCs w:val="22"/>
        </w:rPr>
        <w:t xml:space="preserve"> </w:t>
      </w:r>
      <w:r w:rsidR="00A77087">
        <w:rPr>
          <w:rFonts w:cs="Tahoma"/>
          <w:szCs w:val="22"/>
        </w:rPr>
        <w:t>sp. z o.o.</w:t>
      </w:r>
      <w:r w:rsidR="000B19C1">
        <w:rPr>
          <w:rFonts w:cs="Tahoma"/>
          <w:szCs w:val="22"/>
        </w:rPr>
        <w:t xml:space="preserve"> jest spółką</w:t>
      </w:r>
      <w:r w:rsidR="00874721">
        <w:rPr>
          <w:rFonts w:cs="Tahoma"/>
          <w:szCs w:val="22"/>
        </w:rPr>
        <w:t>, której podstawowym zakresem działalności jest świadczenie usług przewozowych w ramach rzeszowskiej komunikacji miejskiej, na zlecenie Miasta</w:t>
      </w:r>
      <w:r w:rsidR="0094281B">
        <w:rPr>
          <w:rFonts w:cs="Tahoma"/>
          <w:szCs w:val="22"/>
        </w:rPr>
        <w:t xml:space="preserve">. </w:t>
      </w:r>
      <w:r w:rsidR="00874721">
        <w:rPr>
          <w:rFonts w:cs="Tahoma"/>
          <w:szCs w:val="22"/>
        </w:rPr>
        <w:t xml:space="preserve">Działalnością uzupełniającą świadczenie przewozów jest prowadzenie przez kierowców sprzedaży biletów komunikacji miejskiej. </w:t>
      </w:r>
      <w:r w:rsidR="006E27EB">
        <w:rPr>
          <w:rFonts w:cs="Tahoma"/>
          <w:szCs w:val="22"/>
        </w:rPr>
        <w:t xml:space="preserve">Spółka </w:t>
      </w:r>
      <w:r w:rsidR="00874721">
        <w:rPr>
          <w:rFonts w:cs="Tahoma"/>
          <w:szCs w:val="22"/>
        </w:rPr>
        <w:t xml:space="preserve">wykonuje także naprawy gwarancyjne pojazdów wydzierżawionych przez Miasto. </w:t>
      </w:r>
      <w:r w:rsidR="00276BA5">
        <w:rPr>
          <w:rFonts w:cs="Tahoma"/>
          <w:szCs w:val="22"/>
        </w:rPr>
        <w:t xml:space="preserve">Istotną wartość przychodów firma generuje także ze sprzedaży towarów i materiałów, w tym w szczególności ze sprzedaży paliw. </w:t>
      </w:r>
      <w:r w:rsidR="00874721">
        <w:rPr>
          <w:rFonts w:cs="Tahoma"/>
          <w:szCs w:val="22"/>
        </w:rPr>
        <w:t xml:space="preserve">MPK osiąga ponadto przychody z innej działalności ubocznej, </w:t>
      </w:r>
      <w:r w:rsidR="00276BA5">
        <w:rPr>
          <w:rFonts w:cs="Tahoma"/>
          <w:szCs w:val="22"/>
        </w:rPr>
        <w:t>takiej jak: wynajem środków transportu, dzierżawa placów i pomieszczeń, usługi remontowo-warsztatowe i mycia pojazdów, udostępniania powierzchni reklamowej oraz osiąga przychody z Okręgowej Stacji</w:t>
      </w:r>
      <w:r w:rsidR="006E27EB">
        <w:rPr>
          <w:rFonts w:cs="Tahoma"/>
          <w:szCs w:val="22"/>
        </w:rPr>
        <w:t xml:space="preserve"> Kontroli Pojazdów.</w:t>
      </w:r>
    </w:p>
    <w:p w14:paraId="646818D5" w14:textId="19713F36" w:rsidR="000B19C1" w:rsidRDefault="006E27EB" w:rsidP="00E26550">
      <w:pPr>
        <w:rPr>
          <w:rFonts w:cs="Tahoma"/>
          <w:szCs w:val="22"/>
        </w:rPr>
      </w:pPr>
      <w:r>
        <w:rPr>
          <w:rFonts w:cs="Tahoma"/>
          <w:szCs w:val="22"/>
        </w:rPr>
        <w:t>Miasto zobowiązane</w:t>
      </w:r>
      <w:r w:rsidR="000B19C1" w:rsidRPr="00D20E71">
        <w:rPr>
          <w:rFonts w:cs="Tahoma"/>
          <w:szCs w:val="22"/>
        </w:rPr>
        <w:t xml:space="preserve"> jest do przeprowadzania corocznego audytu wykonywanego przez niezależnego audytora – w celu sprawdzenia, czy wielkość przekazanej </w:t>
      </w:r>
      <w:r w:rsidR="00C73F5E">
        <w:rPr>
          <w:rFonts w:cs="Tahoma"/>
          <w:szCs w:val="22"/>
        </w:rPr>
        <w:t>MPK</w:t>
      </w:r>
      <w:r w:rsidR="00276BA5">
        <w:rPr>
          <w:rFonts w:cs="Tahoma"/>
          <w:szCs w:val="22"/>
        </w:rPr>
        <w:t>-Rzeszów</w:t>
      </w:r>
      <w:r w:rsidR="00C73F5E">
        <w:rPr>
          <w:rFonts w:cs="Tahoma"/>
          <w:szCs w:val="22"/>
        </w:rPr>
        <w:t xml:space="preserve"> </w:t>
      </w:r>
      <w:r>
        <w:rPr>
          <w:rFonts w:cs="Tahoma"/>
          <w:szCs w:val="22"/>
        </w:rPr>
        <w:t xml:space="preserve">sp. z o.o. </w:t>
      </w:r>
      <w:r w:rsidR="000B19C1" w:rsidRPr="00D20E71">
        <w:rPr>
          <w:rFonts w:cs="Tahoma"/>
          <w:szCs w:val="22"/>
        </w:rPr>
        <w:lastRenderedPageBreak/>
        <w:t>rekompensaty</w:t>
      </w:r>
      <w:r w:rsidR="000B19C1">
        <w:rPr>
          <w:rFonts w:cs="Tahoma"/>
          <w:szCs w:val="22"/>
        </w:rPr>
        <w:t xml:space="preserve"> </w:t>
      </w:r>
      <w:r w:rsidR="000B19C1" w:rsidRPr="00D20E71">
        <w:rPr>
          <w:rFonts w:cs="Tahoma"/>
          <w:szCs w:val="22"/>
        </w:rPr>
        <w:t xml:space="preserve">jest właściwa. </w:t>
      </w:r>
      <w:r w:rsidR="000B19C1" w:rsidRPr="003F027D">
        <w:rPr>
          <w:rFonts w:cs="Tahoma"/>
          <w:szCs w:val="22"/>
        </w:rPr>
        <w:t>Wynik</w:t>
      </w:r>
      <w:r w:rsidR="003F027D" w:rsidRPr="003F027D">
        <w:rPr>
          <w:rFonts w:cs="Tahoma"/>
          <w:szCs w:val="22"/>
        </w:rPr>
        <w:t>i</w:t>
      </w:r>
      <w:r w:rsidR="000B19C1" w:rsidRPr="003F027D">
        <w:rPr>
          <w:rFonts w:cs="Tahoma"/>
          <w:szCs w:val="22"/>
        </w:rPr>
        <w:t xml:space="preserve"> audyt</w:t>
      </w:r>
      <w:r w:rsidR="00123F7E">
        <w:rPr>
          <w:rFonts w:cs="Tahoma"/>
          <w:szCs w:val="22"/>
        </w:rPr>
        <w:t>ów</w:t>
      </w:r>
      <w:r w:rsidR="000B19C1" w:rsidRPr="003F027D">
        <w:rPr>
          <w:rFonts w:cs="Tahoma"/>
          <w:szCs w:val="22"/>
        </w:rPr>
        <w:t xml:space="preserve"> </w:t>
      </w:r>
      <w:r w:rsidR="00E26550">
        <w:rPr>
          <w:rFonts w:cs="Tahoma"/>
          <w:szCs w:val="22"/>
        </w:rPr>
        <w:t xml:space="preserve">przeprowadzonych </w:t>
      </w:r>
      <w:r w:rsidR="000B19C1" w:rsidRPr="003F027D">
        <w:rPr>
          <w:rFonts w:cs="Tahoma"/>
          <w:szCs w:val="22"/>
        </w:rPr>
        <w:t xml:space="preserve">za </w:t>
      </w:r>
      <w:r w:rsidR="00E26550">
        <w:rPr>
          <w:rFonts w:cs="Tahoma"/>
          <w:szCs w:val="22"/>
        </w:rPr>
        <w:t>lata 2018-</w:t>
      </w:r>
      <w:r w:rsidR="000B19C1" w:rsidRPr="003F027D">
        <w:rPr>
          <w:rFonts w:cs="Tahoma"/>
          <w:szCs w:val="22"/>
        </w:rPr>
        <w:t xml:space="preserve">2020 r. </w:t>
      </w:r>
      <w:r w:rsidR="00E26550">
        <w:rPr>
          <w:rFonts w:cs="Tahoma"/>
          <w:szCs w:val="22"/>
        </w:rPr>
        <w:t xml:space="preserve">nie </w:t>
      </w:r>
      <w:r w:rsidR="000B19C1" w:rsidRPr="003F027D">
        <w:rPr>
          <w:rFonts w:cs="Tahoma"/>
          <w:szCs w:val="22"/>
        </w:rPr>
        <w:t>wykazał</w:t>
      </w:r>
      <w:r w:rsidR="003F027D" w:rsidRPr="003F027D">
        <w:rPr>
          <w:rFonts w:cs="Tahoma"/>
          <w:szCs w:val="22"/>
        </w:rPr>
        <w:t>y</w:t>
      </w:r>
      <w:r w:rsidR="000B19C1" w:rsidRPr="003F027D">
        <w:rPr>
          <w:rFonts w:cs="Tahoma"/>
          <w:szCs w:val="22"/>
        </w:rPr>
        <w:t xml:space="preserve"> </w:t>
      </w:r>
      <w:r w:rsidR="00E26550">
        <w:rPr>
          <w:rFonts w:cs="Tahoma"/>
          <w:szCs w:val="22"/>
        </w:rPr>
        <w:t>wypłaty przez Miasto nadmiernej rekompensaty</w:t>
      </w:r>
      <w:r w:rsidR="003F027D">
        <w:rPr>
          <w:rFonts w:cs="Tahoma"/>
          <w:szCs w:val="22"/>
        </w:rPr>
        <w:t>.</w:t>
      </w:r>
    </w:p>
    <w:p w14:paraId="0C5C0225" w14:textId="0796C096" w:rsidR="003F027D" w:rsidRPr="00821AF6" w:rsidRDefault="003F027D" w:rsidP="00FE1E87">
      <w:pPr>
        <w:rPr>
          <w:rFonts w:cs="Tahoma"/>
          <w:szCs w:val="22"/>
        </w:rPr>
      </w:pPr>
      <w:r w:rsidRPr="00821AF6">
        <w:rPr>
          <w:rFonts w:cs="Tahoma"/>
          <w:szCs w:val="22"/>
        </w:rPr>
        <w:t xml:space="preserve">W tabeli </w:t>
      </w:r>
      <w:r>
        <w:rPr>
          <w:rFonts w:cs="Tahoma"/>
          <w:szCs w:val="22"/>
        </w:rPr>
        <w:t>19</w:t>
      </w:r>
      <w:r w:rsidRPr="00821AF6">
        <w:rPr>
          <w:rFonts w:cs="Tahoma"/>
          <w:szCs w:val="22"/>
        </w:rPr>
        <w:t xml:space="preserve"> przedstawiono rachunek zysków i strat </w:t>
      </w:r>
      <w:r w:rsidR="00C73F5E">
        <w:rPr>
          <w:rFonts w:cs="Tahoma"/>
          <w:szCs w:val="22"/>
        </w:rPr>
        <w:t>MPK</w:t>
      </w:r>
      <w:r w:rsidR="00240BF6">
        <w:rPr>
          <w:rFonts w:cs="Tahoma"/>
          <w:szCs w:val="22"/>
        </w:rPr>
        <w:t>-Rzeszów</w:t>
      </w:r>
      <w:r w:rsidR="00C73F5E">
        <w:rPr>
          <w:rFonts w:cs="Tahoma"/>
          <w:szCs w:val="22"/>
        </w:rPr>
        <w:t xml:space="preserve"> </w:t>
      </w:r>
      <w:r w:rsidRPr="00821AF6">
        <w:rPr>
          <w:rFonts w:cs="Tahoma"/>
          <w:szCs w:val="22"/>
        </w:rPr>
        <w:t>sp. z o.o.</w:t>
      </w:r>
      <w:r w:rsidR="00FC21AD">
        <w:rPr>
          <w:rFonts w:cs="Tahoma"/>
          <w:szCs w:val="22"/>
        </w:rPr>
        <w:t>, w tabelach</w:t>
      </w:r>
      <w:r>
        <w:rPr>
          <w:rFonts w:cs="Tahoma"/>
          <w:szCs w:val="22"/>
        </w:rPr>
        <w:t xml:space="preserve"> 20 </w:t>
      </w:r>
      <w:r w:rsidR="00FC21AD">
        <w:rPr>
          <w:rFonts w:cs="Tahoma"/>
          <w:szCs w:val="22"/>
        </w:rPr>
        <w:t xml:space="preserve">i 21 </w:t>
      </w:r>
      <w:r>
        <w:rPr>
          <w:rFonts w:cs="Tahoma"/>
          <w:szCs w:val="22"/>
        </w:rPr>
        <w:t>bilans</w:t>
      </w:r>
      <w:r w:rsidR="00FC21AD">
        <w:rPr>
          <w:rFonts w:cs="Tahoma"/>
          <w:szCs w:val="22"/>
        </w:rPr>
        <w:t>, a w tabeli 22 przepływy pieniężne</w:t>
      </w:r>
      <w:r w:rsidRPr="00821AF6">
        <w:rPr>
          <w:rFonts w:cs="Tahoma"/>
          <w:szCs w:val="22"/>
        </w:rPr>
        <w:t xml:space="preserve"> – wykonanie w latach 2018-2020.</w:t>
      </w:r>
    </w:p>
    <w:p w14:paraId="40CB05E1" w14:textId="1C709A14" w:rsidR="003F027D" w:rsidRPr="00821AF6" w:rsidRDefault="003F027D" w:rsidP="00240BF6">
      <w:pPr>
        <w:pStyle w:val="Legenda"/>
        <w:keepNext/>
        <w:spacing w:before="240" w:after="0"/>
        <w:ind w:firstLine="0"/>
        <w:jc w:val="left"/>
        <w:rPr>
          <w:color w:val="000000"/>
          <w:sz w:val="22"/>
          <w:szCs w:val="22"/>
        </w:rPr>
      </w:pPr>
      <w:r w:rsidRPr="00821AF6">
        <w:rPr>
          <w:color w:val="000000"/>
          <w:sz w:val="22"/>
          <w:szCs w:val="22"/>
        </w:rPr>
        <w:t xml:space="preserve">Tab. </w:t>
      </w:r>
      <w:r w:rsidRPr="00821AF6">
        <w:rPr>
          <w:color w:val="000000"/>
          <w:sz w:val="22"/>
          <w:szCs w:val="22"/>
        </w:rPr>
        <w:fldChar w:fldCharType="begin"/>
      </w:r>
      <w:r w:rsidRPr="00821AF6">
        <w:rPr>
          <w:color w:val="000000"/>
          <w:sz w:val="22"/>
          <w:szCs w:val="22"/>
        </w:rPr>
        <w:instrText xml:space="preserve"> SEQ Tab. \* ARABIC </w:instrText>
      </w:r>
      <w:r w:rsidRPr="00821AF6">
        <w:rPr>
          <w:color w:val="000000"/>
          <w:sz w:val="22"/>
          <w:szCs w:val="22"/>
        </w:rPr>
        <w:fldChar w:fldCharType="separate"/>
      </w:r>
      <w:r w:rsidR="004605BC">
        <w:rPr>
          <w:noProof/>
          <w:color w:val="000000"/>
          <w:sz w:val="22"/>
          <w:szCs w:val="22"/>
        </w:rPr>
        <w:t>19</w:t>
      </w:r>
      <w:r w:rsidRPr="00821AF6">
        <w:rPr>
          <w:color w:val="000000"/>
          <w:sz w:val="22"/>
          <w:szCs w:val="22"/>
        </w:rPr>
        <w:fldChar w:fldCharType="end"/>
      </w:r>
      <w:r w:rsidRPr="00821AF6">
        <w:rPr>
          <w:color w:val="000000"/>
          <w:sz w:val="22"/>
          <w:szCs w:val="22"/>
        </w:rPr>
        <w:t xml:space="preserve">. Rachunek zysków i strat </w:t>
      </w:r>
      <w:r w:rsidR="00C73F5E">
        <w:rPr>
          <w:color w:val="000000"/>
          <w:sz w:val="22"/>
          <w:szCs w:val="22"/>
        </w:rPr>
        <w:t>MPK</w:t>
      </w:r>
      <w:r w:rsidR="006D347E">
        <w:rPr>
          <w:color w:val="000000"/>
          <w:sz w:val="22"/>
          <w:szCs w:val="22"/>
        </w:rPr>
        <w:t>-Rzeszów</w:t>
      </w:r>
      <w:r w:rsidR="00C73F5E">
        <w:rPr>
          <w:color w:val="000000"/>
          <w:sz w:val="22"/>
          <w:szCs w:val="22"/>
        </w:rPr>
        <w:t xml:space="preserve"> </w:t>
      </w:r>
      <w:r w:rsidRPr="00821AF6">
        <w:rPr>
          <w:color w:val="000000"/>
          <w:sz w:val="22"/>
          <w:szCs w:val="22"/>
        </w:rPr>
        <w:t>sp. z o.o.</w:t>
      </w:r>
      <w:r w:rsidR="006D347E">
        <w:rPr>
          <w:color w:val="000000"/>
          <w:sz w:val="22"/>
          <w:szCs w:val="22"/>
        </w:rPr>
        <w:t>– lata</w:t>
      </w:r>
      <w:r w:rsidRPr="00821AF6">
        <w:rPr>
          <w:color w:val="000000"/>
          <w:sz w:val="22"/>
          <w:szCs w:val="22"/>
        </w:rPr>
        <w:t xml:space="preserve"> 2018-2020 </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38"/>
        <w:gridCol w:w="4741"/>
        <w:gridCol w:w="1231"/>
        <w:gridCol w:w="1231"/>
        <w:gridCol w:w="1231"/>
      </w:tblGrid>
      <w:tr w:rsidR="003F027D" w:rsidRPr="00821AF6" w14:paraId="45C19E64" w14:textId="77777777" w:rsidTr="003F027D">
        <w:trPr>
          <w:cantSplit/>
          <w:trHeight w:val="350"/>
          <w:tblHeader/>
          <w:jc w:val="center"/>
        </w:trPr>
        <w:tc>
          <w:tcPr>
            <w:tcW w:w="638" w:type="dxa"/>
            <w:vMerge w:val="restart"/>
            <w:shd w:val="clear" w:color="auto" w:fill="FFFF99"/>
            <w:vAlign w:val="center"/>
          </w:tcPr>
          <w:p w14:paraId="47AD6AAB" w14:textId="77777777" w:rsidR="003F027D" w:rsidRPr="00821AF6" w:rsidRDefault="003F027D" w:rsidP="00240BF6">
            <w:pPr>
              <w:keepNext/>
              <w:spacing w:before="60" w:after="20" w:line="288" w:lineRule="auto"/>
              <w:ind w:firstLine="0"/>
              <w:jc w:val="center"/>
              <w:rPr>
                <w:rFonts w:cs="Tahoma"/>
                <w:b/>
                <w:sz w:val="20"/>
                <w:szCs w:val="20"/>
              </w:rPr>
            </w:pPr>
            <w:r w:rsidRPr="00821AF6">
              <w:rPr>
                <w:rFonts w:cs="Tahoma"/>
                <w:b/>
                <w:sz w:val="20"/>
                <w:szCs w:val="20"/>
              </w:rPr>
              <w:t>Lp.</w:t>
            </w:r>
          </w:p>
        </w:tc>
        <w:tc>
          <w:tcPr>
            <w:tcW w:w="4741" w:type="dxa"/>
            <w:vMerge w:val="restart"/>
            <w:shd w:val="clear" w:color="auto" w:fill="FFFF99"/>
            <w:vAlign w:val="center"/>
          </w:tcPr>
          <w:p w14:paraId="62E20B78" w14:textId="77777777" w:rsidR="003F027D" w:rsidRPr="00821AF6" w:rsidRDefault="003F027D" w:rsidP="00240BF6">
            <w:pPr>
              <w:keepNext/>
              <w:spacing w:before="60" w:after="20" w:line="288" w:lineRule="auto"/>
              <w:ind w:firstLine="0"/>
              <w:jc w:val="center"/>
              <w:rPr>
                <w:rFonts w:cs="Tahoma"/>
                <w:b/>
                <w:sz w:val="20"/>
                <w:szCs w:val="20"/>
              </w:rPr>
            </w:pPr>
            <w:r w:rsidRPr="00821AF6">
              <w:rPr>
                <w:rFonts w:cs="Tahoma"/>
                <w:b/>
                <w:sz w:val="20"/>
                <w:szCs w:val="20"/>
              </w:rPr>
              <w:t>Wyszczególnienie</w:t>
            </w:r>
          </w:p>
        </w:tc>
        <w:tc>
          <w:tcPr>
            <w:tcW w:w="3693" w:type="dxa"/>
            <w:gridSpan w:val="3"/>
            <w:tcBorders>
              <w:bottom w:val="single" w:sz="6" w:space="0" w:color="auto"/>
            </w:tcBorders>
            <w:shd w:val="clear" w:color="auto" w:fill="FFFF99"/>
            <w:vAlign w:val="center"/>
          </w:tcPr>
          <w:p w14:paraId="14DEE346" w14:textId="77777777" w:rsidR="003F027D" w:rsidRPr="00821AF6" w:rsidRDefault="003F027D" w:rsidP="00240BF6">
            <w:pPr>
              <w:keepNext/>
              <w:spacing w:before="60" w:after="20" w:line="288" w:lineRule="auto"/>
              <w:ind w:firstLine="0"/>
              <w:jc w:val="center"/>
              <w:rPr>
                <w:rFonts w:cs="Tahoma"/>
                <w:b/>
                <w:sz w:val="20"/>
                <w:szCs w:val="20"/>
              </w:rPr>
            </w:pPr>
            <w:r w:rsidRPr="00821AF6">
              <w:rPr>
                <w:rFonts w:cs="Tahoma"/>
                <w:b/>
                <w:sz w:val="20"/>
                <w:szCs w:val="20"/>
              </w:rPr>
              <w:t>Wykonanie w latach</w:t>
            </w:r>
            <w:r>
              <w:rPr>
                <w:rFonts w:cs="Tahoma"/>
                <w:b/>
                <w:sz w:val="20"/>
                <w:szCs w:val="20"/>
              </w:rPr>
              <w:t xml:space="preserve"> [tys. zł]</w:t>
            </w:r>
          </w:p>
        </w:tc>
      </w:tr>
      <w:tr w:rsidR="003F027D" w:rsidRPr="00821AF6" w14:paraId="60659A49" w14:textId="77777777" w:rsidTr="003F027D">
        <w:trPr>
          <w:cantSplit/>
          <w:trHeight w:val="349"/>
          <w:tblHeader/>
          <w:jc w:val="center"/>
        </w:trPr>
        <w:tc>
          <w:tcPr>
            <w:tcW w:w="638" w:type="dxa"/>
            <w:vMerge/>
            <w:tcBorders>
              <w:bottom w:val="single" w:sz="6" w:space="0" w:color="auto"/>
            </w:tcBorders>
            <w:shd w:val="clear" w:color="auto" w:fill="FFFF99"/>
            <w:vAlign w:val="center"/>
          </w:tcPr>
          <w:p w14:paraId="2FE63161" w14:textId="77777777" w:rsidR="003F027D" w:rsidRPr="00821AF6" w:rsidRDefault="003F027D" w:rsidP="00240BF6">
            <w:pPr>
              <w:keepNext/>
              <w:spacing w:before="60" w:after="20" w:line="288" w:lineRule="auto"/>
              <w:ind w:firstLine="0"/>
              <w:jc w:val="center"/>
              <w:rPr>
                <w:rFonts w:cs="Tahoma"/>
                <w:b/>
                <w:sz w:val="20"/>
                <w:szCs w:val="20"/>
              </w:rPr>
            </w:pPr>
          </w:p>
        </w:tc>
        <w:tc>
          <w:tcPr>
            <w:tcW w:w="4741" w:type="dxa"/>
            <w:vMerge/>
            <w:tcBorders>
              <w:bottom w:val="single" w:sz="6" w:space="0" w:color="auto"/>
            </w:tcBorders>
            <w:shd w:val="clear" w:color="auto" w:fill="FFFF99"/>
            <w:vAlign w:val="center"/>
          </w:tcPr>
          <w:p w14:paraId="2D0121EB" w14:textId="77777777" w:rsidR="003F027D" w:rsidRPr="00821AF6" w:rsidRDefault="003F027D" w:rsidP="00240BF6">
            <w:pPr>
              <w:keepNext/>
              <w:spacing w:before="60" w:after="20" w:line="288" w:lineRule="auto"/>
              <w:ind w:firstLine="0"/>
              <w:jc w:val="center"/>
              <w:rPr>
                <w:rFonts w:cs="Tahoma"/>
                <w:b/>
                <w:sz w:val="20"/>
                <w:szCs w:val="20"/>
              </w:rPr>
            </w:pPr>
          </w:p>
        </w:tc>
        <w:tc>
          <w:tcPr>
            <w:tcW w:w="1231" w:type="dxa"/>
            <w:tcBorders>
              <w:bottom w:val="single" w:sz="6" w:space="0" w:color="auto"/>
            </w:tcBorders>
            <w:shd w:val="clear" w:color="auto" w:fill="FFFF99"/>
            <w:vAlign w:val="center"/>
          </w:tcPr>
          <w:p w14:paraId="1F7EF962" w14:textId="77777777" w:rsidR="003F027D" w:rsidRPr="00821AF6" w:rsidRDefault="003F027D" w:rsidP="00240BF6">
            <w:pPr>
              <w:keepNext/>
              <w:spacing w:before="60" w:after="20" w:line="288" w:lineRule="auto"/>
              <w:ind w:firstLine="0"/>
              <w:jc w:val="center"/>
              <w:rPr>
                <w:rFonts w:cs="Tahoma"/>
                <w:b/>
                <w:sz w:val="20"/>
                <w:szCs w:val="20"/>
              </w:rPr>
            </w:pPr>
            <w:r w:rsidRPr="00821AF6">
              <w:rPr>
                <w:rFonts w:cs="Tahoma"/>
                <w:b/>
                <w:sz w:val="20"/>
                <w:szCs w:val="20"/>
              </w:rPr>
              <w:t>2018</w:t>
            </w:r>
          </w:p>
        </w:tc>
        <w:tc>
          <w:tcPr>
            <w:tcW w:w="1231" w:type="dxa"/>
            <w:tcBorders>
              <w:bottom w:val="single" w:sz="6" w:space="0" w:color="auto"/>
            </w:tcBorders>
            <w:shd w:val="clear" w:color="auto" w:fill="FFFF99"/>
            <w:vAlign w:val="center"/>
          </w:tcPr>
          <w:p w14:paraId="6531E33D" w14:textId="77777777" w:rsidR="003F027D" w:rsidRPr="00821AF6" w:rsidRDefault="003F027D" w:rsidP="00240BF6">
            <w:pPr>
              <w:keepNext/>
              <w:spacing w:before="60" w:after="20" w:line="288" w:lineRule="auto"/>
              <w:ind w:firstLine="0"/>
              <w:jc w:val="center"/>
              <w:rPr>
                <w:rFonts w:cs="Tahoma"/>
                <w:b/>
                <w:sz w:val="20"/>
                <w:szCs w:val="20"/>
              </w:rPr>
            </w:pPr>
            <w:r w:rsidRPr="00821AF6">
              <w:rPr>
                <w:rFonts w:cs="Tahoma"/>
                <w:b/>
                <w:sz w:val="20"/>
                <w:szCs w:val="20"/>
              </w:rPr>
              <w:t>2019</w:t>
            </w:r>
          </w:p>
        </w:tc>
        <w:tc>
          <w:tcPr>
            <w:tcW w:w="1231" w:type="dxa"/>
            <w:tcBorders>
              <w:bottom w:val="single" w:sz="6" w:space="0" w:color="auto"/>
            </w:tcBorders>
            <w:shd w:val="clear" w:color="auto" w:fill="FFFF99"/>
            <w:vAlign w:val="center"/>
          </w:tcPr>
          <w:p w14:paraId="45E795AB" w14:textId="77777777" w:rsidR="003F027D" w:rsidRPr="00821AF6" w:rsidRDefault="003F027D" w:rsidP="00240BF6">
            <w:pPr>
              <w:keepNext/>
              <w:spacing w:before="60" w:after="20" w:line="288" w:lineRule="auto"/>
              <w:ind w:firstLine="0"/>
              <w:jc w:val="center"/>
              <w:rPr>
                <w:rFonts w:cs="Tahoma"/>
                <w:b/>
                <w:sz w:val="20"/>
                <w:szCs w:val="20"/>
              </w:rPr>
            </w:pPr>
            <w:r w:rsidRPr="00821AF6">
              <w:rPr>
                <w:rFonts w:cs="Tahoma"/>
                <w:b/>
                <w:sz w:val="20"/>
                <w:szCs w:val="20"/>
              </w:rPr>
              <w:t>2020</w:t>
            </w:r>
          </w:p>
        </w:tc>
      </w:tr>
      <w:tr w:rsidR="003F027D" w:rsidRPr="00821AF6" w14:paraId="59BA48E1" w14:textId="77777777" w:rsidTr="003F027D">
        <w:trPr>
          <w:cantSplit/>
          <w:jc w:val="center"/>
        </w:trPr>
        <w:tc>
          <w:tcPr>
            <w:tcW w:w="638" w:type="dxa"/>
            <w:tcBorders>
              <w:top w:val="single" w:sz="6" w:space="0" w:color="auto"/>
              <w:left w:val="single" w:sz="4" w:space="0" w:color="auto"/>
              <w:bottom w:val="dotted" w:sz="4" w:space="0" w:color="auto"/>
              <w:right w:val="single" w:sz="4" w:space="0" w:color="auto"/>
            </w:tcBorders>
            <w:vAlign w:val="center"/>
          </w:tcPr>
          <w:p w14:paraId="34DCC234" w14:textId="77777777" w:rsidR="003F027D" w:rsidRPr="00821AF6" w:rsidRDefault="003F027D" w:rsidP="00240BF6">
            <w:pPr>
              <w:keepNext/>
              <w:spacing w:before="60" w:after="20" w:line="288" w:lineRule="auto"/>
              <w:ind w:firstLine="0"/>
              <w:jc w:val="center"/>
              <w:rPr>
                <w:rFonts w:cs="Tahoma"/>
                <w:b/>
                <w:sz w:val="20"/>
                <w:szCs w:val="20"/>
              </w:rPr>
            </w:pPr>
            <w:r w:rsidRPr="00821AF6">
              <w:rPr>
                <w:rFonts w:cs="Tahoma"/>
                <w:b/>
                <w:sz w:val="20"/>
                <w:szCs w:val="20"/>
              </w:rPr>
              <w:t>1</w:t>
            </w:r>
          </w:p>
        </w:tc>
        <w:tc>
          <w:tcPr>
            <w:tcW w:w="4741" w:type="dxa"/>
            <w:tcBorders>
              <w:top w:val="single" w:sz="6" w:space="0" w:color="auto"/>
              <w:left w:val="single" w:sz="4" w:space="0" w:color="auto"/>
              <w:bottom w:val="dotted" w:sz="4" w:space="0" w:color="auto"/>
              <w:right w:val="single" w:sz="4" w:space="0" w:color="auto"/>
            </w:tcBorders>
            <w:vAlign w:val="center"/>
          </w:tcPr>
          <w:p w14:paraId="14131D02" w14:textId="77777777" w:rsidR="003F027D" w:rsidRPr="00821AF6" w:rsidRDefault="003F027D" w:rsidP="00240BF6">
            <w:pPr>
              <w:keepNext/>
              <w:spacing w:before="60" w:after="20" w:line="288" w:lineRule="auto"/>
              <w:ind w:firstLine="0"/>
              <w:jc w:val="left"/>
              <w:rPr>
                <w:rFonts w:cs="Tahoma"/>
                <w:b/>
                <w:sz w:val="20"/>
                <w:szCs w:val="20"/>
              </w:rPr>
            </w:pPr>
            <w:r w:rsidRPr="00821AF6">
              <w:rPr>
                <w:rFonts w:cs="Tahoma"/>
                <w:b/>
                <w:sz w:val="20"/>
                <w:szCs w:val="20"/>
              </w:rPr>
              <w:t xml:space="preserve">Przychody ze sprzedaży </w:t>
            </w:r>
          </w:p>
        </w:tc>
        <w:tc>
          <w:tcPr>
            <w:tcW w:w="1231" w:type="dxa"/>
            <w:tcBorders>
              <w:top w:val="single" w:sz="6" w:space="0" w:color="auto"/>
              <w:left w:val="single" w:sz="4" w:space="0" w:color="auto"/>
              <w:bottom w:val="dotted" w:sz="4" w:space="0" w:color="auto"/>
              <w:right w:val="single" w:sz="4" w:space="0" w:color="auto"/>
            </w:tcBorders>
            <w:vAlign w:val="center"/>
          </w:tcPr>
          <w:p w14:paraId="3C4CA095" w14:textId="2735077D" w:rsidR="003F027D" w:rsidRPr="00821AF6" w:rsidRDefault="00240BF6" w:rsidP="00240BF6">
            <w:pPr>
              <w:keepNext/>
              <w:spacing w:before="60" w:after="20" w:line="288" w:lineRule="auto"/>
              <w:ind w:firstLine="0"/>
              <w:jc w:val="right"/>
              <w:rPr>
                <w:rFonts w:cs="Tahoma"/>
                <w:b/>
                <w:sz w:val="20"/>
                <w:szCs w:val="20"/>
              </w:rPr>
            </w:pPr>
            <w:r>
              <w:rPr>
                <w:rFonts w:cs="Tahoma"/>
                <w:b/>
                <w:sz w:val="20"/>
                <w:szCs w:val="20"/>
              </w:rPr>
              <w:t>87 027,2</w:t>
            </w:r>
          </w:p>
        </w:tc>
        <w:tc>
          <w:tcPr>
            <w:tcW w:w="1231" w:type="dxa"/>
            <w:tcBorders>
              <w:top w:val="single" w:sz="6" w:space="0" w:color="auto"/>
              <w:left w:val="single" w:sz="4" w:space="0" w:color="auto"/>
              <w:bottom w:val="dotted" w:sz="4" w:space="0" w:color="auto"/>
              <w:right w:val="single" w:sz="4" w:space="0" w:color="auto"/>
            </w:tcBorders>
            <w:vAlign w:val="center"/>
          </w:tcPr>
          <w:p w14:paraId="62B93936" w14:textId="6C1F3038" w:rsidR="003F027D" w:rsidRPr="00821AF6" w:rsidRDefault="00240BF6" w:rsidP="00240BF6">
            <w:pPr>
              <w:keepNext/>
              <w:spacing w:before="60" w:after="20" w:line="288" w:lineRule="auto"/>
              <w:ind w:firstLine="0"/>
              <w:jc w:val="right"/>
              <w:rPr>
                <w:rFonts w:cs="Tahoma"/>
                <w:b/>
                <w:sz w:val="20"/>
                <w:szCs w:val="20"/>
              </w:rPr>
            </w:pPr>
            <w:r>
              <w:rPr>
                <w:rFonts w:cs="Tahoma"/>
                <w:b/>
                <w:sz w:val="20"/>
                <w:szCs w:val="20"/>
              </w:rPr>
              <w:t>102 267,3</w:t>
            </w:r>
          </w:p>
        </w:tc>
        <w:tc>
          <w:tcPr>
            <w:tcW w:w="1231" w:type="dxa"/>
            <w:tcBorders>
              <w:top w:val="single" w:sz="6" w:space="0" w:color="auto"/>
              <w:left w:val="single" w:sz="4" w:space="0" w:color="auto"/>
              <w:bottom w:val="dotted" w:sz="4" w:space="0" w:color="auto"/>
              <w:right w:val="single" w:sz="4" w:space="0" w:color="auto"/>
            </w:tcBorders>
            <w:vAlign w:val="center"/>
          </w:tcPr>
          <w:p w14:paraId="76D4B896" w14:textId="5C889AA6" w:rsidR="003F027D" w:rsidRPr="00821AF6" w:rsidRDefault="00240BF6" w:rsidP="00240BF6">
            <w:pPr>
              <w:keepNext/>
              <w:spacing w:before="60" w:after="20" w:line="288" w:lineRule="auto"/>
              <w:ind w:firstLine="0"/>
              <w:jc w:val="right"/>
              <w:rPr>
                <w:rFonts w:cs="Tahoma"/>
                <w:b/>
                <w:sz w:val="20"/>
                <w:szCs w:val="20"/>
              </w:rPr>
            </w:pPr>
            <w:r>
              <w:rPr>
                <w:rFonts w:cs="Tahoma"/>
                <w:b/>
                <w:sz w:val="20"/>
                <w:szCs w:val="20"/>
              </w:rPr>
              <w:t>97 457,6</w:t>
            </w:r>
          </w:p>
        </w:tc>
      </w:tr>
      <w:tr w:rsidR="003F027D" w:rsidRPr="00821AF6" w14:paraId="25116765" w14:textId="77777777" w:rsidTr="003F027D">
        <w:trPr>
          <w:cantSplit/>
          <w:jc w:val="center"/>
        </w:trPr>
        <w:tc>
          <w:tcPr>
            <w:tcW w:w="638" w:type="dxa"/>
            <w:tcBorders>
              <w:top w:val="dotted" w:sz="4" w:space="0" w:color="auto"/>
              <w:left w:val="single" w:sz="4" w:space="0" w:color="auto"/>
              <w:bottom w:val="dotted" w:sz="4" w:space="0" w:color="auto"/>
              <w:right w:val="single" w:sz="4" w:space="0" w:color="auto"/>
            </w:tcBorders>
            <w:vAlign w:val="center"/>
          </w:tcPr>
          <w:p w14:paraId="5A8AB947" w14:textId="77777777" w:rsidR="003F027D" w:rsidRPr="00821AF6" w:rsidRDefault="003F027D" w:rsidP="00240BF6">
            <w:pPr>
              <w:spacing w:before="60" w:after="20" w:line="288" w:lineRule="auto"/>
              <w:ind w:firstLine="0"/>
              <w:jc w:val="center"/>
              <w:rPr>
                <w:rFonts w:cs="Tahoma"/>
                <w:sz w:val="20"/>
                <w:szCs w:val="20"/>
              </w:rPr>
            </w:pPr>
            <w:r w:rsidRPr="00821AF6">
              <w:rPr>
                <w:rFonts w:cs="Tahoma"/>
                <w:sz w:val="20"/>
                <w:szCs w:val="20"/>
              </w:rPr>
              <w:t>1a</w:t>
            </w:r>
          </w:p>
        </w:tc>
        <w:tc>
          <w:tcPr>
            <w:tcW w:w="4741" w:type="dxa"/>
            <w:tcBorders>
              <w:top w:val="dotted" w:sz="4" w:space="0" w:color="auto"/>
              <w:left w:val="single" w:sz="4" w:space="0" w:color="auto"/>
              <w:bottom w:val="dotted" w:sz="4" w:space="0" w:color="auto"/>
              <w:right w:val="single" w:sz="4" w:space="0" w:color="auto"/>
            </w:tcBorders>
            <w:vAlign w:val="center"/>
          </w:tcPr>
          <w:p w14:paraId="16F2B4F5" w14:textId="77777777" w:rsidR="003F027D" w:rsidRPr="00821AF6" w:rsidRDefault="003F027D" w:rsidP="00240BF6">
            <w:pPr>
              <w:spacing w:before="60" w:after="20" w:line="288" w:lineRule="auto"/>
              <w:ind w:firstLine="0"/>
              <w:rPr>
                <w:rFonts w:cs="Tahoma"/>
                <w:sz w:val="20"/>
                <w:szCs w:val="20"/>
              </w:rPr>
            </w:pPr>
            <w:r w:rsidRPr="00821AF6">
              <w:rPr>
                <w:rFonts w:cs="Tahoma"/>
                <w:sz w:val="20"/>
                <w:szCs w:val="20"/>
              </w:rPr>
              <w:t>– w tym przychody ze sprzedaży produktów</w:t>
            </w:r>
          </w:p>
        </w:tc>
        <w:tc>
          <w:tcPr>
            <w:tcW w:w="1231" w:type="dxa"/>
            <w:tcBorders>
              <w:top w:val="dotted" w:sz="4" w:space="0" w:color="auto"/>
              <w:left w:val="single" w:sz="4" w:space="0" w:color="auto"/>
              <w:bottom w:val="dotted" w:sz="4" w:space="0" w:color="auto"/>
              <w:right w:val="single" w:sz="4" w:space="0" w:color="auto"/>
            </w:tcBorders>
            <w:vAlign w:val="center"/>
          </w:tcPr>
          <w:p w14:paraId="7814DE83" w14:textId="645B62AE" w:rsidR="003F027D" w:rsidRPr="00821AF6" w:rsidRDefault="00240BF6" w:rsidP="00240BF6">
            <w:pPr>
              <w:spacing w:before="60" w:after="20" w:line="288" w:lineRule="auto"/>
              <w:ind w:firstLine="0"/>
              <w:jc w:val="right"/>
              <w:rPr>
                <w:rFonts w:cs="Tahoma"/>
                <w:sz w:val="20"/>
                <w:szCs w:val="20"/>
              </w:rPr>
            </w:pPr>
            <w:r>
              <w:rPr>
                <w:rFonts w:cs="Tahoma"/>
                <w:sz w:val="20"/>
                <w:szCs w:val="20"/>
              </w:rPr>
              <w:t>76 184,6</w:t>
            </w:r>
          </w:p>
        </w:tc>
        <w:tc>
          <w:tcPr>
            <w:tcW w:w="1231" w:type="dxa"/>
            <w:tcBorders>
              <w:top w:val="dotted" w:sz="4" w:space="0" w:color="auto"/>
              <w:left w:val="single" w:sz="4" w:space="0" w:color="auto"/>
              <w:bottom w:val="dotted" w:sz="4" w:space="0" w:color="auto"/>
              <w:right w:val="single" w:sz="4" w:space="0" w:color="auto"/>
            </w:tcBorders>
            <w:vAlign w:val="center"/>
          </w:tcPr>
          <w:p w14:paraId="53A93AAE" w14:textId="5FBF8FDE" w:rsidR="003F027D" w:rsidRPr="00821AF6" w:rsidRDefault="00240BF6" w:rsidP="00240BF6">
            <w:pPr>
              <w:spacing w:before="60" w:after="20" w:line="288" w:lineRule="auto"/>
              <w:ind w:firstLine="0"/>
              <w:jc w:val="right"/>
              <w:rPr>
                <w:rFonts w:cs="Tahoma"/>
                <w:sz w:val="20"/>
                <w:szCs w:val="20"/>
              </w:rPr>
            </w:pPr>
            <w:r>
              <w:rPr>
                <w:rFonts w:cs="Tahoma"/>
                <w:sz w:val="20"/>
                <w:szCs w:val="20"/>
              </w:rPr>
              <w:t>92 126,0</w:t>
            </w:r>
          </w:p>
        </w:tc>
        <w:tc>
          <w:tcPr>
            <w:tcW w:w="1231" w:type="dxa"/>
            <w:tcBorders>
              <w:top w:val="dotted" w:sz="4" w:space="0" w:color="auto"/>
              <w:left w:val="single" w:sz="4" w:space="0" w:color="auto"/>
              <w:bottom w:val="dotted" w:sz="4" w:space="0" w:color="auto"/>
              <w:right w:val="single" w:sz="4" w:space="0" w:color="auto"/>
            </w:tcBorders>
            <w:vAlign w:val="center"/>
          </w:tcPr>
          <w:p w14:paraId="1E3CFF0D" w14:textId="34D2CDB7" w:rsidR="003F027D" w:rsidRPr="00821AF6" w:rsidRDefault="00240BF6" w:rsidP="00240BF6">
            <w:pPr>
              <w:spacing w:before="60" w:after="20" w:line="288" w:lineRule="auto"/>
              <w:ind w:firstLine="0"/>
              <w:jc w:val="right"/>
              <w:rPr>
                <w:rFonts w:cs="Tahoma"/>
                <w:sz w:val="20"/>
                <w:szCs w:val="20"/>
              </w:rPr>
            </w:pPr>
            <w:r>
              <w:rPr>
                <w:rFonts w:cs="Tahoma"/>
                <w:sz w:val="20"/>
                <w:szCs w:val="20"/>
              </w:rPr>
              <w:t>89 189,4</w:t>
            </w:r>
          </w:p>
        </w:tc>
      </w:tr>
      <w:tr w:rsidR="003F027D" w:rsidRPr="00821AF6" w14:paraId="432BDC37" w14:textId="77777777" w:rsidTr="003F027D">
        <w:trPr>
          <w:cantSplit/>
          <w:jc w:val="center"/>
        </w:trPr>
        <w:tc>
          <w:tcPr>
            <w:tcW w:w="638" w:type="dxa"/>
            <w:tcBorders>
              <w:top w:val="dotted" w:sz="4" w:space="0" w:color="auto"/>
              <w:left w:val="single" w:sz="4" w:space="0" w:color="auto"/>
              <w:bottom w:val="dotted" w:sz="4" w:space="0" w:color="auto"/>
              <w:right w:val="single" w:sz="4" w:space="0" w:color="auto"/>
            </w:tcBorders>
            <w:vAlign w:val="center"/>
          </w:tcPr>
          <w:p w14:paraId="27B86715" w14:textId="77777777" w:rsidR="003F027D" w:rsidRPr="00821AF6" w:rsidRDefault="003F027D" w:rsidP="00240BF6">
            <w:pPr>
              <w:spacing w:before="60" w:after="20" w:line="288" w:lineRule="auto"/>
              <w:ind w:firstLine="0"/>
              <w:jc w:val="center"/>
              <w:rPr>
                <w:rFonts w:cs="Tahoma"/>
                <w:sz w:val="20"/>
                <w:szCs w:val="20"/>
              </w:rPr>
            </w:pPr>
            <w:r>
              <w:rPr>
                <w:rFonts w:cs="Tahoma"/>
                <w:sz w:val="20"/>
                <w:szCs w:val="20"/>
              </w:rPr>
              <w:t>1b</w:t>
            </w:r>
          </w:p>
        </w:tc>
        <w:tc>
          <w:tcPr>
            <w:tcW w:w="4741" w:type="dxa"/>
            <w:tcBorders>
              <w:top w:val="dotted" w:sz="4" w:space="0" w:color="auto"/>
              <w:left w:val="single" w:sz="4" w:space="0" w:color="auto"/>
              <w:bottom w:val="dotted" w:sz="4" w:space="0" w:color="auto"/>
              <w:right w:val="single" w:sz="4" w:space="0" w:color="auto"/>
            </w:tcBorders>
            <w:vAlign w:val="center"/>
          </w:tcPr>
          <w:p w14:paraId="68575EDA" w14:textId="77777777" w:rsidR="003F027D" w:rsidRPr="00821AF6" w:rsidRDefault="003F027D" w:rsidP="00240BF6">
            <w:pPr>
              <w:spacing w:before="60" w:after="20" w:line="288" w:lineRule="auto"/>
              <w:ind w:firstLine="0"/>
              <w:rPr>
                <w:rFonts w:cs="Tahoma"/>
                <w:sz w:val="20"/>
                <w:szCs w:val="20"/>
              </w:rPr>
            </w:pPr>
            <w:r>
              <w:rPr>
                <w:rFonts w:cs="Tahoma"/>
                <w:sz w:val="20"/>
                <w:szCs w:val="20"/>
              </w:rPr>
              <w:t>– w tym zmiana stanu produktów</w:t>
            </w:r>
          </w:p>
        </w:tc>
        <w:tc>
          <w:tcPr>
            <w:tcW w:w="1231" w:type="dxa"/>
            <w:tcBorders>
              <w:top w:val="dotted" w:sz="4" w:space="0" w:color="auto"/>
              <w:left w:val="single" w:sz="4" w:space="0" w:color="auto"/>
              <w:bottom w:val="dotted" w:sz="4" w:space="0" w:color="auto"/>
              <w:right w:val="single" w:sz="4" w:space="0" w:color="auto"/>
            </w:tcBorders>
            <w:vAlign w:val="center"/>
          </w:tcPr>
          <w:p w14:paraId="7ADEC34F" w14:textId="162ABCED" w:rsidR="003F027D" w:rsidRDefault="00240BF6" w:rsidP="00240BF6">
            <w:pPr>
              <w:spacing w:before="60" w:after="20" w:line="288" w:lineRule="auto"/>
              <w:ind w:firstLine="0"/>
              <w:jc w:val="right"/>
              <w:rPr>
                <w:rFonts w:cs="Tahoma"/>
                <w:sz w:val="20"/>
                <w:szCs w:val="20"/>
              </w:rPr>
            </w:pPr>
            <w:r>
              <w:rPr>
                <w:rFonts w:cs="Tahoma"/>
                <w:sz w:val="20"/>
                <w:szCs w:val="20"/>
              </w:rPr>
              <w:t>0,0</w:t>
            </w:r>
          </w:p>
        </w:tc>
        <w:tc>
          <w:tcPr>
            <w:tcW w:w="1231" w:type="dxa"/>
            <w:tcBorders>
              <w:top w:val="dotted" w:sz="4" w:space="0" w:color="auto"/>
              <w:left w:val="single" w:sz="4" w:space="0" w:color="auto"/>
              <w:bottom w:val="dotted" w:sz="4" w:space="0" w:color="auto"/>
              <w:right w:val="single" w:sz="4" w:space="0" w:color="auto"/>
            </w:tcBorders>
            <w:vAlign w:val="center"/>
          </w:tcPr>
          <w:p w14:paraId="4EF7A00A" w14:textId="009E829B" w:rsidR="003F027D" w:rsidRDefault="00240BF6" w:rsidP="00240BF6">
            <w:pPr>
              <w:spacing w:before="60" w:after="20" w:line="288" w:lineRule="auto"/>
              <w:ind w:firstLine="0"/>
              <w:jc w:val="right"/>
              <w:rPr>
                <w:rFonts w:cs="Tahoma"/>
                <w:sz w:val="20"/>
                <w:szCs w:val="20"/>
              </w:rPr>
            </w:pPr>
            <w:r>
              <w:rPr>
                <w:rFonts w:cs="Tahoma"/>
                <w:sz w:val="20"/>
                <w:szCs w:val="20"/>
              </w:rPr>
              <w:t>0,0</w:t>
            </w:r>
          </w:p>
        </w:tc>
        <w:tc>
          <w:tcPr>
            <w:tcW w:w="1231" w:type="dxa"/>
            <w:tcBorders>
              <w:top w:val="dotted" w:sz="4" w:space="0" w:color="auto"/>
              <w:left w:val="single" w:sz="4" w:space="0" w:color="auto"/>
              <w:bottom w:val="dotted" w:sz="4" w:space="0" w:color="auto"/>
              <w:right w:val="single" w:sz="4" w:space="0" w:color="auto"/>
            </w:tcBorders>
            <w:vAlign w:val="center"/>
          </w:tcPr>
          <w:p w14:paraId="0CC380AB" w14:textId="5C0511C1" w:rsidR="003F027D" w:rsidRDefault="00240BF6" w:rsidP="00240BF6">
            <w:pPr>
              <w:spacing w:before="60" w:after="20" w:line="288" w:lineRule="auto"/>
              <w:ind w:firstLine="0"/>
              <w:jc w:val="right"/>
              <w:rPr>
                <w:rFonts w:cs="Tahoma"/>
                <w:sz w:val="20"/>
                <w:szCs w:val="20"/>
              </w:rPr>
            </w:pPr>
            <w:r>
              <w:rPr>
                <w:rFonts w:cs="Tahoma"/>
                <w:sz w:val="20"/>
                <w:szCs w:val="20"/>
              </w:rPr>
              <w:t>0,0</w:t>
            </w:r>
          </w:p>
        </w:tc>
      </w:tr>
      <w:tr w:rsidR="007C268B" w:rsidRPr="00821AF6" w14:paraId="47458FF3" w14:textId="77777777" w:rsidTr="003F027D">
        <w:trPr>
          <w:cantSplit/>
          <w:jc w:val="center"/>
        </w:trPr>
        <w:tc>
          <w:tcPr>
            <w:tcW w:w="638" w:type="dxa"/>
            <w:tcBorders>
              <w:top w:val="dotted" w:sz="4" w:space="0" w:color="auto"/>
              <w:left w:val="single" w:sz="4" w:space="0" w:color="auto"/>
              <w:bottom w:val="dotted" w:sz="4" w:space="0" w:color="auto"/>
              <w:right w:val="single" w:sz="4" w:space="0" w:color="auto"/>
            </w:tcBorders>
            <w:vAlign w:val="center"/>
          </w:tcPr>
          <w:p w14:paraId="463A7DC8" w14:textId="52B04B32" w:rsidR="007C268B" w:rsidRDefault="007C268B" w:rsidP="00240BF6">
            <w:pPr>
              <w:spacing w:before="60" w:after="20" w:line="288" w:lineRule="auto"/>
              <w:ind w:firstLine="0"/>
              <w:jc w:val="center"/>
              <w:rPr>
                <w:rFonts w:cs="Tahoma"/>
                <w:sz w:val="20"/>
                <w:szCs w:val="20"/>
              </w:rPr>
            </w:pPr>
            <w:r>
              <w:rPr>
                <w:rFonts w:cs="Tahoma"/>
                <w:sz w:val="20"/>
                <w:szCs w:val="20"/>
              </w:rPr>
              <w:t>1c</w:t>
            </w:r>
          </w:p>
        </w:tc>
        <w:tc>
          <w:tcPr>
            <w:tcW w:w="4741" w:type="dxa"/>
            <w:tcBorders>
              <w:top w:val="dotted" w:sz="4" w:space="0" w:color="auto"/>
              <w:left w:val="single" w:sz="4" w:space="0" w:color="auto"/>
              <w:bottom w:val="dotted" w:sz="4" w:space="0" w:color="auto"/>
              <w:right w:val="single" w:sz="4" w:space="0" w:color="auto"/>
            </w:tcBorders>
            <w:vAlign w:val="center"/>
          </w:tcPr>
          <w:p w14:paraId="4CF82C96" w14:textId="5E917E5B" w:rsidR="007C268B" w:rsidRDefault="007C268B" w:rsidP="00240BF6">
            <w:pPr>
              <w:spacing w:before="60" w:after="20" w:line="288" w:lineRule="auto"/>
              <w:ind w:firstLine="0"/>
              <w:rPr>
                <w:rFonts w:cs="Tahoma"/>
                <w:sz w:val="20"/>
                <w:szCs w:val="20"/>
              </w:rPr>
            </w:pPr>
            <w:r>
              <w:rPr>
                <w:rFonts w:cs="Tahoma"/>
                <w:sz w:val="20"/>
                <w:szCs w:val="20"/>
              </w:rPr>
              <w:t>– w tym koszty wytworzenia na własne potrzeby</w:t>
            </w:r>
          </w:p>
        </w:tc>
        <w:tc>
          <w:tcPr>
            <w:tcW w:w="1231" w:type="dxa"/>
            <w:tcBorders>
              <w:top w:val="dotted" w:sz="4" w:space="0" w:color="auto"/>
              <w:left w:val="single" w:sz="4" w:space="0" w:color="auto"/>
              <w:bottom w:val="dotted" w:sz="4" w:space="0" w:color="auto"/>
              <w:right w:val="single" w:sz="4" w:space="0" w:color="auto"/>
            </w:tcBorders>
            <w:vAlign w:val="center"/>
          </w:tcPr>
          <w:p w14:paraId="67D3428B" w14:textId="498701B7" w:rsidR="007C268B" w:rsidRDefault="00240BF6" w:rsidP="00240BF6">
            <w:pPr>
              <w:spacing w:before="60" w:after="20" w:line="288" w:lineRule="auto"/>
              <w:ind w:firstLine="0"/>
              <w:jc w:val="right"/>
              <w:rPr>
                <w:rFonts w:cs="Tahoma"/>
                <w:sz w:val="20"/>
                <w:szCs w:val="20"/>
              </w:rPr>
            </w:pPr>
            <w:r>
              <w:rPr>
                <w:rFonts w:cs="Tahoma"/>
                <w:sz w:val="20"/>
                <w:szCs w:val="20"/>
              </w:rPr>
              <w:t>0,0</w:t>
            </w:r>
          </w:p>
        </w:tc>
        <w:tc>
          <w:tcPr>
            <w:tcW w:w="1231" w:type="dxa"/>
            <w:tcBorders>
              <w:top w:val="dotted" w:sz="4" w:space="0" w:color="auto"/>
              <w:left w:val="single" w:sz="4" w:space="0" w:color="auto"/>
              <w:bottom w:val="dotted" w:sz="4" w:space="0" w:color="auto"/>
              <w:right w:val="single" w:sz="4" w:space="0" w:color="auto"/>
            </w:tcBorders>
            <w:vAlign w:val="center"/>
          </w:tcPr>
          <w:p w14:paraId="2EACB659" w14:textId="5B599E4C" w:rsidR="007C268B" w:rsidRDefault="00240BF6" w:rsidP="00240BF6">
            <w:pPr>
              <w:spacing w:before="60" w:after="20" w:line="288" w:lineRule="auto"/>
              <w:ind w:firstLine="0"/>
              <w:jc w:val="right"/>
              <w:rPr>
                <w:rFonts w:cs="Tahoma"/>
                <w:sz w:val="20"/>
                <w:szCs w:val="20"/>
              </w:rPr>
            </w:pPr>
            <w:r>
              <w:rPr>
                <w:rFonts w:cs="Tahoma"/>
                <w:sz w:val="20"/>
                <w:szCs w:val="20"/>
              </w:rPr>
              <w:t>0,0</w:t>
            </w:r>
          </w:p>
        </w:tc>
        <w:tc>
          <w:tcPr>
            <w:tcW w:w="1231" w:type="dxa"/>
            <w:tcBorders>
              <w:top w:val="dotted" w:sz="4" w:space="0" w:color="auto"/>
              <w:left w:val="single" w:sz="4" w:space="0" w:color="auto"/>
              <w:bottom w:val="dotted" w:sz="4" w:space="0" w:color="auto"/>
              <w:right w:val="single" w:sz="4" w:space="0" w:color="auto"/>
            </w:tcBorders>
            <w:vAlign w:val="center"/>
          </w:tcPr>
          <w:p w14:paraId="32DC44BB" w14:textId="181ABB21" w:rsidR="007C268B" w:rsidRDefault="00240BF6" w:rsidP="00240BF6">
            <w:pPr>
              <w:spacing w:before="60" w:after="20" w:line="288" w:lineRule="auto"/>
              <w:ind w:firstLine="0"/>
              <w:jc w:val="right"/>
              <w:rPr>
                <w:rFonts w:cs="Tahoma"/>
                <w:sz w:val="20"/>
                <w:szCs w:val="20"/>
              </w:rPr>
            </w:pPr>
            <w:r>
              <w:rPr>
                <w:rFonts w:cs="Tahoma"/>
                <w:sz w:val="20"/>
                <w:szCs w:val="20"/>
              </w:rPr>
              <w:t>0,0</w:t>
            </w:r>
          </w:p>
        </w:tc>
      </w:tr>
      <w:tr w:rsidR="003F027D" w:rsidRPr="00821AF6" w14:paraId="7BDC13B0" w14:textId="77777777" w:rsidTr="003F027D">
        <w:trPr>
          <w:cantSplit/>
          <w:jc w:val="center"/>
        </w:trPr>
        <w:tc>
          <w:tcPr>
            <w:tcW w:w="638" w:type="dxa"/>
            <w:tcBorders>
              <w:top w:val="dotted" w:sz="4" w:space="0" w:color="auto"/>
              <w:left w:val="single" w:sz="4" w:space="0" w:color="auto"/>
              <w:bottom w:val="dotted" w:sz="4" w:space="0" w:color="auto"/>
              <w:right w:val="single" w:sz="4" w:space="0" w:color="auto"/>
            </w:tcBorders>
            <w:vAlign w:val="center"/>
          </w:tcPr>
          <w:p w14:paraId="04ABF763" w14:textId="01F9D421" w:rsidR="003F027D" w:rsidRPr="00821AF6" w:rsidRDefault="007C268B" w:rsidP="00240BF6">
            <w:pPr>
              <w:spacing w:before="60" w:after="20" w:line="288" w:lineRule="auto"/>
              <w:ind w:firstLine="0"/>
              <w:jc w:val="center"/>
              <w:rPr>
                <w:rFonts w:cs="Tahoma"/>
                <w:sz w:val="20"/>
                <w:szCs w:val="20"/>
              </w:rPr>
            </w:pPr>
            <w:r>
              <w:rPr>
                <w:rFonts w:cs="Tahoma"/>
                <w:sz w:val="20"/>
                <w:szCs w:val="20"/>
              </w:rPr>
              <w:t>1d</w:t>
            </w:r>
          </w:p>
        </w:tc>
        <w:tc>
          <w:tcPr>
            <w:tcW w:w="4741" w:type="dxa"/>
            <w:tcBorders>
              <w:top w:val="dotted" w:sz="4" w:space="0" w:color="auto"/>
              <w:left w:val="single" w:sz="4" w:space="0" w:color="auto"/>
              <w:bottom w:val="dotted" w:sz="4" w:space="0" w:color="auto"/>
              <w:right w:val="single" w:sz="4" w:space="0" w:color="auto"/>
            </w:tcBorders>
            <w:vAlign w:val="center"/>
          </w:tcPr>
          <w:p w14:paraId="543E366E" w14:textId="77777777" w:rsidR="003F027D" w:rsidRPr="00821AF6" w:rsidRDefault="003F027D" w:rsidP="00240BF6">
            <w:pPr>
              <w:spacing w:before="60" w:after="20" w:line="288" w:lineRule="auto"/>
              <w:ind w:firstLine="0"/>
              <w:rPr>
                <w:rFonts w:cs="Tahoma"/>
                <w:sz w:val="20"/>
                <w:szCs w:val="20"/>
              </w:rPr>
            </w:pPr>
            <w:r w:rsidRPr="00821AF6">
              <w:rPr>
                <w:rFonts w:cs="Tahoma"/>
                <w:sz w:val="20"/>
                <w:szCs w:val="20"/>
              </w:rPr>
              <w:t>– w tym przychody ze sprzedaży towarów i mat.</w:t>
            </w:r>
          </w:p>
        </w:tc>
        <w:tc>
          <w:tcPr>
            <w:tcW w:w="1231" w:type="dxa"/>
            <w:tcBorders>
              <w:top w:val="dotted" w:sz="4" w:space="0" w:color="auto"/>
              <w:left w:val="single" w:sz="4" w:space="0" w:color="auto"/>
              <w:bottom w:val="dotted" w:sz="4" w:space="0" w:color="auto"/>
              <w:right w:val="single" w:sz="4" w:space="0" w:color="auto"/>
            </w:tcBorders>
            <w:vAlign w:val="center"/>
          </w:tcPr>
          <w:p w14:paraId="71BAECE7" w14:textId="2440DD30" w:rsidR="003F027D" w:rsidRPr="00821AF6" w:rsidRDefault="00240BF6" w:rsidP="00240BF6">
            <w:pPr>
              <w:spacing w:before="60" w:after="20" w:line="288" w:lineRule="auto"/>
              <w:ind w:firstLine="0"/>
              <w:jc w:val="right"/>
              <w:rPr>
                <w:rFonts w:cs="Tahoma"/>
                <w:sz w:val="20"/>
                <w:szCs w:val="20"/>
              </w:rPr>
            </w:pPr>
            <w:r>
              <w:rPr>
                <w:rFonts w:cs="Tahoma"/>
                <w:sz w:val="20"/>
                <w:szCs w:val="20"/>
              </w:rPr>
              <w:t>10 842,7</w:t>
            </w:r>
          </w:p>
        </w:tc>
        <w:tc>
          <w:tcPr>
            <w:tcW w:w="1231" w:type="dxa"/>
            <w:tcBorders>
              <w:top w:val="dotted" w:sz="4" w:space="0" w:color="auto"/>
              <w:left w:val="single" w:sz="4" w:space="0" w:color="auto"/>
              <w:bottom w:val="dotted" w:sz="4" w:space="0" w:color="auto"/>
              <w:right w:val="single" w:sz="4" w:space="0" w:color="auto"/>
            </w:tcBorders>
            <w:vAlign w:val="center"/>
          </w:tcPr>
          <w:p w14:paraId="2B1F5D0B" w14:textId="635B3FDC" w:rsidR="003F027D" w:rsidRPr="00821AF6" w:rsidRDefault="00240BF6" w:rsidP="00240BF6">
            <w:pPr>
              <w:spacing w:before="60" w:after="20" w:line="288" w:lineRule="auto"/>
              <w:ind w:firstLine="0"/>
              <w:jc w:val="right"/>
              <w:rPr>
                <w:rFonts w:cs="Tahoma"/>
                <w:sz w:val="20"/>
                <w:szCs w:val="20"/>
              </w:rPr>
            </w:pPr>
            <w:r>
              <w:rPr>
                <w:rFonts w:cs="Tahoma"/>
                <w:sz w:val="20"/>
                <w:szCs w:val="20"/>
              </w:rPr>
              <w:t>10 141,3</w:t>
            </w:r>
          </w:p>
        </w:tc>
        <w:tc>
          <w:tcPr>
            <w:tcW w:w="1231" w:type="dxa"/>
            <w:tcBorders>
              <w:top w:val="dotted" w:sz="4" w:space="0" w:color="auto"/>
              <w:left w:val="single" w:sz="4" w:space="0" w:color="auto"/>
              <w:bottom w:val="dotted" w:sz="4" w:space="0" w:color="auto"/>
              <w:right w:val="single" w:sz="4" w:space="0" w:color="auto"/>
            </w:tcBorders>
            <w:vAlign w:val="center"/>
          </w:tcPr>
          <w:p w14:paraId="6D41440A" w14:textId="6F119AB0" w:rsidR="003F027D" w:rsidRPr="00821AF6" w:rsidRDefault="00240BF6" w:rsidP="00240BF6">
            <w:pPr>
              <w:spacing w:before="60" w:after="20" w:line="288" w:lineRule="auto"/>
              <w:ind w:firstLine="0"/>
              <w:jc w:val="right"/>
              <w:rPr>
                <w:rFonts w:cs="Tahoma"/>
                <w:sz w:val="20"/>
                <w:szCs w:val="20"/>
              </w:rPr>
            </w:pPr>
            <w:r>
              <w:rPr>
                <w:rFonts w:cs="Tahoma"/>
                <w:sz w:val="20"/>
                <w:szCs w:val="20"/>
              </w:rPr>
              <w:t>8 268,2</w:t>
            </w:r>
          </w:p>
        </w:tc>
      </w:tr>
      <w:tr w:rsidR="003F027D" w:rsidRPr="00821AF6" w14:paraId="7A475310" w14:textId="77777777" w:rsidTr="003F027D">
        <w:trPr>
          <w:cantSplit/>
          <w:jc w:val="center"/>
        </w:trPr>
        <w:tc>
          <w:tcPr>
            <w:tcW w:w="638" w:type="dxa"/>
            <w:tcBorders>
              <w:top w:val="single" w:sz="4" w:space="0" w:color="auto"/>
              <w:left w:val="single" w:sz="4" w:space="0" w:color="auto"/>
              <w:bottom w:val="single" w:sz="4" w:space="0" w:color="auto"/>
              <w:right w:val="single" w:sz="4" w:space="0" w:color="auto"/>
            </w:tcBorders>
            <w:vAlign w:val="center"/>
          </w:tcPr>
          <w:p w14:paraId="44EC420B" w14:textId="77777777" w:rsidR="003F027D" w:rsidRPr="00821AF6" w:rsidRDefault="003F027D" w:rsidP="00240BF6">
            <w:pPr>
              <w:spacing w:before="60" w:after="20" w:line="288" w:lineRule="auto"/>
              <w:ind w:firstLine="0"/>
              <w:jc w:val="center"/>
              <w:rPr>
                <w:rFonts w:cs="Tahoma"/>
                <w:b/>
                <w:sz w:val="20"/>
                <w:szCs w:val="20"/>
              </w:rPr>
            </w:pPr>
            <w:r w:rsidRPr="00821AF6">
              <w:rPr>
                <w:rFonts w:cs="Tahoma"/>
                <w:b/>
                <w:sz w:val="20"/>
                <w:szCs w:val="20"/>
              </w:rPr>
              <w:t>2</w:t>
            </w:r>
          </w:p>
        </w:tc>
        <w:tc>
          <w:tcPr>
            <w:tcW w:w="4741" w:type="dxa"/>
            <w:tcBorders>
              <w:top w:val="single" w:sz="4" w:space="0" w:color="auto"/>
              <w:left w:val="single" w:sz="4" w:space="0" w:color="auto"/>
              <w:bottom w:val="single" w:sz="4" w:space="0" w:color="auto"/>
              <w:right w:val="single" w:sz="4" w:space="0" w:color="auto"/>
            </w:tcBorders>
            <w:vAlign w:val="center"/>
          </w:tcPr>
          <w:p w14:paraId="36AE8A9F" w14:textId="77777777" w:rsidR="003F027D" w:rsidRPr="00821AF6" w:rsidRDefault="003F027D" w:rsidP="00240BF6">
            <w:pPr>
              <w:spacing w:before="60" w:after="20" w:line="288" w:lineRule="auto"/>
              <w:ind w:firstLine="0"/>
              <w:jc w:val="left"/>
              <w:rPr>
                <w:rFonts w:cs="Tahoma"/>
                <w:b/>
                <w:sz w:val="20"/>
                <w:szCs w:val="20"/>
              </w:rPr>
            </w:pPr>
            <w:r w:rsidRPr="00821AF6">
              <w:rPr>
                <w:rFonts w:cs="Tahoma"/>
                <w:b/>
                <w:sz w:val="20"/>
                <w:szCs w:val="20"/>
              </w:rPr>
              <w:t xml:space="preserve">Koszty </w:t>
            </w:r>
            <w:r>
              <w:rPr>
                <w:rFonts w:cs="Tahoma"/>
                <w:b/>
                <w:sz w:val="20"/>
                <w:szCs w:val="20"/>
              </w:rPr>
              <w:t>działalności operacyjnej</w:t>
            </w:r>
          </w:p>
        </w:tc>
        <w:tc>
          <w:tcPr>
            <w:tcW w:w="1231" w:type="dxa"/>
            <w:tcBorders>
              <w:top w:val="single" w:sz="4" w:space="0" w:color="auto"/>
              <w:left w:val="single" w:sz="4" w:space="0" w:color="auto"/>
              <w:bottom w:val="single" w:sz="4" w:space="0" w:color="auto"/>
              <w:right w:val="single" w:sz="4" w:space="0" w:color="auto"/>
            </w:tcBorders>
            <w:vAlign w:val="center"/>
          </w:tcPr>
          <w:p w14:paraId="6108BB71" w14:textId="36F61F1E" w:rsidR="003F027D" w:rsidRPr="00821AF6" w:rsidRDefault="00240BF6" w:rsidP="00240BF6">
            <w:pPr>
              <w:spacing w:before="60" w:after="20" w:line="288" w:lineRule="auto"/>
              <w:ind w:firstLine="0"/>
              <w:jc w:val="right"/>
              <w:rPr>
                <w:rFonts w:cs="Tahoma"/>
                <w:b/>
                <w:sz w:val="20"/>
                <w:szCs w:val="20"/>
              </w:rPr>
            </w:pPr>
            <w:r>
              <w:rPr>
                <w:rFonts w:cs="Tahoma"/>
                <w:b/>
                <w:sz w:val="20"/>
                <w:szCs w:val="20"/>
              </w:rPr>
              <w:t>87 546,0</w:t>
            </w:r>
          </w:p>
        </w:tc>
        <w:tc>
          <w:tcPr>
            <w:tcW w:w="1231" w:type="dxa"/>
            <w:tcBorders>
              <w:top w:val="single" w:sz="4" w:space="0" w:color="auto"/>
              <w:left w:val="single" w:sz="4" w:space="0" w:color="auto"/>
              <w:bottom w:val="single" w:sz="4" w:space="0" w:color="auto"/>
              <w:right w:val="single" w:sz="4" w:space="0" w:color="auto"/>
            </w:tcBorders>
            <w:vAlign w:val="center"/>
          </w:tcPr>
          <w:p w14:paraId="270BDB68" w14:textId="45DCB00C" w:rsidR="003F027D" w:rsidRPr="00821AF6" w:rsidRDefault="00240BF6" w:rsidP="00240BF6">
            <w:pPr>
              <w:spacing w:before="60" w:after="20" w:line="288" w:lineRule="auto"/>
              <w:ind w:firstLine="0"/>
              <w:jc w:val="right"/>
              <w:rPr>
                <w:rFonts w:cs="Tahoma"/>
                <w:b/>
                <w:sz w:val="20"/>
                <w:szCs w:val="20"/>
              </w:rPr>
            </w:pPr>
            <w:r>
              <w:rPr>
                <w:rFonts w:cs="Tahoma"/>
                <w:b/>
                <w:sz w:val="20"/>
                <w:szCs w:val="20"/>
              </w:rPr>
              <w:t>100 757,8</w:t>
            </w:r>
          </w:p>
        </w:tc>
        <w:tc>
          <w:tcPr>
            <w:tcW w:w="1231" w:type="dxa"/>
            <w:tcBorders>
              <w:top w:val="single" w:sz="4" w:space="0" w:color="auto"/>
              <w:left w:val="single" w:sz="4" w:space="0" w:color="auto"/>
              <w:right w:val="single" w:sz="4" w:space="0" w:color="auto"/>
            </w:tcBorders>
            <w:vAlign w:val="center"/>
          </w:tcPr>
          <w:p w14:paraId="0CECFA34" w14:textId="4E19001B" w:rsidR="003F027D" w:rsidRPr="00821AF6" w:rsidRDefault="00240BF6" w:rsidP="00240BF6">
            <w:pPr>
              <w:spacing w:before="60" w:after="20" w:line="288" w:lineRule="auto"/>
              <w:ind w:firstLine="0"/>
              <w:jc w:val="right"/>
              <w:rPr>
                <w:rFonts w:cs="Tahoma"/>
                <w:b/>
                <w:sz w:val="20"/>
                <w:szCs w:val="20"/>
              </w:rPr>
            </w:pPr>
            <w:r>
              <w:rPr>
                <w:rFonts w:cs="Tahoma"/>
                <w:b/>
                <w:sz w:val="20"/>
                <w:szCs w:val="20"/>
              </w:rPr>
              <w:t>98 200,0</w:t>
            </w:r>
          </w:p>
        </w:tc>
      </w:tr>
      <w:tr w:rsidR="003F027D" w:rsidRPr="00821AF6" w14:paraId="1318F5BA" w14:textId="77777777" w:rsidTr="003F027D">
        <w:trPr>
          <w:cantSplit/>
          <w:jc w:val="center"/>
        </w:trPr>
        <w:tc>
          <w:tcPr>
            <w:tcW w:w="638" w:type="dxa"/>
            <w:tcBorders>
              <w:top w:val="single" w:sz="4" w:space="0" w:color="auto"/>
              <w:left w:val="single" w:sz="4" w:space="0" w:color="auto"/>
              <w:bottom w:val="single" w:sz="4" w:space="0" w:color="auto"/>
              <w:right w:val="single" w:sz="4" w:space="0" w:color="auto"/>
            </w:tcBorders>
            <w:vAlign w:val="center"/>
          </w:tcPr>
          <w:p w14:paraId="1D4A732B" w14:textId="77777777" w:rsidR="003F027D" w:rsidRPr="00821AF6" w:rsidRDefault="003F027D" w:rsidP="00240BF6">
            <w:pPr>
              <w:spacing w:before="60" w:after="20" w:line="288" w:lineRule="auto"/>
              <w:ind w:firstLine="0"/>
              <w:jc w:val="center"/>
              <w:rPr>
                <w:rFonts w:cs="Tahoma"/>
                <w:b/>
                <w:sz w:val="20"/>
                <w:szCs w:val="20"/>
              </w:rPr>
            </w:pPr>
            <w:r>
              <w:rPr>
                <w:rFonts w:cs="Tahoma"/>
                <w:b/>
                <w:sz w:val="20"/>
                <w:szCs w:val="20"/>
              </w:rPr>
              <w:t>3</w:t>
            </w:r>
          </w:p>
        </w:tc>
        <w:tc>
          <w:tcPr>
            <w:tcW w:w="4741" w:type="dxa"/>
            <w:tcBorders>
              <w:top w:val="single" w:sz="4" w:space="0" w:color="auto"/>
              <w:left w:val="single" w:sz="4" w:space="0" w:color="auto"/>
              <w:bottom w:val="single" w:sz="4" w:space="0" w:color="auto"/>
              <w:right w:val="single" w:sz="4" w:space="0" w:color="auto"/>
            </w:tcBorders>
            <w:vAlign w:val="center"/>
          </w:tcPr>
          <w:p w14:paraId="4C30F0E4" w14:textId="77777777" w:rsidR="003F027D" w:rsidRPr="00821AF6" w:rsidRDefault="003F027D" w:rsidP="00240BF6">
            <w:pPr>
              <w:spacing w:before="60" w:after="20" w:line="288" w:lineRule="auto"/>
              <w:ind w:firstLine="0"/>
              <w:jc w:val="left"/>
              <w:rPr>
                <w:rFonts w:cs="Tahoma"/>
                <w:b/>
                <w:sz w:val="20"/>
                <w:szCs w:val="20"/>
              </w:rPr>
            </w:pPr>
            <w:r w:rsidRPr="00821AF6">
              <w:rPr>
                <w:rFonts w:cs="Tahoma"/>
                <w:b/>
                <w:sz w:val="20"/>
                <w:szCs w:val="20"/>
              </w:rPr>
              <w:t>Zysk ze sprzedaży</w:t>
            </w:r>
          </w:p>
        </w:tc>
        <w:tc>
          <w:tcPr>
            <w:tcW w:w="1231" w:type="dxa"/>
            <w:tcBorders>
              <w:top w:val="single" w:sz="4" w:space="0" w:color="auto"/>
              <w:left w:val="single" w:sz="4" w:space="0" w:color="auto"/>
              <w:bottom w:val="single" w:sz="4" w:space="0" w:color="auto"/>
              <w:right w:val="single" w:sz="4" w:space="0" w:color="auto"/>
            </w:tcBorders>
            <w:vAlign w:val="center"/>
          </w:tcPr>
          <w:p w14:paraId="0C96447B" w14:textId="3025F888" w:rsidR="003F027D" w:rsidRPr="00821AF6" w:rsidRDefault="00240BF6" w:rsidP="00240BF6">
            <w:pPr>
              <w:spacing w:before="60" w:after="20" w:line="288" w:lineRule="auto"/>
              <w:ind w:firstLine="0"/>
              <w:jc w:val="right"/>
              <w:rPr>
                <w:rFonts w:cs="Tahoma"/>
                <w:b/>
                <w:sz w:val="20"/>
                <w:szCs w:val="20"/>
              </w:rPr>
            </w:pPr>
            <w:r>
              <w:rPr>
                <w:rFonts w:cs="Tahoma"/>
                <w:b/>
                <w:sz w:val="20"/>
                <w:szCs w:val="20"/>
              </w:rPr>
              <w:t>-518,8</w:t>
            </w:r>
          </w:p>
        </w:tc>
        <w:tc>
          <w:tcPr>
            <w:tcW w:w="1231" w:type="dxa"/>
            <w:tcBorders>
              <w:top w:val="single" w:sz="4" w:space="0" w:color="auto"/>
              <w:left w:val="single" w:sz="4" w:space="0" w:color="auto"/>
              <w:bottom w:val="single" w:sz="4" w:space="0" w:color="auto"/>
              <w:right w:val="single" w:sz="4" w:space="0" w:color="auto"/>
            </w:tcBorders>
            <w:vAlign w:val="center"/>
          </w:tcPr>
          <w:p w14:paraId="7BCDDA80" w14:textId="4CBE9635" w:rsidR="003F027D" w:rsidRPr="00821AF6" w:rsidRDefault="00240BF6" w:rsidP="00240BF6">
            <w:pPr>
              <w:spacing w:before="60" w:after="20" w:line="288" w:lineRule="auto"/>
              <w:ind w:firstLine="0"/>
              <w:jc w:val="right"/>
              <w:rPr>
                <w:rFonts w:cs="Tahoma"/>
                <w:b/>
                <w:sz w:val="20"/>
                <w:szCs w:val="20"/>
              </w:rPr>
            </w:pPr>
            <w:r>
              <w:rPr>
                <w:rFonts w:cs="Tahoma"/>
                <w:b/>
                <w:sz w:val="20"/>
                <w:szCs w:val="20"/>
              </w:rPr>
              <w:t>1 509,5</w:t>
            </w:r>
          </w:p>
        </w:tc>
        <w:tc>
          <w:tcPr>
            <w:tcW w:w="1231" w:type="dxa"/>
            <w:tcBorders>
              <w:top w:val="single" w:sz="4" w:space="0" w:color="auto"/>
              <w:left w:val="single" w:sz="4" w:space="0" w:color="auto"/>
              <w:bottom w:val="single" w:sz="4" w:space="0" w:color="auto"/>
              <w:right w:val="single" w:sz="4" w:space="0" w:color="auto"/>
            </w:tcBorders>
            <w:vAlign w:val="center"/>
          </w:tcPr>
          <w:p w14:paraId="23446D11" w14:textId="4695541B" w:rsidR="003F027D" w:rsidRPr="00821AF6" w:rsidRDefault="00240BF6" w:rsidP="00240BF6">
            <w:pPr>
              <w:spacing w:before="60" w:after="20" w:line="288" w:lineRule="auto"/>
              <w:ind w:firstLine="0"/>
              <w:jc w:val="right"/>
              <w:rPr>
                <w:rFonts w:cs="Tahoma"/>
                <w:b/>
                <w:sz w:val="20"/>
                <w:szCs w:val="20"/>
              </w:rPr>
            </w:pPr>
            <w:r>
              <w:rPr>
                <w:rFonts w:cs="Tahoma"/>
                <w:b/>
                <w:sz w:val="20"/>
                <w:szCs w:val="20"/>
              </w:rPr>
              <w:t>-742,4</w:t>
            </w:r>
          </w:p>
        </w:tc>
      </w:tr>
      <w:tr w:rsidR="003F027D" w:rsidRPr="00821AF6" w14:paraId="677E1C7B" w14:textId="77777777" w:rsidTr="003F027D">
        <w:trPr>
          <w:cantSplit/>
          <w:jc w:val="center"/>
        </w:trPr>
        <w:tc>
          <w:tcPr>
            <w:tcW w:w="638" w:type="dxa"/>
            <w:tcBorders>
              <w:top w:val="single" w:sz="4" w:space="0" w:color="auto"/>
              <w:left w:val="single" w:sz="4" w:space="0" w:color="auto"/>
              <w:bottom w:val="dotted" w:sz="4" w:space="0" w:color="auto"/>
              <w:right w:val="single" w:sz="4" w:space="0" w:color="auto"/>
            </w:tcBorders>
            <w:vAlign w:val="center"/>
          </w:tcPr>
          <w:p w14:paraId="3F979E29" w14:textId="77777777" w:rsidR="003F027D" w:rsidRPr="00821AF6" w:rsidRDefault="003F027D" w:rsidP="00240BF6">
            <w:pPr>
              <w:spacing w:before="60" w:after="20" w:line="288" w:lineRule="auto"/>
              <w:ind w:firstLine="0"/>
              <w:jc w:val="center"/>
              <w:rPr>
                <w:rFonts w:cs="Tahoma"/>
                <w:sz w:val="20"/>
                <w:szCs w:val="20"/>
              </w:rPr>
            </w:pPr>
            <w:r>
              <w:rPr>
                <w:rFonts w:cs="Tahoma"/>
                <w:sz w:val="20"/>
                <w:szCs w:val="20"/>
              </w:rPr>
              <w:t>4</w:t>
            </w:r>
          </w:p>
        </w:tc>
        <w:tc>
          <w:tcPr>
            <w:tcW w:w="4741" w:type="dxa"/>
            <w:tcBorders>
              <w:top w:val="single" w:sz="4" w:space="0" w:color="auto"/>
              <w:left w:val="single" w:sz="4" w:space="0" w:color="auto"/>
              <w:bottom w:val="dotted" w:sz="4" w:space="0" w:color="auto"/>
              <w:right w:val="single" w:sz="4" w:space="0" w:color="auto"/>
            </w:tcBorders>
            <w:vAlign w:val="center"/>
          </w:tcPr>
          <w:p w14:paraId="369B7093" w14:textId="77777777" w:rsidR="003F027D" w:rsidRPr="00821AF6" w:rsidRDefault="003F027D" w:rsidP="00240BF6">
            <w:pPr>
              <w:spacing w:before="60" w:after="20" w:line="288" w:lineRule="auto"/>
              <w:ind w:firstLine="0"/>
              <w:jc w:val="left"/>
              <w:rPr>
                <w:rFonts w:cs="Tahoma"/>
                <w:sz w:val="20"/>
                <w:szCs w:val="20"/>
              </w:rPr>
            </w:pPr>
            <w:r w:rsidRPr="00821AF6">
              <w:rPr>
                <w:rFonts w:cs="Tahoma"/>
                <w:sz w:val="20"/>
                <w:szCs w:val="20"/>
              </w:rPr>
              <w:t>Pozostałe przychody operacyjne</w:t>
            </w:r>
          </w:p>
        </w:tc>
        <w:tc>
          <w:tcPr>
            <w:tcW w:w="1231" w:type="dxa"/>
            <w:tcBorders>
              <w:top w:val="single" w:sz="4" w:space="0" w:color="auto"/>
              <w:left w:val="single" w:sz="4" w:space="0" w:color="auto"/>
              <w:bottom w:val="dotted" w:sz="4" w:space="0" w:color="auto"/>
              <w:right w:val="single" w:sz="4" w:space="0" w:color="auto"/>
            </w:tcBorders>
            <w:vAlign w:val="center"/>
          </w:tcPr>
          <w:p w14:paraId="043A7D8A" w14:textId="0DF94E8A" w:rsidR="003F027D" w:rsidRPr="00821AF6" w:rsidRDefault="00240BF6" w:rsidP="00240BF6">
            <w:pPr>
              <w:spacing w:before="60" w:after="20" w:line="288" w:lineRule="auto"/>
              <w:ind w:firstLine="0"/>
              <w:jc w:val="right"/>
              <w:rPr>
                <w:rFonts w:cs="Tahoma"/>
                <w:sz w:val="20"/>
                <w:szCs w:val="20"/>
              </w:rPr>
            </w:pPr>
            <w:r>
              <w:rPr>
                <w:rFonts w:cs="Tahoma"/>
                <w:sz w:val="20"/>
                <w:szCs w:val="20"/>
              </w:rPr>
              <w:t>2 713,6</w:t>
            </w:r>
          </w:p>
        </w:tc>
        <w:tc>
          <w:tcPr>
            <w:tcW w:w="1231" w:type="dxa"/>
            <w:tcBorders>
              <w:top w:val="single" w:sz="4" w:space="0" w:color="auto"/>
              <w:left w:val="single" w:sz="4" w:space="0" w:color="auto"/>
              <w:bottom w:val="dotted" w:sz="4" w:space="0" w:color="auto"/>
              <w:right w:val="single" w:sz="4" w:space="0" w:color="auto"/>
            </w:tcBorders>
            <w:vAlign w:val="center"/>
          </w:tcPr>
          <w:p w14:paraId="52EECB35" w14:textId="1649F0CD" w:rsidR="003F027D" w:rsidRPr="00821AF6" w:rsidRDefault="00240BF6" w:rsidP="00240BF6">
            <w:pPr>
              <w:spacing w:before="60" w:after="20" w:line="288" w:lineRule="auto"/>
              <w:ind w:firstLine="0"/>
              <w:jc w:val="right"/>
              <w:rPr>
                <w:rFonts w:cs="Tahoma"/>
                <w:sz w:val="20"/>
                <w:szCs w:val="20"/>
              </w:rPr>
            </w:pPr>
            <w:r>
              <w:rPr>
                <w:rFonts w:cs="Tahoma"/>
                <w:sz w:val="20"/>
                <w:szCs w:val="20"/>
              </w:rPr>
              <w:t>2 710,2</w:t>
            </w:r>
          </w:p>
        </w:tc>
        <w:tc>
          <w:tcPr>
            <w:tcW w:w="1231" w:type="dxa"/>
            <w:tcBorders>
              <w:top w:val="single" w:sz="4" w:space="0" w:color="auto"/>
              <w:left w:val="single" w:sz="4" w:space="0" w:color="auto"/>
              <w:bottom w:val="dotted" w:sz="4" w:space="0" w:color="auto"/>
              <w:right w:val="single" w:sz="4" w:space="0" w:color="auto"/>
            </w:tcBorders>
            <w:vAlign w:val="center"/>
          </w:tcPr>
          <w:p w14:paraId="2DF6934F" w14:textId="6C7AF3A8" w:rsidR="003F027D" w:rsidRPr="00821AF6" w:rsidRDefault="00240BF6" w:rsidP="00240BF6">
            <w:pPr>
              <w:spacing w:before="60" w:after="20" w:line="288" w:lineRule="auto"/>
              <w:ind w:firstLine="0"/>
              <w:jc w:val="right"/>
              <w:rPr>
                <w:rFonts w:cs="Tahoma"/>
                <w:sz w:val="20"/>
                <w:szCs w:val="20"/>
              </w:rPr>
            </w:pPr>
            <w:r>
              <w:rPr>
                <w:rFonts w:cs="Tahoma"/>
                <w:sz w:val="20"/>
                <w:szCs w:val="20"/>
              </w:rPr>
              <w:t>3 340,1</w:t>
            </w:r>
          </w:p>
        </w:tc>
      </w:tr>
      <w:tr w:rsidR="003F027D" w:rsidRPr="00821AF6" w14:paraId="2B9B4F1F" w14:textId="77777777" w:rsidTr="003F027D">
        <w:trPr>
          <w:cantSplit/>
          <w:jc w:val="center"/>
        </w:trPr>
        <w:tc>
          <w:tcPr>
            <w:tcW w:w="638" w:type="dxa"/>
            <w:tcBorders>
              <w:top w:val="single" w:sz="4" w:space="0" w:color="auto"/>
              <w:left w:val="single" w:sz="4" w:space="0" w:color="auto"/>
              <w:bottom w:val="single" w:sz="4" w:space="0" w:color="auto"/>
              <w:right w:val="single" w:sz="4" w:space="0" w:color="auto"/>
            </w:tcBorders>
            <w:vAlign w:val="center"/>
          </w:tcPr>
          <w:p w14:paraId="6C179244" w14:textId="77777777" w:rsidR="003F027D" w:rsidRPr="00821AF6" w:rsidRDefault="003F027D" w:rsidP="00240BF6">
            <w:pPr>
              <w:spacing w:before="60" w:after="20" w:line="288" w:lineRule="auto"/>
              <w:ind w:firstLine="0"/>
              <w:jc w:val="center"/>
              <w:rPr>
                <w:rFonts w:cs="Tahoma"/>
                <w:sz w:val="20"/>
                <w:szCs w:val="20"/>
              </w:rPr>
            </w:pPr>
            <w:r>
              <w:rPr>
                <w:rFonts w:cs="Tahoma"/>
                <w:sz w:val="20"/>
                <w:szCs w:val="20"/>
              </w:rPr>
              <w:t>5</w:t>
            </w:r>
          </w:p>
        </w:tc>
        <w:tc>
          <w:tcPr>
            <w:tcW w:w="4741" w:type="dxa"/>
            <w:tcBorders>
              <w:top w:val="single" w:sz="4" w:space="0" w:color="auto"/>
              <w:left w:val="single" w:sz="4" w:space="0" w:color="auto"/>
              <w:bottom w:val="single" w:sz="4" w:space="0" w:color="auto"/>
              <w:right w:val="single" w:sz="4" w:space="0" w:color="auto"/>
            </w:tcBorders>
            <w:vAlign w:val="center"/>
          </w:tcPr>
          <w:p w14:paraId="5F533702" w14:textId="77777777" w:rsidR="003F027D" w:rsidRPr="00821AF6" w:rsidRDefault="003F027D" w:rsidP="00240BF6">
            <w:pPr>
              <w:spacing w:before="60" w:after="20" w:line="288" w:lineRule="auto"/>
              <w:ind w:firstLine="0"/>
              <w:jc w:val="left"/>
              <w:rPr>
                <w:rFonts w:cs="Tahoma"/>
                <w:sz w:val="20"/>
                <w:szCs w:val="20"/>
              </w:rPr>
            </w:pPr>
            <w:r w:rsidRPr="00821AF6">
              <w:rPr>
                <w:rFonts w:cs="Tahoma"/>
                <w:sz w:val="20"/>
                <w:szCs w:val="20"/>
              </w:rPr>
              <w:t>Pozostałe koszty operacyjne</w:t>
            </w:r>
          </w:p>
        </w:tc>
        <w:tc>
          <w:tcPr>
            <w:tcW w:w="1231" w:type="dxa"/>
            <w:tcBorders>
              <w:top w:val="single" w:sz="4" w:space="0" w:color="auto"/>
              <w:left w:val="single" w:sz="4" w:space="0" w:color="auto"/>
              <w:bottom w:val="single" w:sz="4" w:space="0" w:color="auto"/>
              <w:right w:val="single" w:sz="4" w:space="0" w:color="auto"/>
            </w:tcBorders>
            <w:vAlign w:val="center"/>
          </w:tcPr>
          <w:p w14:paraId="16722EC1" w14:textId="4A62A564" w:rsidR="003F027D" w:rsidRPr="00821AF6" w:rsidRDefault="00240BF6" w:rsidP="00240BF6">
            <w:pPr>
              <w:spacing w:before="60" w:after="20" w:line="288" w:lineRule="auto"/>
              <w:ind w:firstLine="0"/>
              <w:jc w:val="right"/>
              <w:rPr>
                <w:rFonts w:cs="Tahoma"/>
                <w:sz w:val="20"/>
                <w:szCs w:val="20"/>
              </w:rPr>
            </w:pPr>
            <w:r>
              <w:rPr>
                <w:rFonts w:cs="Tahoma"/>
                <w:sz w:val="20"/>
                <w:szCs w:val="20"/>
              </w:rPr>
              <w:t>1 967,4</w:t>
            </w:r>
          </w:p>
        </w:tc>
        <w:tc>
          <w:tcPr>
            <w:tcW w:w="1231" w:type="dxa"/>
            <w:tcBorders>
              <w:top w:val="single" w:sz="4" w:space="0" w:color="auto"/>
              <w:left w:val="single" w:sz="4" w:space="0" w:color="auto"/>
              <w:bottom w:val="single" w:sz="4" w:space="0" w:color="auto"/>
              <w:right w:val="single" w:sz="4" w:space="0" w:color="auto"/>
            </w:tcBorders>
            <w:vAlign w:val="center"/>
          </w:tcPr>
          <w:p w14:paraId="35787296" w14:textId="62DF6A7B" w:rsidR="003F027D" w:rsidRPr="00821AF6" w:rsidRDefault="00240BF6" w:rsidP="00240BF6">
            <w:pPr>
              <w:spacing w:before="60" w:after="20" w:line="288" w:lineRule="auto"/>
              <w:ind w:firstLine="0"/>
              <w:jc w:val="right"/>
              <w:rPr>
                <w:rFonts w:cs="Tahoma"/>
                <w:sz w:val="20"/>
                <w:szCs w:val="20"/>
              </w:rPr>
            </w:pPr>
            <w:r>
              <w:rPr>
                <w:rFonts w:cs="Tahoma"/>
                <w:sz w:val="20"/>
                <w:szCs w:val="20"/>
              </w:rPr>
              <w:t>1 903,1</w:t>
            </w:r>
          </w:p>
        </w:tc>
        <w:tc>
          <w:tcPr>
            <w:tcW w:w="1231" w:type="dxa"/>
            <w:tcBorders>
              <w:top w:val="single" w:sz="4" w:space="0" w:color="auto"/>
              <w:left w:val="single" w:sz="4" w:space="0" w:color="auto"/>
              <w:bottom w:val="single" w:sz="4" w:space="0" w:color="auto"/>
              <w:right w:val="single" w:sz="4" w:space="0" w:color="auto"/>
            </w:tcBorders>
            <w:vAlign w:val="center"/>
          </w:tcPr>
          <w:p w14:paraId="68D0C17A" w14:textId="68FCEAC7" w:rsidR="003F027D" w:rsidRPr="00821AF6" w:rsidRDefault="00240BF6" w:rsidP="00240BF6">
            <w:pPr>
              <w:spacing w:before="60" w:after="20" w:line="288" w:lineRule="auto"/>
              <w:ind w:firstLine="0"/>
              <w:jc w:val="right"/>
              <w:rPr>
                <w:rFonts w:cs="Tahoma"/>
                <w:sz w:val="20"/>
                <w:szCs w:val="20"/>
              </w:rPr>
            </w:pPr>
            <w:r>
              <w:rPr>
                <w:rFonts w:cs="Tahoma"/>
                <w:sz w:val="20"/>
                <w:szCs w:val="20"/>
              </w:rPr>
              <w:t>2 552,9</w:t>
            </w:r>
          </w:p>
        </w:tc>
      </w:tr>
      <w:tr w:rsidR="003F027D" w:rsidRPr="00821AF6" w14:paraId="2AADCF28" w14:textId="77777777" w:rsidTr="003F027D">
        <w:trPr>
          <w:cantSplit/>
          <w:jc w:val="center"/>
        </w:trPr>
        <w:tc>
          <w:tcPr>
            <w:tcW w:w="638" w:type="dxa"/>
            <w:tcBorders>
              <w:top w:val="single" w:sz="4" w:space="0" w:color="auto"/>
              <w:left w:val="single" w:sz="4" w:space="0" w:color="auto"/>
              <w:bottom w:val="single" w:sz="4" w:space="0" w:color="auto"/>
              <w:right w:val="single" w:sz="4" w:space="0" w:color="auto"/>
            </w:tcBorders>
            <w:vAlign w:val="center"/>
          </w:tcPr>
          <w:p w14:paraId="00371E06" w14:textId="77777777" w:rsidR="003F027D" w:rsidRPr="00821AF6" w:rsidRDefault="003F027D" w:rsidP="00240BF6">
            <w:pPr>
              <w:spacing w:before="60" w:after="20" w:line="288" w:lineRule="auto"/>
              <w:ind w:firstLine="0"/>
              <w:jc w:val="center"/>
              <w:rPr>
                <w:rFonts w:cs="Tahoma"/>
                <w:b/>
                <w:sz w:val="20"/>
                <w:szCs w:val="20"/>
              </w:rPr>
            </w:pPr>
            <w:r>
              <w:rPr>
                <w:rFonts w:cs="Tahoma"/>
                <w:b/>
                <w:sz w:val="20"/>
                <w:szCs w:val="20"/>
              </w:rPr>
              <w:t>6</w:t>
            </w:r>
          </w:p>
        </w:tc>
        <w:tc>
          <w:tcPr>
            <w:tcW w:w="4741" w:type="dxa"/>
            <w:tcBorders>
              <w:top w:val="single" w:sz="4" w:space="0" w:color="auto"/>
              <w:left w:val="single" w:sz="4" w:space="0" w:color="auto"/>
              <w:bottom w:val="single" w:sz="4" w:space="0" w:color="auto"/>
              <w:right w:val="single" w:sz="4" w:space="0" w:color="auto"/>
            </w:tcBorders>
            <w:vAlign w:val="center"/>
          </w:tcPr>
          <w:p w14:paraId="5D8783C6" w14:textId="77777777" w:rsidR="003F027D" w:rsidRPr="00821AF6" w:rsidRDefault="003F027D" w:rsidP="00240BF6">
            <w:pPr>
              <w:spacing w:before="60" w:after="20" w:line="288" w:lineRule="auto"/>
              <w:ind w:firstLine="0"/>
              <w:jc w:val="left"/>
              <w:rPr>
                <w:rFonts w:cs="Tahoma"/>
                <w:b/>
                <w:sz w:val="20"/>
                <w:szCs w:val="20"/>
              </w:rPr>
            </w:pPr>
            <w:r w:rsidRPr="00821AF6">
              <w:rPr>
                <w:rFonts w:cs="Tahoma"/>
                <w:b/>
                <w:sz w:val="20"/>
                <w:szCs w:val="20"/>
              </w:rPr>
              <w:t>Zysk z działalności operacyjnej</w:t>
            </w:r>
          </w:p>
        </w:tc>
        <w:tc>
          <w:tcPr>
            <w:tcW w:w="1231" w:type="dxa"/>
            <w:tcBorders>
              <w:top w:val="single" w:sz="4" w:space="0" w:color="auto"/>
              <w:left w:val="single" w:sz="4" w:space="0" w:color="auto"/>
              <w:bottom w:val="single" w:sz="4" w:space="0" w:color="auto"/>
              <w:right w:val="single" w:sz="4" w:space="0" w:color="auto"/>
            </w:tcBorders>
            <w:vAlign w:val="center"/>
          </w:tcPr>
          <w:p w14:paraId="32D73A98" w14:textId="49C7C56F" w:rsidR="003F027D" w:rsidRPr="00821AF6" w:rsidRDefault="00240BF6" w:rsidP="00240BF6">
            <w:pPr>
              <w:spacing w:before="60" w:after="20" w:line="288" w:lineRule="auto"/>
              <w:ind w:firstLine="0"/>
              <w:jc w:val="right"/>
              <w:rPr>
                <w:rFonts w:cs="Tahoma"/>
                <w:b/>
                <w:sz w:val="20"/>
                <w:szCs w:val="20"/>
              </w:rPr>
            </w:pPr>
            <w:r>
              <w:rPr>
                <w:rFonts w:cs="Tahoma"/>
                <w:b/>
                <w:sz w:val="20"/>
                <w:szCs w:val="20"/>
              </w:rPr>
              <w:t>227,4</w:t>
            </w:r>
          </w:p>
        </w:tc>
        <w:tc>
          <w:tcPr>
            <w:tcW w:w="1231" w:type="dxa"/>
            <w:tcBorders>
              <w:top w:val="single" w:sz="4" w:space="0" w:color="auto"/>
              <w:left w:val="single" w:sz="4" w:space="0" w:color="auto"/>
              <w:bottom w:val="single" w:sz="4" w:space="0" w:color="auto"/>
              <w:right w:val="single" w:sz="4" w:space="0" w:color="auto"/>
            </w:tcBorders>
            <w:vAlign w:val="center"/>
          </w:tcPr>
          <w:p w14:paraId="05EF9E28" w14:textId="460ECA37" w:rsidR="003F027D" w:rsidRPr="00821AF6" w:rsidRDefault="00240BF6" w:rsidP="00240BF6">
            <w:pPr>
              <w:spacing w:before="60" w:after="20" w:line="288" w:lineRule="auto"/>
              <w:ind w:firstLine="0"/>
              <w:jc w:val="right"/>
              <w:rPr>
                <w:rFonts w:cs="Tahoma"/>
                <w:b/>
                <w:sz w:val="20"/>
                <w:szCs w:val="20"/>
              </w:rPr>
            </w:pPr>
            <w:r>
              <w:rPr>
                <w:rFonts w:cs="Tahoma"/>
                <w:b/>
                <w:sz w:val="20"/>
                <w:szCs w:val="20"/>
              </w:rPr>
              <w:t>2 316,6</w:t>
            </w:r>
          </w:p>
        </w:tc>
        <w:tc>
          <w:tcPr>
            <w:tcW w:w="1231" w:type="dxa"/>
            <w:tcBorders>
              <w:top w:val="single" w:sz="4" w:space="0" w:color="auto"/>
              <w:left w:val="single" w:sz="4" w:space="0" w:color="auto"/>
              <w:bottom w:val="single" w:sz="4" w:space="0" w:color="auto"/>
              <w:right w:val="single" w:sz="4" w:space="0" w:color="auto"/>
            </w:tcBorders>
            <w:vAlign w:val="center"/>
          </w:tcPr>
          <w:p w14:paraId="54931C34" w14:textId="40706A62" w:rsidR="003F027D" w:rsidRPr="00821AF6" w:rsidRDefault="00240BF6" w:rsidP="00240BF6">
            <w:pPr>
              <w:spacing w:before="60" w:after="20" w:line="288" w:lineRule="auto"/>
              <w:ind w:firstLine="0"/>
              <w:jc w:val="right"/>
              <w:rPr>
                <w:rFonts w:cs="Tahoma"/>
                <w:b/>
                <w:sz w:val="20"/>
                <w:szCs w:val="20"/>
              </w:rPr>
            </w:pPr>
            <w:r>
              <w:rPr>
                <w:rFonts w:cs="Tahoma"/>
                <w:b/>
                <w:sz w:val="20"/>
                <w:szCs w:val="20"/>
              </w:rPr>
              <w:t>44,8</w:t>
            </w:r>
          </w:p>
        </w:tc>
      </w:tr>
      <w:tr w:rsidR="003F027D" w:rsidRPr="00821AF6" w14:paraId="704CEF6E" w14:textId="77777777" w:rsidTr="003F027D">
        <w:trPr>
          <w:cantSplit/>
          <w:jc w:val="center"/>
        </w:trPr>
        <w:tc>
          <w:tcPr>
            <w:tcW w:w="638" w:type="dxa"/>
            <w:tcBorders>
              <w:top w:val="single" w:sz="4" w:space="0" w:color="auto"/>
              <w:left w:val="single" w:sz="4" w:space="0" w:color="auto"/>
              <w:bottom w:val="single" w:sz="4" w:space="0" w:color="auto"/>
              <w:right w:val="single" w:sz="4" w:space="0" w:color="auto"/>
            </w:tcBorders>
            <w:vAlign w:val="center"/>
          </w:tcPr>
          <w:p w14:paraId="68F10A52" w14:textId="77777777" w:rsidR="003F027D" w:rsidRPr="00821AF6" w:rsidRDefault="003F027D" w:rsidP="00240BF6">
            <w:pPr>
              <w:spacing w:before="60" w:after="20" w:line="288" w:lineRule="auto"/>
              <w:ind w:firstLine="0"/>
              <w:jc w:val="center"/>
              <w:rPr>
                <w:rFonts w:cs="Tahoma"/>
                <w:sz w:val="20"/>
                <w:szCs w:val="20"/>
              </w:rPr>
            </w:pPr>
            <w:r>
              <w:rPr>
                <w:rFonts w:cs="Tahoma"/>
                <w:sz w:val="20"/>
                <w:szCs w:val="20"/>
              </w:rPr>
              <w:t>7</w:t>
            </w:r>
          </w:p>
        </w:tc>
        <w:tc>
          <w:tcPr>
            <w:tcW w:w="4741" w:type="dxa"/>
            <w:tcBorders>
              <w:top w:val="single" w:sz="4" w:space="0" w:color="auto"/>
              <w:left w:val="single" w:sz="4" w:space="0" w:color="auto"/>
              <w:bottom w:val="single" w:sz="4" w:space="0" w:color="auto"/>
              <w:right w:val="single" w:sz="4" w:space="0" w:color="auto"/>
            </w:tcBorders>
            <w:vAlign w:val="center"/>
          </w:tcPr>
          <w:p w14:paraId="0225CF00" w14:textId="77777777" w:rsidR="003F027D" w:rsidRPr="00821AF6" w:rsidRDefault="003F027D" w:rsidP="00240BF6">
            <w:pPr>
              <w:spacing w:before="60" w:after="20" w:line="288" w:lineRule="auto"/>
              <w:ind w:firstLine="0"/>
              <w:jc w:val="left"/>
              <w:rPr>
                <w:rFonts w:cs="Tahoma"/>
                <w:sz w:val="20"/>
                <w:szCs w:val="20"/>
              </w:rPr>
            </w:pPr>
            <w:r w:rsidRPr="00821AF6">
              <w:rPr>
                <w:rFonts w:cs="Tahoma"/>
                <w:sz w:val="20"/>
                <w:szCs w:val="20"/>
              </w:rPr>
              <w:t>Saldo przychodów i kosztów finansowych</w:t>
            </w:r>
          </w:p>
        </w:tc>
        <w:tc>
          <w:tcPr>
            <w:tcW w:w="1231" w:type="dxa"/>
            <w:tcBorders>
              <w:top w:val="single" w:sz="4" w:space="0" w:color="auto"/>
              <w:left w:val="single" w:sz="4" w:space="0" w:color="auto"/>
              <w:bottom w:val="single" w:sz="4" w:space="0" w:color="auto"/>
              <w:right w:val="single" w:sz="4" w:space="0" w:color="auto"/>
            </w:tcBorders>
            <w:vAlign w:val="center"/>
          </w:tcPr>
          <w:p w14:paraId="7F82D2FE" w14:textId="7C233101" w:rsidR="003F027D" w:rsidRPr="00821AF6" w:rsidRDefault="006D347E" w:rsidP="00240BF6">
            <w:pPr>
              <w:spacing w:before="60" w:after="20" w:line="288" w:lineRule="auto"/>
              <w:ind w:firstLine="0"/>
              <w:jc w:val="right"/>
              <w:rPr>
                <w:rFonts w:cs="Tahoma"/>
                <w:sz w:val="20"/>
                <w:szCs w:val="20"/>
              </w:rPr>
            </w:pPr>
            <w:r>
              <w:rPr>
                <w:rFonts w:cs="Tahoma"/>
                <w:sz w:val="20"/>
                <w:szCs w:val="20"/>
              </w:rPr>
              <w:t>163,7</w:t>
            </w:r>
          </w:p>
        </w:tc>
        <w:tc>
          <w:tcPr>
            <w:tcW w:w="1231" w:type="dxa"/>
            <w:tcBorders>
              <w:top w:val="single" w:sz="4" w:space="0" w:color="auto"/>
              <w:left w:val="single" w:sz="4" w:space="0" w:color="auto"/>
              <w:bottom w:val="single" w:sz="4" w:space="0" w:color="auto"/>
              <w:right w:val="single" w:sz="4" w:space="0" w:color="auto"/>
            </w:tcBorders>
            <w:vAlign w:val="center"/>
          </w:tcPr>
          <w:p w14:paraId="58E5499E" w14:textId="6D1BFF8D" w:rsidR="003F027D" w:rsidRPr="00821AF6" w:rsidRDefault="006D347E" w:rsidP="00240BF6">
            <w:pPr>
              <w:spacing w:before="60" w:after="20" w:line="288" w:lineRule="auto"/>
              <w:ind w:firstLine="0"/>
              <w:jc w:val="right"/>
              <w:rPr>
                <w:rFonts w:cs="Tahoma"/>
                <w:sz w:val="20"/>
                <w:szCs w:val="20"/>
              </w:rPr>
            </w:pPr>
            <w:r>
              <w:rPr>
                <w:rFonts w:cs="Tahoma"/>
                <w:sz w:val="20"/>
                <w:szCs w:val="20"/>
              </w:rPr>
              <w:t>146,4</w:t>
            </w:r>
          </w:p>
        </w:tc>
        <w:tc>
          <w:tcPr>
            <w:tcW w:w="1231" w:type="dxa"/>
            <w:tcBorders>
              <w:top w:val="single" w:sz="4" w:space="0" w:color="auto"/>
              <w:left w:val="single" w:sz="4" w:space="0" w:color="auto"/>
              <w:bottom w:val="single" w:sz="4" w:space="0" w:color="auto"/>
              <w:right w:val="single" w:sz="4" w:space="0" w:color="auto"/>
            </w:tcBorders>
            <w:vAlign w:val="center"/>
          </w:tcPr>
          <w:p w14:paraId="6F46202A" w14:textId="6627BEBA" w:rsidR="003F027D" w:rsidRPr="00821AF6" w:rsidRDefault="006D347E" w:rsidP="00240BF6">
            <w:pPr>
              <w:spacing w:before="60" w:after="20" w:line="288" w:lineRule="auto"/>
              <w:ind w:firstLine="0"/>
              <w:jc w:val="right"/>
              <w:rPr>
                <w:rFonts w:cs="Tahoma"/>
                <w:sz w:val="20"/>
                <w:szCs w:val="20"/>
              </w:rPr>
            </w:pPr>
            <w:r>
              <w:rPr>
                <w:rFonts w:cs="Tahoma"/>
                <w:sz w:val="20"/>
                <w:szCs w:val="20"/>
              </w:rPr>
              <w:t>368,6</w:t>
            </w:r>
          </w:p>
        </w:tc>
      </w:tr>
      <w:tr w:rsidR="003F027D" w:rsidRPr="00821AF6" w14:paraId="00E08654" w14:textId="77777777" w:rsidTr="003F027D">
        <w:trPr>
          <w:cantSplit/>
          <w:jc w:val="center"/>
        </w:trPr>
        <w:tc>
          <w:tcPr>
            <w:tcW w:w="638" w:type="dxa"/>
            <w:tcBorders>
              <w:top w:val="single" w:sz="4" w:space="0" w:color="auto"/>
              <w:left w:val="single" w:sz="4" w:space="0" w:color="auto"/>
              <w:bottom w:val="single" w:sz="4" w:space="0" w:color="auto"/>
              <w:right w:val="single" w:sz="4" w:space="0" w:color="auto"/>
            </w:tcBorders>
            <w:vAlign w:val="center"/>
          </w:tcPr>
          <w:p w14:paraId="528A38AF" w14:textId="77777777" w:rsidR="003F027D" w:rsidRPr="00821AF6" w:rsidRDefault="003F027D" w:rsidP="00240BF6">
            <w:pPr>
              <w:spacing w:before="60" w:after="20" w:line="288" w:lineRule="auto"/>
              <w:ind w:firstLine="0"/>
              <w:jc w:val="center"/>
              <w:rPr>
                <w:rFonts w:cs="Tahoma"/>
                <w:b/>
                <w:sz w:val="20"/>
                <w:szCs w:val="20"/>
              </w:rPr>
            </w:pPr>
            <w:r>
              <w:rPr>
                <w:rFonts w:cs="Tahoma"/>
                <w:b/>
                <w:sz w:val="20"/>
                <w:szCs w:val="20"/>
              </w:rPr>
              <w:t>8</w:t>
            </w:r>
          </w:p>
        </w:tc>
        <w:tc>
          <w:tcPr>
            <w:tcW w:w="4741" w:type="dxa"/>
            <w:tcBorders>
              <w:top w:val="single" w:sz="4" w:space="0" w:color="auto"/>
              <w:left w:val="single" w:sz="4" w:space="0" w:color="auto"/>
              <w:bottom w:val="single" w:sz="4" w:space="0" w:color="auto"/>
              <w:right w:val="single" w:sz="4" w:space="0" w:color="auto"/>
            </w:tcBorders>
            <w:vAlign w:val="center"/>
          </w:tcPr>
          <w:p w14:paraId="1BAD76CE" w14:textId="77777777" w:rsidR="003F027D" w:rsidRPr="00821AF6" w:rsidRDefault="003F027D" w:rsidP="00240BF6">
            <w:pPr>
              <w:spacing w:before="60" w:after="20" w:line="288" w:lineRule="auto"/>
              <w:ind w:firstLine="0"/>
              <w:jc w:val="left"/>
              <w:rPr>
                <w:rFonts w:cs="Tahoma"/>
                <w:b/>
                <w:sz w:val="20"/>
                <w:szCs w:val="20"/>
              </w:rPr>
            </w:pPr>
            <w:r w:rsidRPr="00821AF6">
              <w:rPr>
                <w:rFonts w:cs="Tahoma"/>
                <w:b/>
                <w:sz w:val="20"/>
                <w:szCs w:val="20"/>
              </w:rPr>
              <w:t>Zysk brutto</w:t>
            </w:r>
          </w:p>
        </w:tc>
        <w:tc>
          <w:tcPr>
            <w:tcW w:w="1231" w:type="dxa"/>
            <w:tcBorders>
              <w:top w:val="single" w:sz="4" w:space="0" w:color="auto"/>
              <w:left w:val="single" w:sz="4" w:space="0" w:color="auto"/>
              <w:bottom w:val="single" w:sz="4" w:space="0" w:color="auto"/>
              <w:right w:val="single" w:sz="4" w:space="0" w:color="auto"/>
            </w:tcBorders>
            <w:vAlign w:val="center"/>
          </w:tcPr>
          <w:p w14:paraId="68B37F85" w14:textId="1DCCE52D" w:rsidR="003F027D" w:rsidRPr="00821AF6" w:rsidRDefault="006D347E" w:rsidP="00240BF6">
            <w:pPr>
              <w:spacing w:before="60" w:after="20" w:line="288" w:lineRule="auto"/>
              <w:ind w:firstLine="0"/>
              <w:jc w:val="right"/>
              <w:rPr>
                <w:rFonts w:cs="Tahoma"/>
                <w:b/>
                <w:sz w:val="20"/>
                <w:szCs w:val="20"/>
              </w:rPr>
            </w:pPr>
            <w:r>
              <w:rPr>
                <w:rFonts w:cs="Tahoma"/>
                <w:b/>
                <w:sz w:val="20"/>
                <w:szCs w:val="20"/>
              </w:rPr>
              <w:t>391,1</w:t>
            </w:r>
          </w:p>
        </w:tc>
        <w:tc>
          <w:tcPr>
            <w:tcW w:w="1231" w:type="dxa"/>
            <w:tcBorders>
              <w:top w:val="single" w:sz="4" w:space="0" w:color="auto"/>
              <w:left w:val="single" w:sz="4" w:space="0" w:color="auto"/>
              <w:bottom w:val="single" w:sz="4" w:space="0" w:color="auto"/>
              <w:right w:val="single" w:sz="4" w:space="0" w:color="auto"/>
            </w:tcBorders>
            <w:vAlign w:val="center"/>
          </w:tcPr>
          <w:p w14:paraId="4930047B" w14:textId="5BC7D465" w:rsidR="003F027D" w:rsidRPr="00821AF6" w:rsidRDefault="006D347E" w:rsidP="00240BF6">
            <w:pPr>
              <w:spacing w:before="60" w:after="20" w:line="288" w:lineRule="auto"/>
              <w:ind w:firstLine="0"/>
              <w:jc w:val="right"/>
              <w:rPr>
                <w:rFonts w:cs="Tahoma"/>
                <w:b/>
                <w:sz w:val="20"/>
                <w:szCs w:val="20"/>
              </w:rPr>
            </w:pPr>
            <w:r>
              <w:rPr>
                <w:rFonts w:cs="Tahoma"/>
                <w:b/>
                <w:sz w:val="20"/>
                <w:szCs w:val="20"/>
              </w:rPr>
              <w:t>2 463,0</w:t>
            </w:r>
          </w:p>
        </w:tc>
        <w:tc>
          <w:tcPr>
            <w:tcW w:w="1231" w:type="dxa"/>
            <w:tcBorders>
              <w:top w:val="single" w:sz="4" w:space="0" w:color="auto"/>
              <w:left w:val="single" w:sz="4" w:space="0" w:color="auto"/>
              <w:bottom w:val="single" w:sz="4" w:space="0" w:color="auto"/>
              <w:right w:val="single" w:sz="4" w:space="0" w:color="auto"/>
            </w:tcBorders>
            <w:vAlign w:val="center"/>
          </w:tcPr>
          <w:p w14:paraId="5228C37D" w14:textId="1C2BFE0F" w:rsidR="003F027D" w:rsidRPr="00821AF6" w:rsidRDefault="006D347E" w:rsidP="00240BF6">
            <w:pPr>
              <w:spacing w:before="60" w:after="20" w:line="288" w:lineRule="auto"/>
              <w:ind w:firstLine="0"/>
              <w:jc w:val="right"/>
              <w:rPr>
                <w:rFonts w:cs="Tahoma"/>
                <w:b/>
                <w:sz w:val="20"/>
                <w:szCs w:val="20"/>
              </w:rPr>
            </w:pPr>
            <w:r>
              <w:rPr>
                <w:rFonts w:cs="Tahoma"/>
                <w:b/>
                <w:sz w:val="20"/>
                <w:szCs w:val="20"/>
              </w:rPr>
              <w:t>413,4</w:t>
            </w:r>
          </w:p>
        </w:tc>
      </w:tr>
      <w:tr w:rsidR="003F027D" w:rsidRPr="00821AF6" w14:paraId="1FC2BF46" w14:textId="77777777" w:rsidTr="003F027D">
        <w:trPr>
          <w:cantSplit/>
          <w:jc w:val="center"/>
        </w:trPr>
        <w:tc>
          <w:tcPr>
            <w:tcW w:w="638" w:type="dxa"/>
            <w:tcBorders>
              <w:top w:val="single" w:sz="4" w:space="0" w:color="auto"/>
              <w:left w:val="single" w:sz="4" w:space="0" w:color="auto"/>
              <w:bottom w:val="single" w:sz="4" w:space="0" w:color="auto"/>
              <w:right w:val="single" w:sz="4" w:space="0" w:color="auto"/>
            </w:tcBorders>
            <w:vAlign w:val="center"/>
          </w:tcPr>
          <w:p w14:paraId="408DF7EB" w14:textId="77777777" w:rsidR="003F027D" w:rsidRPr="00821AF6" w:rsidRDefault="003F027D" w:rsidP="00240BF6">
            <w:pPr>
              <w:spacing w:before="60" w:after="20" w:line="288" w:lineRule="auto"/>
              <w:ind w:firstLine="0"/>
              <w:jc w:val="center"/>
              <w:rPr>
                <w:rFonts w:cs="Tahoma"/>
                <w:sz w:val="20"/>
                <w:szCs w:val="20"/>
              </w:rPr>
            </w:pPr>
            <w:r>
              <w:rPr>
                <w:rFonts w:cs="Tahoma"/>
                <w:sz w:val="20"/>
                <w:szCs w:val="20"/>
              </w:rPr>
              <w:t>9</w:t>
            </w:r>
          </w:p>
        </w:tc>
        <w:tc>
          <w:tcPr>
            <w:tcW w:w="4741" w:type="dxa"/>
            <w:tcBorders>
              <w:top w:val="single" w:sz="4" w:space="0" w:color="auto"/>
              <w:left w:val="single" w:sz="4" w:space="0" w:color="auto"/>
              <w:bottom w:val="single" w:sz="4" w:space="0" w:color="auto"/>
              <w:right w:val="single" w:sz="4" w:space="0" w:color="auto"/>
            </w:tcBorders>
            <w:vAlign w:val="center"/>
          </w:tcPr>
          <w:p w14:paraId="216CBD14" w14:textId="77777777" w:rsidR="003F027D" w:rsidRPr="00821AF6" w:rsidRDefault="003F027D" w:rsidP="00240BF6">
            <w:pPr>
              <w:spacing w:before="60" w:after="20" w:line="288" w:lineRule="auto"/>
              <w:ind w:firstLine="0"/>
              <w:jc w:val="left"/>
              <w:rPr>
                <w:rFonts w:cs="Tahoma"/>
                <w:sz w:val="20"/>
                <w:szCs w:val="20"/>
              </w:rPr>
            </w:pPr>
            <w:r w:rsidRPr="00821AF6">
              <w:rPr>
                <w:rFonts w:cs="Tahoma"/>
                <w:sz w:val="20"/>
                <w:szCs w:val="20"/>
              </w:rPr>
              <w:t>Podatek dochodowy i inne obciążenia</w:t>
            </w:r>
          </w:p>
        </w:tc>
        <w:tc>
          <w:tcPr>
            <w:tcW w:w="1231" w:type="dxa"/>
            <w:tcBorders>
              <w:top w:val="single" w:sz="4" w:space="0" w:color="auto"/>
              <w:left w:val="single" w:sz="4" w:space="0" w:color="auto"/>
              <w:bottom w:val="single" w:sz="4" w:space="0" w:color="auto"/>
              <w:right w:val="single" w:sz="4" w:space="0" w:color="auto"/>
            </w:tcBorders>
            <w:vAlign w:val="center"/>
          </w:tcPr>
          <w:p w14:paraId="639E6AE0" w14:textId="5EBE5758" w:rsidR="003F027D" w:rsidRPr="00821AF6" w:rsidRDefault="006D347E" w:rsidP="00240BF6">
            <w:pPr>
              <w:spacing w:before="60" w:after="20" w:line="288" w:lineRule="auto"/>
              <w:ind w:firstLine="0"/>
              <w:jc w:val="right"/>
              <w:rPr>
                <w:rFonts w:cs="Tahoma"/>
                <w:sz w:val="20"/>
                <w:szCs w:val="20"/>
              </w:rPr>
            </w:pPr>
            <w:r>
              <w:rPr>
                <w:rFonts w:cs="Tahoma"/>
                <w:sz w:val="20"/>
                <w:szCs w:val="20"/>
              </w:rPr>
              <w:t>163,6</w:t>
            </w:r>
          </w:p>
        </w:tc>
        <w:tc>
          <w:tcPr>
            <w:tcW w:w="1231" w:type="dxa"/>
            <w:tcBorders>
              <w:top w:val="single" w:sz="4" w:space="0" w:color="auto"/>
              <w:left w:val="single" w:sz="4" w:space="0" w:color="auto"/>
              <w:bottom w:val="single" w:sz="4" w:space="0" w:color="auto"/>
              <w:right w:val="single" w:sz="4" w:space="0" w:color="auto"/>
            </w:tcBorders>
            <w:vAlign w:val="center"/>
          </w:tcPr>
          <w:p w14:paraId="4F76FF92" w14:textId="4729B943" w:rsidR="003F027D" w:rsidRPr="00821AF6" w:rsidRDefault="006D347E" w:rsidP="00240BF6">
            <w:pPr>
              <w:spacing w:before="60" w:after="20" w:line="288" w:lineRule="auto"/>
              <w:ind w:firstLine="0"/>
              <w:jc w:val="right"/>
              <w:rPr>
                <w:rFonts w:cs="Tahoma"/>
                <w:sz w:val="20"/>
                <w:szCs w:val="20"/>
              </w:rPr>
            </w:pPr>
            <w:r>
              <w:rPr>
                <w:rFonts w:cs="Tahoma"/>
                <w:sz w:val="20"/>
                <w:szCs w:val="20"/>
              </w:rPr>
              <w:t>546,0</w:t>
            </w:r>
          </w:p>
        </w:tc>
        <w:tc>
          <w:tcPr>
            <w:tcW w:w="1231" w:type="dxa"/>
            <w:tcBorders>
              <w:top w:val="single" w:sz="4" w:space="0" w:color="auto"/>
              <w:left w:val="single" w:sz="4" w:space="0" w:color="auto"/>
              <w:bottom w:val="single" w:sz="4" w:space="0" w:color="auto"/>
              <w:right w:val="single" w:sz="4" w:space="0" w:color="auto"/>
            </w:tcBorders>
            <w:vAlign w:val="center"/>
          </w:tcPr>
          <w:p w14:paraId="233768F8" w14:textId="26B52791" w:rsidR="003F027D" w:rsidRPr="00821AF6" w:rsidRDefault="006D347E" w:rsidP="00240BF6">
            <w:pPr>
              <w:spacing w:before="60" w:after="20" w:line="288" w:lineRule="auto"/>
              <w:ind w:firstLine="0"/>
              <w:jc w:val="right"/>
              <w:rPr>
                <w:rFonts w:cs="Tahoma"/>
                <w:sz w:val="20"/>
                <w:szCs w:val="20"/>
              </w:rPr>
            </w:pPr>
            <w:r>
              <w:rPr>
                <w:rFonts w:cs="Tahoma"/>
                <w:sz w:val="20"/>
                <w:szCs w:val="20"/>
              </w:rPr>
              <w:t>158,1</w:t>
            </w:r>
          </w:p>
        </w:tc>
      </w:tr>
      <w:tr w:rsidR="003F027D" w:rsidRPr="00821AF6" w14:paraId="3203488F" w14:textId="77777777" w:rsidTr="003F027D">
        <w:trPr>
          <w:cantSplit/>
          <w:jc w:val="center"/>
        </w:trPr>
        <w:tc>
          <w:tcPr>
            <w:tcW w:w="638" w:type="dxa"/>
            <w:tcBorders>
              <w:top w:val="single" w:sz="4" w:space="0" w:color="auto"/>
              <w:left w:val="single" w:sz="4" w:space="0" w:color="auto"/>
              <w:bottom w:val="single" w:sz="4" w:space="0" w:color="auto"/>
              <w:right w:val="single" w:sz="4" w:space="0" w:color="auto"/>
            </w:tcBorders>
            <w:vAlign w:val="center"/>
          </w:tcPr>
          <w:p w14:paraId="0D30975B" w14:textId="77777777" w:rsidR="003F027D" w:rsidRPr="00821AF6" w:rsidRDefault="003F027D" w:rsidP="00240BF6">
            <w:pPr>
              <w:spacing w:before="60" w:after="20" w:line="288" w:lineRule="auto"/>
              <w:ind w:firstLine="0"/>
              <w:jc w:val="center"/>
              <w:rPr>
                <w:rFonts w:cs="Tahoma"/>
                <w:b/>
                <w:sz w:val="20"/>
                <w:szCs w:val="20"/>
              </w:rPr>
            </w:pPr>
            <w:r w:rsidRPr="00821AF6">
              <w:rPr>
                <w:rFonts w:cs="Tahoma"/>
                <w:b/>
                <w:sz w:val="20"/>
                <w:szCs w:val="20"/>
              </w:rPr>
              <w:t>1</w:t>
            </w:r>
            <w:r>
              <w:rPr>
                <w:rFonts w:cs="Tahoma"/>
                <w:b/>
                <w:sz w:val="20"/>
                <w:szCs w:val="20"/>
              </w:rPr>
              <w:t>0</w:t>
            </w:r>
          </w:p>
        </w:tc>
        <w:tc>
          <w:tcPr>
            <w:tcW w:w="4741" w:type="dxa"/>
            <w:tcBorders>
              <w:top w:val="single" w:sz="4" w:space="0" w:color="auto"/>
              <w:left w:val="single" w:sz="4" w:space="0" w:color="auto"/>
              <w:bottom w:val="single" w:sz="4" w:space="0" w:color="auto"/>
              <w:right w:val="single" w:sz="4" w:space="0" w:color="auto"/>
            </w:tcBorders>
            <w:vAlign w:val="center"/>
          </w:tcPr>
          <w:p w14:paraId="1C2B3702" w14:textId="77777777" w:rsidR="003F027D" w:rsidRPr="00821AF6" w:rsidRDefault="003F027D" w:rsidP="00240BF6">
            <w:pPr>
              <w:spacing w:before="60" w:after="20" w:line="288" w:lineRule="auto"/>
              <w:ind w:firstLine="0"/>
              <w:jc w:val="left"/>
              <w:rPr>
                <w:rFonts w:cs="Tahoma"/>
                <w:b/>
                <w:sz w:val="20"/>
                <w:szCs w:val="20"/>
              </w:rPr>
            </w:pPr>
            <w:r w:rsidRPr="00821AF6">
              <w:rPr>
                <w:rFonts w:cs="Tahoma"/>
                <w:b/>
                <w:sz w:val="20"/>
                <w:szCs w:val="20"/>
              </w:rPr>
              <w:t>Zysk netto</w:t>
            </w:r>
          </w:p>
        </w:tc>
        <w:tc>
          <w:tcPr>
            <w:tcW w:w="1231" w:type="dxa"/>
            <w:tcBorders>
              <w:top w:val="single" w:sz="4" w:space="0" w:color="auto"/>
              <w:left w:val="single" w:sz="4" w:space="0" w:color="auto"/>
              <w:bottom w:val="single" w:sz="4" w:space="0" w:color="auto"/>
              <w:right w:val="single" w:sz="4" w:space="0" w:color="auto"/>
            </w:tcBorders>
            <w:vAlign w:val="center"/>
          </w:tcPr>
          <w:p w14:paraId="40E9FD00" w14:textId="37DCDDD9" w:rsidR="003F027D" w:rsidRPr="00821AF6" w:rsidRDefault="006D347E" w:rsidP="00240BF6">
            <w:pPr>
              <w:spacing w:before="60" w:after="20" w:line="288" w:lineRule="auto"/>
              <w:ind w:firstLine="0"/>
              <w:jc w:val="right"/>
              <w:rPr>
                <w:rFonts w:cs="Tahoma"/>
                <w:b/>
                <w:sz w:val="20"/>
                <w:szCs w:val="20"/>
              </w:rPr>
            </w:pPr>
            <w:r>
              <w:rPr>
                <w:rFonts w:cs="Tahoma"/>
                <w:b/>
                <w:sz w:val="20"/>
                <w:szCs w:val="20"/>
              </w:rPr>
              <w:t>227,</w:t>
            </w:r>
            <w:r w:rsidR="00D1104A">
              <w:rPr>
                <w:rFonts w:cs="Tahoma"/>
                <w:b/>
                <w:sz w:val="20"/>
                <w:szCs w:val="20"/>
              </w:rPr>
              <w:t>6</w:t>
            </w:r>
          </w:p>
        </w:tc>
        <w:tc>
          <w:tcPr>
            <w:tcW w:w="1231" w:type="dxa"/>
            <w:tcBorders>
              <w:top w:val="single" w:sz="4" w:space="0" w:color="auto"/>
              <w:left w:val="single" w:sz="4" w:space="0" w:color="auto"/>
              <w:bottom w:val="single" w:sz="4" w:space="0" w:color="auto"/>
              <w:right w:val="single" w:sz="4" w:space="0" w:color="auto"/>
            </w:tcBorders>
            <w:vAlign w:val="center"/>
          </w:tcPr>
          <w:p w14:paraId="6B9BC875" w14:textId="49783AB4" w:rsidR="003F027D" w:rsidRPr="00821AF6" w:rsidRDefault="006D347E" w:rsidP="00240BF6">
            <w:pPr>
              <w:spacing w:before="60" w:after="20" w:line="288" w:lineRule="auto"/>
              <w:ind w:firstLine="0"/>
              <w:jc w:val="right"/>
              <w:rPr>
                <w:rFonts w:cs="Tahoma"/>
                <w:b/>
                <w:sz w:val="20"/>
                <w:szCs w:val="20"/>
              </w:rPr>
            </w:pPr>
            <w:r>
              <w:rPr>
                <w:rFonts w:cs="Tahoma"/>
                <w:b/>
                <w:sz w:val="20"/>
                <w:szCs w:val="20"/>
              </w:rPr>
              <w:t>1 917,1</w:t>
            </w:r>
          </w:p>
        </w:tc>
        <w:tc>
          <w:tcPr>
            <w:tcW w:w="1231" w:type="dxa"/>
            <w:tcBorders>
              <w:top w:val="single" w:sz="4" w:space="0" w:color="auto"/>
              <w:left w:val="single" w:sz="4" w:space="0" w:color="auto"/>
              <w:bottom w:val="single" w:sz="4" w:space="0" w:color="auto"/>
              <w:right w:val="single" w:sz="4" w:space="0" w:color="auto"/>
            </w:tcBorders>
            <w:vAlign w:val="center"/>
          </w:tcPr>
          <w:p w14:paraId="52661A14" w14:textId="2470DB44" w:rsidR="003F027D" w:rsidRPr="00821AF6" w:rsidRDefault="006D347E" w:rsidP="00240BF6">
            <w:pPr>
              <w:spacing w:before="60" w:after="20" w:line="288" w:lineRule="auto"/>
              <w:ind w:firstLine="0"/>
              <w:jc w:val="right"/>
              <w:rPr>
                <w:rFonts w:cs="Tahoma"/>
                <w:b/>
                <w:sz w:val="20"/>
                <w:szCs w:val="20"/>
              </w:rPr>
            </w:pPr>
            <w:r>
              <w:rPr>
                <w:rFonts w:cs="Tahoma"/>
                <w:b/>
                <w:sz w:val="20"/>
                <w:szCs w:val="20"/>
              </w:rPr>
              <w:t>255,3</w:t>
            </w:r>
          </w:p>
        </w:tc>
      </w:tr>
    </w:tbl>
    <w:p w14:paraId="430360E1" w14:textId="006F3DCD" w:rsidR="003F027D" w:rsidRPr="00821AF6" w:rsidRDefault="006D347E" w:rsidP="00240BF6">
      <w:pPr>
        <w:spacing w:before="120" w:after="240"/>
        <w:ind w:firstLine="0"/>
        <w:jc w:val="left"/>
        <w:rPr>
          <w:rFonts w:cs="Tahoma"/>
          <w:sz w:val="20"/>
          <w:szCs w:val="20"/>
        </w:rPr>
      </w:pPr>
      <w:r>
        <w:rPr>
          <w:rFonts w:cs="Tahoma"/>
          <w:sz w:val="20"/>
          <w:szCs w:val="20"/>
        </w:rPr>
        <w:t>Źródło: dane</w:t>
      </w:r>
      <w:r w:rsidR="003F027D" w:rsidRPr="00821AF6">
        <w:rPr>
          <w:rFonts w:cs="Tahoma"/>
          <w:sz w:val="20"/>
          <w:szCs w:val="20"/>
        </w:rPr>
        <w:t xml:space="preserve"> </w:t>
      </w:r>
      <w:r w:rsidR="00240BF6">
        <w:rPr>
          <w:rFonts w:cs="Tahoma"/>
          <w:sz w:val="20"/>
          <w:szCs w:val="20"/>
        </w:rPr>
        <w:t>MPK-Rzeszów sp. z o.o.</w:t>
      </w:r>
    </w:p>
    <w:p w14:paraId="7A4D394F" w14:textId="3F967BB8" w:rsidR="003F027D" w:rsidRPr="00821AF6" w:rsidRDefault="003F027D" w:rsidP="006D347E">
      <w:pPr>
        <w:pStyle w:val="Legenda"/>
        <w:keepNext/>
        <w:spacing w:before="240" w:after="0"/>
        <w:ind w:firstLine="0"/>
        <w:jc w:val="left"/>
        <w:rPr>
          <w:color w:val="000000"/>
          <w:sz w:val="22"/>
          <w:szCs w:val="22"/>
        </w:rPr>
      </w:pPr>
      <w:r w:rsidRPr="00821AF6">
        <w:rPr>
          <w:color w:val="000000"/>
          <w:sz w:val="22"/>
          <w:szCs w:val="22"/>
        </w:rPr>
        <w:t xml:space="preserve">Tab. </w:t>
      </w:r>
      <w:r w:rsidRPr="00821AF6">
        <w:rPr>
          <w:color w:val="000000"/>
          <w:sz w:val="22"/>
          <w:szCs w:val="22"/>
        </w:rPr>
        <w:fldChar w:fldCharType="begin"/>
      </w:r>
      <w:r w:rsidRPr="00821AF6">
        <w:rPr>
          <w:color w:val="000000"/>
          <w:sz w:val="22"/>
          <w:szCs w:val="22"/>
        </w:rPr>
        <w:instrText xml:space="preserve"> SEQ Tab. \* ARABIC </w:instrText>
      </w:r>
      <w:r w:rsidRPr="00821AF6">
        <w:rPr>
          <w:color w:val="000000"/>
          <w:sz w:val="22"/>
          <w:szCs w:val="22"/>
        </w:rPr>
        <w:fldChar w:fldCharType="separate"/>
      </w:r>
      <w:r w:rsidR="004605BC">
        <w:rPr>
          <w:noProof/>
          <w:color w:val="000000"/>
          <w:sz w:val="22"/>
          <w:szCs w:val="22"/>
        </w:rPr>
        <w:t>20</w:t>
      </w:r>
      <w:r w:rsidRPr="00821AF6">
        <w:rPr>
          <w:color w:val="000000"/>
          <w:sz w:val="22"/>
          <w:szCs w:val="22"/>
        </w:rPr>
        <w:fldChar w:fldCharType="end"/>
      </w:r>
      <w:r w:rsidRPr="00821AF6">
        <w:rPr>
          <w:color w:val="000000"/>
          <w:sz w:val="22"/>
          <w:szCs w:val="22"/>
        </w:rPr>
        <w:t xml:space="preserve">. Bilans </w:t>
      </w:r>
      <w:r w:rsidR="00C73F5E">
        <w:rPr>
          <w:color w:val="000000"/>
          <w:sz w:val="22"/>
          <w:szCs w:val="22"/>
        </w:rPr>
        <w:t>MPK</w:t>
      </w:r>
      <w:r w:rsidR="006D347E">
        <w:rPr>
          <w:color w:val="000000"/>
          <w:sz w:val="22"/>
          <w:szCs w:val="22"/>
        </w:rPr>
        <w:t>-Rzeszów</w:t>
      </w:r>
      <w:r w:rsidR="00C73F5E">
        <w:rPr>
          <w:color w:val="000000"/>
          <w:sz w:val="22"/>
          <w:szCs w:val="22"/>
        </w:rPr>
        <w:t xml:space="preserve"> </w:t>
      </w:r>
      <w:r w:rsidRPr="00821AF6">
        <w:rPr>
          <w:color w:val="000000"/>
          <w:sz w:val="22"/>
          <w:szCs w:val="22"/>
        </w:rPr>
        <w:t xml:space="preserve">sp. z o.o. – aktywa, wykonanie w latach 2018-2020 </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30"/>
        <w:gridCol w:w="4932"/>
        <w:gridCol w:w="1136"/>
        <w:gridCol w:w="1137"/>
        <w:gridCol w:w="1137"/>
      </w:tblGrid>
      <w:tr w:rsidR="003F027D" w:rsidRPr="00821AF6" w14:paraId="1764240E" w14:textId="77777777" w:rsidTr="003F027D">
        <w:trPr>
          <w:cantSplit/>
          <w:trHeight w:val="350"/>
          <w:tblHeader/>
          <w:jc w:val="center"/>
        </w:trPr>
        <w:tc>
          <w:tcPr>
            <w:tcW w:w="730" w:type="dxa"/>
            <w:vMerge w:val="restart"/>
            <w:shd w:val="clear" w:color="auto" w:fill="FFFF99"/>
            <w:vAlign w:val="center"/>
          </w:tcPr>
          <w:p w14:paraId="7F9C8DC5"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Lp.</w:t>
            </w:r>
          </w:p>
        </w:tc>
        <w:tc>
          <w:tcPr>
            <w:tcW w:w="4932" w:type="dxa"/>
            <w:vMerge w:val="restart"/>
            <w:shd w:val="clear" w:color="auto" w:fill="FFFF99"/>
            <w:vAlign w:val="center"/>
          </w:tcPr>
          <w:p w14:paraId="33F7CB5C"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Wyszczególnienie</w:t>
            </w:r>
          </w:p>
        </w:tc>
        <w:tc>
          <w:tcPr>
            <w:tcW w:w="3410" w:type="dxa"/>
            <w:gridSpan w:val="3"/>
            <w:tcBorders>
              <w:bottom w:val="single" w:sz="6" w:space="0" w:color="auto"/>
            </w:tcBorders>
            <w:shd w:val="clear" w:color="auto" w:fill="FFFF99"/>
            <w:vAlign w:val="center"/>
          </w:tcPr>
          <w:p w14:paraId="44414796"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Wykonanie w latach</w:t>
            </w:r>
            <w:r>
              <w:rPr>
                <w:rFonts w:cs="Tahoma"/>
                <w:b/>
                <w:sz w:val="20"/>
                <w:szCs w:val="20"/>
              </w:rPr>
              <w:t xml:space="preserve"> [tys. zł]</w:t>
            </w:r>
          </w:p>
        </w:tc>
      </w:tr>
      <w:tr w:rsidR="003F027D" w:rsidRPr="00821AF6" w14:paraId="1B537148" w14:textId="77777777" w:rsidTr="003F027D">
        <w:trPr>
          <w:cantSplit/>
          <w:trHeight w:val="349"/>
          <w:tblHeader/>
          <w:jc w:val="center"/>
        </w:trPr>
        <w:tc>
          <w:tcPr>
            <w:tcW w:w="730" w:type="dxa"/>
            <w:vMerge/>
            <w:tcBorders>
              <w:bottom w:val="single" w:sz="6" w:space="0" w:color="auto"/>
            </w:tcBorders>
            <w:shd w:val="clear" w:color="auto" w:fill="FFFF99"/>
            <w:vAlign w:val="center"/>
          </w:tcPr>
          <w:p w14:paraId="77C7E966" w14:textId="77777777" w:rsidR="003F027D" w:rsidRPr="00821AF6" w:rsidRDefault="003F027D" w:rsidP="006D347E">
            <w:pPr>
              <w:keepNext/>
              <w:spacing w:before="60" w:after="20" w:line="276" w:lineRule="auto"/>
              <w:ind w:firstLine="0"/>
              <w:jc w:val="center"/>
              <w:rPr>
                <w:rFonts w:cs="Tahoma"/>
                <w:b/>
                <w:sz w:val="20"/>
                <w:szCs w:val="20"/>
              </w:rPr>
            </w:pPr>
          </w:p>
        </w:tc>
        <w:tc>
          <w:tcPr>
            <w:tcW w:w="4932" w:type="dxa"/>
            <w:vMerge/>
            <w:tcBorders>
              <w:bottom w:val="single" w:sz="6" w:space="0" w:color="auto"/>
            </w:tcBorders>
            <w:shd w:val="clear" w:color="auto" w:fill="FFFF99"/>
            <w:vAlign w:val="center"/>
          </w:tcPr>
          <w:p w14:paraId="4B51F6B9" w14:textId="77777777" w:rsidR="003F027D" w:rsidRPr="00821AF6" w:rsidRDefault="003F027D" w:rsidP="006D347E">
            <w:pPr>
              <w:keepNext/>
              <w:spacing w:before="60" w:after="20" w:line="276" w:lineRule="auto"/>
              <w:ind w:firstLine="0"/>
              <w:jc w:val="center"/>
              <w:rPr>
                <w:rFonts w:cs="Tahoma"/>
                <w:b/>
                <w:sz w:val="20"/>
                <w:szCs w:val="20"/>
              </w:rPr>
            </w:pPr>
          </w:p>
        </w:tc>
        <w:tc>
          <w:tcPr>
            <w:tcW w:w="1136" w:type="dxa"/>
            <w:tcBorders>
              <w:bottom w:val="single" w:sz="6" w:space="0" w:color="auto"/>
            </w:tcBorders>
            <w:shd w:val="clear" w:color="auto" w:fill="FFFF99"/>
            <w:vAlign w:val="center"/>
          </w:tcPr>
          <w:p w14:paraId="2272FD09"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2018</w:t>
            </w:r>
          </w:p>
        </w:tc>
        <w:tc>
          <w:tcPr>
            <w:tcW w:w="1137" w:type="dxa"/>
            <w:tcBorders>
              <w:bottom w:val="single" w:sz="6" w:space="0" w:color="auto"/>
            </w:tcBorders>
            <w:shd w:val="clear" w:color="auto" w:fill="FFFF99"/>
            <w:vAlign w:val="center"/>
          </w:tcPr>
          <w:p w14:paraId="30621657"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2019</w:t>
            </w:r>
          </w:p>
        </w:tc>
        <w:tc>
          <w:tcPr>
            <w:tcW w:w="1137" w:type="dxa"/>
            <w:tcBorders>
              <w:bottom w:val="single" w:sz="6" w:space="0" w:color="auto"/>
            </w:tcBorders>
            <w:shd w:val="clear" w:color="auto" w:fill="FFFF99"/>
            <w:vAlign w:val="center"/>
          </w:tcPr>
          <w:p w14:paraId="3DFFD9CD"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2020</w:t>
            </w:r>
          </w:p>
        </w:tc>
      </w:tr>
      <w:tr w:rsidR="003F027D" w:rsidRPr="00821AF6" w14:paraId="7FD99401" w14:textId="77777777" w:rsidTr="003F027D">
        <w:trPr>
          <w:cantSplit/>
          <w:jc w:val="center"/>
        </w:trPr>
        <w:tc>
          <w:tcPr>
            <w:tcW w:w="730" w:type="dxa"/>
            <w:tcBorders>
              <w:top w:val="single" w:sz="6" w:space="0" w:color="auto"/>
              <w:left w:val="single" w:sz="4" w:space="0" w:color="auto"/>
              <w:bottom w:val="single" w:sz="6" w:space="0" w:color="auto"/>
              <w:right w:val="single" w:sz="4" w:space="0" w:color="auto"/>
            </w:tcBorders>
            <w:shd w:val="clear" w:color="auto" w:fill="E2EFD9" w:themeFill="accent6" w:themeFillTint="33"/>
            <w:vAlign w:val="center"/>
          </w:tcPr>
          <w:p w14:paraId="6B2D8888"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A</w:t>
            </w:r>
          </w:p>
        </w:tc>
        <w:tc>
          <w:tcPr>
            <w:tcW w:w="4932" w:type="dxa"/>
            <w:tcBorders>
              <w:top w:val="single" w:sz="6" w:space="0" w:color="auto"/>
              <w:left w:val="single" w:sz="4" w:space="0" w:color="auto"/>
              <w:bottom w:val="single" w:sz="6" w:space="0" w:color="auto"/>
              <w:right w:val="single" w:sz="4" w:space="0" w:color="auto"/>
            </w:tcBorders>
            <w:shd w:val="clear" w:color="auto" w:fill="E2EFD9" w:themeFill="accent6" w:themeFillTint="33"/>
            <w:vAlign w:val="center"/>
          </w:tcPr>
          <w:p w14:paraId="4CDBBE25" w14:textId="77777777" w:rsidR="003F027D" w:rsidRPr="00821AF6" w:rsidRDefault="003F027D" w:rsidP="006D347E">
            <w:pPr>
              <w:keepNext/>
              <w:spacing w:before="60" w:after="20" w:line="276" w:lineRule="auto"/>
              <w:ind w:firstLine="0"/>
              <w:jc w:val="left"/>
              <w:rPr>
                <w:rFonts w:cs="Tahoma"/>
                <w:b/>
                <w:sz w:val="20"/>
                <w:szCs w:val="20"/>
              </w:rPr>
            </w:pPr>
            <w:r w:rsidRPr="00821AF6">
              <w:rPr>
                <w:rFonts w:cs="Tahoma"/>
                <w:b/>
                <w:sz w:val="20"/>
                <w:szCs w:val="20"/>
              </w:rPr>
              <w:t xml:space="preserve">Aktywa trwałe </w:t>
            </w:r>
          </w:p>
        </w:tc>
        <w:tc>
          <w:tcPr>
            <w:tcW w:w="1136" w:type="dxa"/>
            <w:tcBorders>
              <w:top w:val="single" w:sz="6" w:space="0" w:color="auto"/>
              <w:left w:val="single" w:sz="4" w:space="0" w:color="auto"/>
              <w:bottom w:val="single" w:sz="6" w:space="0" w:color="auto"/>
              <w:right w:val="single" w:sz="4" w:space="0" w:color="auto"/>
            </w:tcBorders>
            <w:shd w:val="clear" w:color="auto" w:fill="E2EFD9" w:themeFill="accent6" w:themeFillTint="33"/>
            <w:vAlign w:val="center"/>
          </w:tcPr>
          <w:p w14:paraId="251A6B48" w14:textId="71341266"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17 492,7</w:t>
            </w:r>
          </w:p>
        </w:tc>
        <w:tc>
          <w:tcPr>
            <w:tcW w:w="1137" w:type="dxa"/>
            <w:tcBorders>
              <w:top w:val="single" w:sz="6" w:space="0" w:color="auto"/>
              <w:left w:val="single" w:sz="4" w:space="0" w:color="auto"/>
              <w:bottom w:val="single" w:sz="6" w:space="0" w:color="auto"/>
              <w:right w:val="single" w:sz="4" w:space="0" w:color="auto"/>
            </w:tcBorders>
            <w:shd w:val="clear" w:color="auto" w:fill="E2EFD9" w:themeFill="accent6" w:themeFillTint="33"/>
            <w:vAlign w:val="center"/>
          </w:tcPr>
          <w:p w14:paraId="01927AD5" w14:textId="7310B084"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19 892,1</w:t>
            </w:r>
          </w:p>
        </w:tc>
        <w:tc>
          <w:tcPr>
            <w:tcW w:w="1137" w:type="dxa"/>
            <w:tcBorders>
              <w:top w:val="single" w:sz="6" w:space="0" w:color="auto"/>
              <w:left w:val="single" w:sz="4" w:space="0" w:color="auto"/>
              <w:bottom w:val="single" w:sz="6" w:space="0" w:color="auto"/>
              <w:right w:val="single" w:sz="4" w:space="0" w:color="auto"/>
            </w:tcBorders>
            <w:shd w:val="clear" w:color="auto" w:fill="E2EFD9" w:themeFill="accent6" w:themeFillTint="33"/>
            <w:vAlign w:val="center"/>
          </w:tcPr>
          <w:p w14:paraId="6B7EF067" w14:textId="3444B3B1"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20 503,2</w:t>
            </w:r>
          </w:p>
        </w:tc>
      </w:tr>
      <w:tr w:rsidR="003F027D" w:rsidRPr="00821AF6" w14:paraId="29F48DCB" w14:textId="77777777" w:rsidTr="003F027D">
        <w:trPr>
          <w:cantSplit/>
          <w:jc w:val="center"/>
        </w:trPr>
        <w:tc>
          <w:tcPr>
            <w:tcW w:w="730" w:type="dxa"/>
            <w:tcBorders>
              <w:top w:val="single" w:sz="6" w:space="0" w:color="auto"/>
              <w:left w:val="single" w:sz="4" w:space="0" w:color="auto"/>
              <w:bottom w:val="single" w:sz="4" w:space="0" w:color="auto"/>
              <w:right w:val="single" w:sz="4" w:space="0" w:color="auto"/>
            </w:tcBorders>
            <w:vAlign w:val="center"/>
          </w:tcPr>
          <w:p w14:paraId="590FE804"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I</w:t>
            </w:r>
          </w:p>
        </w:tc>
        <w:tc>
          <w:tcPr>
            <w:tcW w:w="4932" w:type="dxa"/>
            <w:tcBorders>
              <w:top w:val="single" w:sz="6" w:space="0" w:color="auto"/>
              <w:left w:val="single" w:sz="4" w:space="0" w:color="auto"/>
              <w:bottom w:val="single" w:sz="4" w:space="0" w:color="auto"/>
              <w:right w:val="single" w:sz="4" w:space="0" w:color="auto"/>
            </w:tcBorders>
            <w:vAlign w:val="center"/>
          </w:tcPr>
          <w:p w14:paraId="5244D2D2" w14:textId="77777777" w:rsidR="003F027D" w:rsidRPr="00821AF6" w:rsidRDefault="003F027D" w:rsidP="006D347E">
            <w:pPr>
              <w:keepNext/>
              <w:spacing w:before="60" w:after="20" w:line="276" w:lineRule="auto"/>
              <w:ind w:firstLine="0"/>
              <w:jc w:val="left"/>
              <w:rPr>
                <w:rFonts w:cs="Tahoma"/>
                <w:b/>
                <w:sz w:val="20"/>
                <w:szCs w:val="20"/>
              </w:rPr>
            </w:pPr>
            <w:r w:rsidRPr="00821AF6">
              <w:rPr>
                <w:rFonts w:cs="Tahoma"/>
                <w:b/>
                <w:sz w:val="20"/>
                <w:szCs w:val="20"/>
              </w:rPr>
              <w:t>Wartości niematerialne i prawne</w:t>
            </w:r>
          </w:p>
        </w:tc>
        <w:tc>
          <w:tcPr>
            <w:tcW w:w="1136" w:type="dxa"/>
            <w:tcBorders>
              <w:top w:val="single" w:sz="6" w:space="0" w:color="auto"/>
              <w:left w:val="single" w:sz="4" w:space="0" w:color="auto"/>
              <w:bottom w:val="single" w:sz="4" w:space="0" w:color="auto"/>
              <w:right w:val="single" w:sz="4" w:space="0" w:color="auto"/>
            </w:tcBorders>
            <w:vAlign w:val="center"/>
          </w:tcPr>
          <w:p w14:paraId="35589550" w14:textId="4AAE6411"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2,1</w:t>
            </w:r>
          </w:p>
        </w:tc>
        <w:tc>
          <w:tcPr>
            <w:tcW w:w="1137" w:type="dxa"/>
            <w:tcBorders>
              <w:top w:val="single" w:sz="6" w:space="0" w:color="auto"/>
              <w:left w:val="single" w:sz="4" w:space="0" w:color="auto"/>
              <w:bottom w:val="single" w:sz="4" w:space="0" w:color="auto"/>
              <w:right w:val="single" w:sz="4" w:space="0" w:color="auto"/>
            </w:tcBorders>
            <w:vAlign w:val="center"/>
          </w:tcPr>
          <w:p w14:paraId="2264DB6E" w14:textId="1F41C70E"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0,0</w:t>
            </w:r>
          </w:p>
        </w:tc>
        <w:tc>
          <w:tcPr>
            <w:tcW w:w="1137" w:type="dxa"/>
            <w:tcBorders>
              <w:top w:val="single" w:sz="6" w:space="0" w:color="auto"/>
              <w:left w:val="single" w:sz="4" w:space="0" w:color="auto"/>
              <w:bottom w:val="single" w:sz="4" w:space="0" w:color="auto"/>
              <w:right w:val="single" w:sz="4" w:space="0" w:color="auto"/>
            </w:tcBorders>
            <w:vAlign w:val="center"/>
          </w:tcPr>
          <w:p w14:paraId="1242DBBD" w14:textId="397E269F"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0,0</w:t>
            </w:r>
          </w:p>
        </w:tc>
      </w:tr>
      <w:tr w:rsidR="003F027D" w:rsidRPr="00821AF6" w14:paraId="3F1F7987"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25F07E10"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II</w:t>
            </w:r>
          </w:p>
        </w:tc>
        <w:tc>
          <w:tcPr>
            <w:tcW w:w="4932" w:type="dxa"/>
            <w:tcBorders>
              <w:top w:val="single" w:sz="4" w:space="0" w:color="auto"/>
              <w:left w:val="single" w:sz="4" w:space="0" w:color="auto"/>
              <w:bottom w:val="single" w:sz="4" w:space="0" w:color="auto"/>
              <w:right w:val="single" w:sz="4" w:space="0" w:color="auto"/>
            </w:tcBorders>
            <w:vAlign w:val="center"/>
          </w:tcPr>
          <w:p w14:paraId="1620F312" w14:textId="77777777" w:rsidR="003F027D" w:rsidRPr="00821AF6" w:rsidRDefault="003F027D" w:rsidP="006D347E">
            <w:pPr>
              <w:keepNext/>
              <w:spacing w:before="60" w:after="20" w:line="276" w:lineRule="auto"/>
              <w:ind w:firstLine="0"/>
              <w:jc w:val="left"/>
              <w:rPr>
                <w:rFonts w:cs="Tahoma"/>
                <w:b/>
                <w:sz w:val="20"/>
                <w:szCs w:val="20"/>
              </w:rPr>
            </w:pPr>
            <w:r w:rsidRPr="00821AF6">
              <w:rPr>
                <w:rFonts w:cs="Tahoma"/>
                <w:b/>
                <w:sz w:val="20"/>
                <w:szCs w:val="20"/>
              </w:rPr>
              <w:t>Rzeczowe aktywa trwałe</w:t>
            </w:r>
          </w:p>
        </w:tc>
        <w:tc>
          <w:tcPr>
            <w:tcW w:w="1136" w:type="dxa"/>
            <w:tcBorders>
              <w:top w:val="single" w:sz="4" w:space="0" w:color="auto"/>
              <w:left w:val="single" w:sz="4" w:space="0" w:color="auto"/>
              <w:bottom w:val="single" w:sz="4" w:space="0" w:color="auto"/>
              <w:right w:val="single" w:sz="4" w:space="0" w:color="auto"/>
            </w:tcBorders>
            <w:vAlign w:val="center"/>
          </w:tcPr>
          <w:p w14:paraId="0919C96B" w14:textId="3A09946E"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17 490,6</w:t>
            </w:r>
          </w:p>
        </w:tc>
        <w:tc>
          <w:tcPr>
            <w:tcW w:w="1137" w:type="dxa"/>
            <w:tcBorders>
              <w:top w:val="single" w:sz="4" w:space="0" w:color="auto"/>
              <w:left w:val="single" w:sz="4" w:space="0" w:color="auto"/>
              <w:bottom w:val="single" w:sz="4" w:space="0" w:color="auto"/>
              <w:right w:val="single" w:sz="4" w:space="0" w:color="auto"/>
            </w:tcBorders>
            <w:vAlign w:val="center"/>
          </w:tcPr>
          <w:p w14:paraId="3D50B31C" w14:textId="3C39835A"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19 892,1</w:t>
            </w:r>
          </w:p>
        </w:tc>
        <w:tc>
          <w:tcPr>
            <w:tcW w:w="1137" w:type="dxa"/>
            <w:tcBorders>
              <w:top w:val="single" w:sz="4" w:space="0" w:color="auto"/>
              <w:left w:val="single" w:sz="4" w:space="0" w:color="auto"/>
              <w:bottom w:val="single" w:sz="4" w:space="0" w:color="auto"/>
              <w:right w:val="single" w:sz="4" w:space="0" w:color="auto"/>
            </w:tcBorders>
            <w:vAlign w:val="center"/>
          </w:tcPr>
          <w:p w14:paraId="5BF41D93" w14:textId="4F2DC6D5"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20 503,2</w:t>
            </w:r>
          </w:p>
        </w:tc>
      </w:tr>
      <w:tr w:rsidR="003F027D" w:rsidRPr="00821AF6" w14:paraId="0AF5E7D0"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358603D0" w14:textId="77777777" w:rsidR="003F027D" w:rsidRPr="00821AF6" w:rsidRDefault="003F027D" w:rsidP="006D347E">
            <w:pPr>
              <w:spacing w:before="60" w:after="20" w:line="276" w:lineRule="auto"/>
              <w:ind w:firstLine="0"/>
              <w:jc w:val="center"/>
              <w:rPr>
                <w:rFonts w:cs="Tahoma"/>
                <w:sz w:val="20"/>
                <w:szCs w:val="20"/>
              </w:rPr>
            </w:pPr>
            <w:r w:rsidRPr="00821AF6">
              <w:rPr>
                <w:rFonts w:cs="Tahoma"/>
                <w:sz w:val="20"/>
                <w:szCs w:val="20"/>
              </w:rPr>
              <w:t>1</w:t>
            </w:r>
          </w:p>
        </w:tc>
        <w:tc>
          <w:tcPr>
            <w:tcW w:w="4932" w:type="dxa"/>
            <w:tcBorders>
              <w:top w:val="single" w:sz="4" w:space="0" w:color="auto"/>
              <w:left w:val="single" w:sz="4" w:space="0" w:color="auto"/>
              <w:bottom w:val="single" w:sz="4" w:space="0" w:color="auto"/>
              <w:right w:val="single" w:sz="4" w:space="0" w:color="auto"/>
            </w:tcBorders>
            <w:vAlign w:val="center"/>
          </w:tcPr>
          <w:p w14:paraId="714D1F3F" w14:textId="77777777" w:rsidR="003F027D" w:rsidRPr="00821AF6" w:rsidRDefault="003F027D" w:rsidP="006D347E">
            <w:pPr>
              <w:spacing w:before="60" w:after="20" w:line="276" w:lineRule="auto"/>
              <w:ind w:firstLine="0"/>
              <w:jc w:val="left"/>
              <w:rPr>
                <w:rFonts w:cs="Tahoma"/>
                <w:sz w:val="20"/>
                <w:szCs w:val="20"/>
              </w:rPr>
            </w:pPr>
            <w:r w:rsidRPr="00821AF6">
              <w:rPr>
                <w:rFonts w:cs="Tahoma"/>
                <w:sz w:val="20"/>
                <w:szCs w:val="20"/>
              </w:rPr>
              <w:t>Środki trwałe</w:t>
            </w:r>
          </w:p>
        </w:tc>
        <w:tc>
          <w:tcPr>
            <w:tcW w:w="1136" w:type="dxa"/>
            <w:tcBorders>
              <w:top w:val="single" w:sz="4" w:space="0" w:color="auto"/>
              <w:left w:val="single" w:sz="4" w:space="0" w:color="auto"/>
              <w:bottom w:val="single" w:sz="4" w:space="0" w:color="auto"/>
              <w:right w:val="single" w:sz="4" w:space="0" w:color="auto"/>
            </w:tcBorders>
            <w:vAlign w:val="center"/>
          </w:tcPr>
          <w:p w14:paraId="36B4A82D" w14:textId="7134DCF2" w:rsidR="003F027D" w:rsidRPr="00821AF6" w:rsidRDefault="006D347E" w:rsidP="006D347E">
            <w:pPr>
              <w:spacing w:before="60" w:after="20" w:line="276" w:lineRule="auto"/>
              <w:ind w:firstLine="0"/>
              <w:jc w:val="right"/>
              <w:rPr>
                <w:rFonts w:cs="Tahoma"/>
                <w:sz w:val="20"/>
                <w:szCs w:val="20"/>
              </w:rPr>
            </w:pPr>
            <w:r>
              <w:rPr>
                <w:rFonts w:cs="Tahoma"/>
                <w:sz w:val="20"/>
                <w:szCs w:val="20"/>
              </w:rPr>
              <w:t>17 071,2</w:t>
            </w:r>
          </w:p>
        </w:tc>
        <w:tc>
          <w:tcPr>
            <w:tcW w:w="1137" w:type="dxa"/>
            <w:tcBorders>
              <w:top w:val="single" w:sz="4" w:space="0" w:color="auto"/>
              <w:left w:val="single" w:sz="4" w:space="0" w:color="auto"/>
              <w:bottom w:val="single" w:sz="4" w:space="0" w:color="auto"/>
              <w:right w:val="single" w:sz="4" w:space="0" w:color="auto"/>
            </w:tcBorders>
            <w:vAlign w:val="center"/>
          </w:tcPr>
          <w:p w14:paraId="4BA49C97" w14:textId="3EA35A48" w:rsidR="003F027D" w:rsidRPr="00821AF6" w:rsidRDefault="006D347E" w:rsidP="006D347E">
            <w:pPr>
              <w:spacing w:before="60" w:after="20" w:line="276" w:lineRule="auto"/>
              <w:ind w:firstLine="0"/>
              <w:jc w:val="right"/>
              <w:rPr>
                <w:rFonts w:cs="Tahoma"/>
                <w:sz w:val="20"/>
                <w:szCs w:val="20"/>
              </w:rPr>
            </w:pPr>
            <w:r>
              <w:rPr>
                <w:rFonts w:cs="Tahoma"/>
                <w:sz w:val="20"/>
                <w:szCs w:val="20"/>
              </w:rPr>
              <w:t>19 862,9</w:t>
            </w:r>
          </w:p>
        </w:tc>
        <w:tc>
          <w:tcPr>
            <w:tcW w:w="1137" w:type="dxa"/>
            <w:tcBorders>
              <w:top w:val="single" w:sz="4" w:space="0" w:color="auto"/>
              <w:left w:val="single" w:sz="4" w:space="0" w:color="auto"/>
              <w:bottom w:val="single" w:sz="4" w:space="0" w:color="auto"/>
              <w:right w:val="single" w:sz="4" w:space="0" w:color="auto"/>
            </w:tcBorders>
            <w:vAlign w:val="center"/>
          </w:tcPr>
          <w:p w14:paraId="05182952" w14:textId="13B93AA2" w:rsidR="003F027D" w:rsidRPr="00821AF6" w:rsidRDefault="006D347E" w:rsidP="006D347E">
            <w:pPr>
              <w:spacing w:before="60" w:after="20" w:line="276" w:lineRule="auto"/>
              <w:ind w:firstLine="0"/>
              <w:jc w:val="right"/>
              <w:rPr>
                <w:rFonts w:cs="Tahoma"/>
                <w:sz w:val="20"/>
                <w:szCs w:val="20"/>
              </w:rPr>
            </w:pPr>
            <w:r>
              <w:rPr>
                <w:rFonts w:cs="Tahoma"/>
                <w:sz w:val="20"/>
                <w:szCs w:val="20"/>
              </w:rPr>
              <w:t>20 081,4</w:t>
            </w:r>
          </w:p>
        </w:tc>
      </w:tr>
      <w:tr w:rsidR="003F027D" w:rsidRPr="00821AF6" w14:paraId="338DC019"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16CAD2CF" w14:textId="77777777" w:rsidR="003F027D" w:rsidRPr="00821AF6" w:rsidRDefault="003F027D" w:rsidP="006D347E">
            <w:pPr>
              <w:spacing w:before="60" w:after="20" w:line="276" w:lineRule="auto"/>
              <w:ind w:firstLine="0"/>
              <w:jc w:val="center"/>
              <w:rPr>
                <w:rFonts w:cs="Tahoma"/>
                <w:sz w:val="20"/>
                <w:szCs w:val="20"/>
              </w:rPr>
            </w:pPr>
            <w:r w:rsidRPr="00821AF6">
              <w:rPr>
                <w:rFonts w:cs="Tahoma"/>
                <w:sz w:val="20"/>
                <w:szCs w:val="20"/>
              </w:rPr>
              <w:t>2</w:t>
            </w:r>
          </w:p>
        </w:tc>
        <w:tc>
          <w:tcPr>
            <w:tcW w:w="4932" w:type="dxa"/>
            <w:tcBorders>
              <w:top w:val="single" w:sz="4" w:space="0" w:color="auto"/>
              <w:left w:val="single" w:sz="4" w:space="0" w:color="auto"/>
              <w:bottom w:val="single" w:sz="4" w:space="0" w:color="auto"/>
              <w:right w:val="single" w:sz="4" w:space="0" w:color="auto"/>
            </w:tcBorders>
            <w:vAlign w:val="center"/>
          </w:tcPr>
          <w:p w14:paraId="7E06042C" w14:textId="77777777" w:rsidR="003F027D" w:rsidRPr="00821AF6" w:rsidRDefault="003F027D" w:rsidP="006D347E">
            <w:pPr>
              <w:spacing w:before="60" w:after="20" w:line="276" w:lineRule="auto"/>
              <w:ind w:firstLine="0"/>
              <w:jc w:val="left"/>
              <w:rPr>
                <w:rFonts w:cs="Tahoma"/>
                <w:sz w:val="20"/>
                <w:szCs w:val="20"/>
              </w:rPr>
            </w:pPr>
            <w:r w:rsidRPr="00821AF6">
              <w:rPr>
                <w:rFonts w:cs="Tahoma"/>
                <w:sz w:val="20"/>
                <w:szCs w:val="20"/>
              </w:rPr>
              <w:t>Środki trwałe w budowie</w:t>
            </w:r>
          </w:p>
        </w:tc>
        <w:tc>
          <w:tcPr>
            <w:tcW w:w="1136" w:type="dxa"/>
            <w:tcBorders>
              <w:top w:val="single" w:sz="4" w:space="0" w:color="auto"/>
              <w:left w:val="single" w:sz="4" w:space="0" w:color="auto"/>
              <w:bottom w:val="single" w:sz="4" w:space="0" w:color="auto"/>
              <w:right w:val="single" w:sz="4" w:space="0" w:color="auto"/>
            </w:tcBorders>
            <w:vAlign w:val="center"/>
          </w:tcPr>
          <w:p w14:paraId="47DAF5EF" w14:textId="440B1FE2" w:rsidR="003F027D" w:rsidRPr="00821AF6" w:rsidRDefault="006D347E" w:rsidP="006D347E">
            <w:pPr>
              <w:spacing w:before="60" w:after="20" w:line="276" w:lineRule="auto"/>
              <w:ind w:firstLine="0"/>
              <w:jc w:val="right"/>
              <w:rPr>
                <w:rFonts w:cs="Tahoma"/>
                <w:sz w:val="20"/>
                <w:szCs w:val="20"/>
              </w:rPr>
            </w:pPr>
            <w:r>
              <w:rPr>
                <w:rFonts w:cs="Tahoma"/>
                <w:sz w:val="20"/>
                <w:szCs w:val="20"/>
              </w:rPr>
              <w:t>416,4</w:t>
            </w:r>
          </w:p>
        </w:tc>
        <w:tc>
          <w:tcPr>
            <w:tcW w:w="1137" w:type="dxa"/>
            <w:tcBorders>
              <w:top w:val="single" w:sz="4" w:space="0" w:color="auto"/>
              <w:left w:val="single" w:sz="4" w:space="0" w:color="auto"/>
              <w:bottom w:val="single" w:sz="4" w:space="0" w:color="auto"/>
              <w:right w:val="single" w:sz="4" w:space="0" w:color="auto"/>
            </w:tcBorders>
            <w:vAlign w:val="center"/>
          </w:tcPr>
          <w:p w14:paraId="3619A5AB" w14:textId="79D3026E" w:rsidR="003F027D" w:rsidRPr="00821AF6" w:rsidRDefault="006D347E" w:rsidP="006D347E">
            <w:pPr>
              <w:spacing w:before="60" w:after="20" w:line="276" w:lineRule="auto"/>
              <w:ind w:firstLine="0"/>
              <w:jc w:val="right"/>
              <w:rPr>
                <w:rFonts w:cs="Tahoma"/>
                <w:sz w:val="20"/>
                <w:szCs w:val="20"/>
              </w:rPr>
            </w:pPr>
            <w:r>
              <w:rPr>
                <w:rFonts w:cs="Tahoma"/>
                <w:sz w:val="20"/>
                <w:szCs w:val="20"/>
              </w:rPr>
              <w:t>29,2</w:t>
            </w:r>
          </w:p>
        </w:tc>
        <w:tc>
          <w:tcPr>
            <w:tcW w:w="1137" w:type="dxa"/>
            <w:tcBorders>
              <w:top w:val="single" w:sz="4" w:space="0" w:color="auto"/>
              <w:left w:val="single" w:sz="4" w:space="0" w:color="auto"/>
              <w:bottom w:val="single" w:sz="4" w:space="0" w:color="auto"/>
              <w:right w:val="single" w:sz="4" w:space="0" w:color="auto"/>
            </w:tcBorders>
            <w:vAlign w:val="center"/>
          </w:tcPr>
          <w:p w14:paraId="10F574C7" w14:textId="2F11344B" w:rsidR="003F027D" w:rsidRPr="00821AF6" w:rsidRDefault="006D347E" w:rsidP="006D347E">
            <w:pPr>
              <w:spacing w:before="60" w:after="20" w:line="276" w:lineRule="auto"/>
              <w:ind w:firstLine="0"/>
              <w:jc w:val="right"/>
              <w:rPr>
                <w:rFonts w:cs="Tahoma"/>
                <w:sz w:val="20"/>
                <w:szCs w:val="20"/>
              </w:rPr>
            </w:pPr>
            <w:r>
              <w:rPr>
                <w:rFonts w:cs="Tahoma"/>
                <w:sz w:val="20"/>
                <w:szCs w:val="20"/>
              </w:rPr>
              <w:t>421,9</w:t>
            </w:r>
          </w:p>
        </w:tc>
      </w:tr>
      <w:tr w:rsidR="003F027D" w:rsidRPr="00821AF6" w14:paraId="17BC0581"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1BB23C1E" w14:textId="77777777" w:rsidR="003F027D" w:rsidRPr="00821AF6" w:rsidRDefault="003F027D" w:rsidP="006D347E">
            <w:pPr>
              <w:spacing w:before="60" w:after="20" w:line="276" w:lineRule="auto"/>
              <w:ind w:firstLine="0"/>
              <w:jc w:val="center"/>
              <w:rPr>
                <w:rFonts w:cs="Tahoma"/>
                <w:b/>
                <w:sz w:val="20"/>
                <w:szCs w:val="20"/>
              </w:rPr>
            </w:pPr>
            <w:r w:rsidRPr="00821AF6">
              <w:rPr>
                <w:rFonts w:cs="Tahoma"/>
                <w:b/>
                <w:sz w:val="20"/>
                <w:szCs w:val="20"/>
              </w:rPr>
              <w:t>III</w:t>
            </w:r>
          </w:p>
        </w:tc>
        <w:tc>
          <w:tcPr>
            <w:tcW w:w="4932" w:type="dxa"/>
            <w:tcBorders>
              <w:top w:val="single" w:sz="4" w:space="0" w:color="auto"/>
              <w:left w:val="single" w:sz="4" w:space="0" w:color="auto"/>
              <w:bottom w:val="single" w:sz="4" w:space="0" w:color="auto"/>
              <w:right w:val="single" w:sz="4" w:space="0" w:color="auto"/>
            </w:tcBorders>
            <w:vAlign w:val="center"/>
          </w:tcPr>
          <w:p w14:paraId="1FB90D4A" w14:textId="77777777" w:rsidR="003F027D" w:rsidRPr="00821AF6" w:rsidRDefault="003F027D" w:rsidP="006D347E">
            <w:pPr>
              <w:spacing w:before="60" w:after="20" w:line="276" w:lineRule="auto"/>
              <w:ind w:firstLine="0"/>
              <w:jc w:val="left"/>
              <w:rPr>
                <w:rFonts w:cs="Tahoma"/>
                <w:b/>
                <w:sz w:val="20"/>
                <w:szCs w:val="20"/>
              </w:rPr>
            </w:pPr>
            <w:r w:rsidRPr="00821AF6">
              <w:rPr>
                <w:rFonts w:cs="Tahoma"/>
                <w:b/>
                <w:sz w:val="20"/>
                <w:szCs w:val="20"/>
              </w:rPr>
              <w:t>Należności długoterminowe</w:t>
            </w:r>
          </w:p>
        </w:tc>
        <w:tc>
          <w:tcPr>
            <w:tcW w:w="1136" w:type="dxa"/>
            <w:tcBorders>
              <w:top w:val="single" w:sz="4" w:space="0" w:color="auto"/>
              <w:left w:val="single" w:sz="4" w:space="0" w:color="auto"/>
              <w:bottom w:val="single" w:sz="4" w:space="0" w:color="auto"/>
              <w:right w:val="single" w:sz="4" w:space="0" w:color="auto"/>
            </w:tcBorders>
            <w:vAlign w:val="center"/>
          </w:tcPr>
          <w:p w14:paraId="193F80D0" w14:textId="76EAA283" w:rsidR="003F027D" w:rsidRPr="00821AF6" w:rsidRDefault="006D347E" w:rsidP="006D347E">
            <w:pPr>
              <w:spacing w:before="60" w:after="20" w:line="276" w:lineRule="auto"/>
              <w:ind w:firstLine="0"/>
              <w:jc w:val="right"/>
              <w:rPr>
                <w:rFonts w:cs="Tahoma"/>
                <w:b/>
                <w:sz w:val="20"/>
                <w:szCs w:val="20"/>
              </w:rPr>
            </w:pPr>
            <w:r>
              <w:rPr>
                <w:rFonts w:cs="Tahoma"/>
                <w:b/>
                <w:sz w:val="20"/>
                <w:szCs w:val="20"/>
              </w:rPr>
              <w:t>0,0</w:t>
            </w:r>
          </w:p>
        </w:tc>
        <w:tc>
          <w:tcPr>
            <w:tcW w:w="1137" w:type="dxa"/>
            <w:tcBorders>
              <w:top w:val="single" w:sz="4" w:space="0" w:color="auto"/>
              <w:left w:val="single" w:sz="4" w:space="0" w:color="auto"/>
              <w:bottom w:val="single" w:sz="4" w:space="0" w:color="auto"/>
              <w:right w:val="single" w:sz="4" w:space="0" w:color="auto"/>
            </w:tcBorders>
            <w:vAlign w:val="center"/>
          </w:tcPr>
          <w:p w14:paraId="343D767E" w14:textId="226980F7" w:rsidR="003F027D" w:rsidRPr="00821AF6" w:rsidRDefault="006D347E" w:rsidP="006D347E">
            <w:pPr>
              <w:spacing w:before="60" w:after="20" w:line="276" w:lineRule="auto"/>
              <w:ind w:firstLine="0"/>
              <w:jc w:val="right"/>
              <w:rPr>
                <w:rFonts w:cs="Tahoma"/>
                <w:b/>
                <w:sz w:val="20"/>
                <w:szCs w:val="20"/>
              </w:rPr>
            </w:pPr>
            <w:r>
              <w:rPr>
                <w:rFonts w:cs="Tahoma"/>
                <w:b/>
                <w:sz w:val="20"/>
                <w:szCs w:val="20"/>
              </w:rPr>
              <w:t>0,0</w:t>
            </w:r>
          </w:p>
        </w:tc>
        <w:tc>
          <w:tcPr>
            <w:tcW w:w="1137" w:type="dxa"/>
            <w:tcBorders>
              <w:top w:val="single" w:sz="4" w:space="0" w:color="auto"/>
              <w:left w:val="single" w:sz="4" w:space="0" w:color="auto"/>
              <w:bottom w:val="single" w:sz="4" w:space="0" w:color="auto"/>
              <w:right w:val="single" w:sz="4" w:space="0" w:color="auto"/>
            </w:tcBorders>
            <w:vAlign w:val="center"/>
          </w:tcPr>
          <w:p w14:paraId="34F78BD4" w14:textId="4485437F" w:rsidR="003F027D" w:rsidRPr="00821AF6" w:rsidRDefault="006D347E" w:rsidP="006D347E">
            <w:pPr>
              <w:spacing w:before="60" w:after="20" w:line="276" w:lineRule="auto"/>
              <w:ind w:firstLine="0"/>
              <w:jc w:val="right"/>
              <w:rPr>
                <w:rFonts w:cs="Tahoma"/>
                <w:b/>
                <w:sz w:val="20"/>
                <w:szCs w:val="20"/>
              </w:rPr>
            </w:pPr>
            <w:r>
              <w:rPr>
                <w:rFonts w:cs="Tahoma"/>
                <w:b/>
                <w:sz w:val="20"/>
                <w:szCs w:val="20"/>
              </w:rPr>
              <w:t>0,0</w:t>
            </w:r>
          </w:p>
        </w:tc>
      </w:tr>
      <w:tr w:rsidR="003F027D" w:rsidRPr="00821AF6" w14:paraId="48DB27EB"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6BBE6116" w14:textId="0ABE43FA" w:rsidR="003F027D" w:rsidRPr="00821AF6" w:rsidRDefault="007C268B" w:rsidP="006D347E">
            <w:pPr>
              <w:spacing w:before="60" w:after="20" w:line="276" w:lineRule="auto"/>
              <w:ind w:firstLine="0"/>
              <w:jc w:val="center"/>
              <w:rPr>
                <w:rFonts w:cs="Tahoma"/>
                <w:b/>
                <w:sz w:val="20"/>
                <w:szCs w:val="20"/>
              </w:rPr>
            </w:pPr>
            <w:r>
              <w:rPr>
                <w:rFonts w:cs="Tahoma"/>
                <w:b/>
                <w:sz w:val="20"/>
                <w:szCs w:val="20"/>
              </w:rPr>
              <w:t>I</w:t>
            </w:r>
            <w:r w:rsidR="003F027D" w:rsidRPr="00821AF6">
              <w:rPr>
                <w:rFonts w:cs="Tahoma"/>
                <w:b/>
                <w:sz w:val="20"/>
                <w:szCs w:val="20"/>
              </w:rPr>
              <w:t>V</w:t>
            </w:r>
          </w:p>
        </w:tc>
        <w:tc>
          <w:tcPr>
            <w:tcW w:w="4932" w:type="dxa"/>
            <w:tcBorders>
              <w:top w:val="single" w:sz="4" w:space="0" w:color="auto"/>
              <w:left w:val="single" w:sz="4" w:space="0" w:color="auto"/>
              <w:bottom w:val="single" w:sz="4" w:space="0" w:color="auto"/>
              <w:right w:val="single" w:sz="4" w:space="0" w:color="auto"/>
            </w:tcBorders>
            <w:vAlign w:val="center"/>
          </w:tcPr>
          <w:p w14:paraId="019F8108" w14:textId="3A1FF444" w:rsidR="003F027D" w:rsidRPr="00821AF6" w:rsidRDefault="006D347E" w:rsidP="006D347E">
            <w:pPr>
              <w:spacing w:before="60" w:after="20" w:line="276" w:lineRule="auto"/>
              <w:ind w:firstLine="0"/>
              <w:jc w:val="left"/>
              <w:rPr>
                <w:rFonts w:cs="Tahoma"/>
                <w:b/>
                <w:sz w:val="20"/>
                <w:szCs w:val="20"/>
              </w:rPr>
            </w:pPr>
            <w:r>
              <w:rPr>
                <w:rFonts w:cs="Tahoma"/>
                <w:b/>
                <w:sz w:val="20"/>
                <w:szCs w:val="20"/>
              </w:rPr>
              <w:t>Inwestycje długoterminowe</w:t>
            </w:r>
          </w:p>
        </w:tc>
        <w:tc>
          <w:tcPr>
            <w:tcW w:w="1136" w:type="dxa"/>
            <w:tcBorders>
              <w:top w:val="single" w:sz="4" w:space="0" w:color="auto"/>
              <w:left w:val="single" w:sz="4" w:space="0" w:color="auto"/>
              <w:bottom w:val="single" w:sz="4" w:space="0" w:color="auto"/>
              <w:right w:val="single" w:sz="4" w:space="0" w:color="auto"/>
            </w:tcBorders>
            <w:vAlign w:val="center"/>
          </w:tcPr>
          <w:p w14:paraId="5F25C315" w14:textId="477B28B7" w:rsidR="003F027D" w:rsidRPr="00821AF6" w:rsidRDefault="006D347E" w:rsidP="006D347E">
            <w:pPr>
              <w:spacing w:before="60" w:after="20" w:line="276" w:lineRule="auto"/>
              <w:ind w:firstLine="0"/>
              <w:jc w:val="right"/>
              <w:rPr>
                <w:rFonts w:cs="Tahoma"/>
                <w:b/>
                <w:sz w:val="20"/>
                <w:szCs w:val="20"/>
              </w:rPr>
            </w:pPr>
            <w:r>
              <w:rPr>
                <w:rFonts w:cs="Tahoma"/>
                <w:b/>
                <w:sz w:val="20"/>
                <w:szCs w:val="20"/>
              </w:rPr>
              <w:t>0,0</w:t>
            </w:r>
          </w:p>
        </w:tc>
        <w:tc>
          <w:tcPr>
            <w:tcW w:w="1137" w:type="dxa"/>
            <w:tcBorders>
              <w:top w:val="single" w:sz="4" w:space="0" w:color="auto"/>
              <w:left w:val="single" w:sz="4" w:space="0" w:color="auto"/>
              <w:bottom w:val="single" w:sz="4" w:space="0" w:color="auto"/>
              <w:right w:val="single" w:sz="4" w:space="0" w:color="auto"/>
            </w:tcBorders>
            <w:vAlign w:val="center"/>
          </w:tcPr>
          <w:p w14:paraId="46B9D8CB" w14:textId="5AD5DC8E" w:rsidR="003F027D" w:rsidRPr="00821AF6" w:rsidRDefault="006D347E" w:rsidP="006D347E">
            <w:pPr>
              <w:spacing w:before="60" w:after="20" w:line="276" w:lineRule="auto"/>
              <w:ind w:firstLine="0"/>
              <w:jc w:val="right"/>
              <w:rPr>
                <w:rFonts w:cs="Tahoma"/>
                <w:b/>
                <w:sz w:val="20"/>
                <w:szCs w:val="20"/>
              </w:rPr>
            </w:pPr>
            <w:r>
              <w:rPr>
                <w:rFonts w:cs="Tahoma"/>
                <w:b/>
                <w:sz w:val="20"/>
                <w:szCs w:val="20"/>
              </w:rPr>
              <w:t>0,0</w:t>
            </w:r>
          </w:p>
        </w:tc>
        <w:tc>
          <w:tcPr>
            <w:tcW w:w="1137" w:type="dxa"/>
            <w:tcBorders>
              <w:top w:val="single" w:sz="4" w:space="0" w:color="auto"/>
              <w:left w:val="single" w:sz="4" w:space="0" w:color="auto"/>
              <w:bottom w:val="single" w:sz="4" w:space="0" w:color="auto"/>
              <w:right w:val="single" w:sz="4" w:space="0" w:color="auto"/>
            </w:tcBorders>
            <w:vAlign w:val="center"/>
          </w:tcPr>
          <w:p w14:paraId="62BEB2B8" w14:textId="597B18E3" w:rsidR="003F027D" w:rsidRPr="00821AF6" w:rsidRDefault="006D347E" w:rsidP="006D347E">
            <w:pPr>
              <w:spacing w:before="60" w:after="20" w:line="276" w:lineRule="auto"/>
              <w:ind w:firstLine="0"/>
              <w:jc w:val="right"/>
              <w:rPr>
                <w:rFonts w:cs="Tahoma"/>
                <w:b/>
                <w:sz w:val="20"/>
                <w:szCs w:val="20"/>
              </w:rPr>
            </w:pPr>
            <w:r>
              <w:rPr>
                <w:rFonts w:cs="Tahoma"/>
                <w:b/>
                <w:sz w:val="20"/>
                <w:szCs w:val="20"/>
              </w:rPr>
              <w:t>0,0</w:t>
            </w:r>
          </w:p>
        </w:tc>
      </w:tr>
      <w:tr w:rsidR="006D347E" w:rsidRPr="00821AF6" w14:paraId="5BE7BD50"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56619E30" w14:textId="64569BB3" w:rsidR="006D347E" w:rsidRDefault="006D347E" w:rsidP="006D347E">
            <w:pPr>
              <w:spacing w:before="60" w:after="20" w:line="276" w:lineRule="auto"/>
              <w:ind w:firstLine="0"/>
              <w:jc w:val="center"/>
              <w:rPr>
                <w:rFonts w:cs="Tahoma"/>
                <w:b/>
                <w:sz w:val="20"/>
                <w:szCs w:val="20"/>
              </w:rPr>
            </w:pPr>
            <w:r>
              <w:rPr>
                <w:rFonts w:cs="Tahoma"/>
                <w:b/>
                <w:sz w:val="20"/>
                <w:szCs w:val="20"/>
              </w:rPr>
              <w:t>V</w:t>
            </w:r>
          </w:p>
        </w:tc>
        <w:tc>
          <w:tcPr>
            <w:tcW w:w="4932" w:type="dxa"/>
            <w:tcBorders>
              <w:top w:val="single" w:sz="4" w:space="0" w:color="auto"/>
              <w:left w:val="single" w:sz="4" w:space="0" w:color="auto"/>
              <w:bottom w:val="single" w:sz="4" w:space="0" w:color="auto"/>
              <w:right w:val="single" w:sz="4" w:space="0" w:color="auto"/>
            </w:tcBorders>
            <w:vAlign w:val="center"/>
          </w:tcPr>
          <w:p w14:paraId="79FE8248" w14:textId="45E43443" w:rsidR="006D347E" w:rsidRPr="00821AF6" w:rsidRDefault="006D347E" w:rsidP="006D347E">
            <w:pPr>
              <w:spacing w:before="60" w:after="20" w:line="276" w:lineRule="auto"/>
              <w:ind w:firstLine="0"/>
              <w:jc w:val="left"/>
              <w:rPr>
                <w:rFonts w:cs="Tahoma"/>
                <w:b/>
                <w:sz w:val="20"/>
                <w:szCs w:val="20"/>
              </w:rPr>
            </w:pPr>
            <w:r w:rsidRPr="00821AF6">
              <w:rPr>
                <w:rFonts w:cs="Tahoma"/>
                <w:b/>
                <w:sz w:val="20"/>
                <w:szCs w:val="20"/>
              </w:rPr>
              <w:t>Długoterminowe rozliczenia międzyokresowe</w:t>
            </w:r>
          </w:p>
        </w:tc>
        <w:tc>
          <w:tcPr>
            <w:tcW w:w="1136" w:type="dxa"/>
            <w:tcBorders>
              <w:top w:val="single" w:sz="4" w:space="0" w:color="auto"/>
              <w:left w:val="single" w:sz="4" w:space="0" w:color="auto"/>
              <w:bottom w:val="single" w:sz="4" w:space="0" w:color="auto"/>
              <w:right w:val="single" w:sz="4" w:space="0" w:color="auto"/>
            </w:tcBorders>
            <w:vAlign w:val="center"/>
          </w:tcPr>
          <w:p w14:paraId="33D9051C" w14:textId="6276AC7B" w:rsidR="006D347E" w:rsidRPr="00821AF6" w:rsidRDefault="006D347E" w:rsidP="006D347E">
            <w:pPr>
              <w:spacing w:before="60" w:after="20" w:line="276" w:lineRule="auto"/>
              <w:ind w:firstLine="0"/>
              <w:jc w:val="right"/>
              <w:rPr>
                <w:rFonts w:cs="Tahoma"/>
                <w:b/>
                <w:sz w:val="20"/>
                <w:szCs w:val="20"/>
              </w:rPr>
            </w:pPr>
            <w:r>
              <w:rPr>
                <w:rFonts w:cs="Tahoma"/>
                <w:b/>
                <w:sz w:val="20"/>
                <w:szCs w:val="20"/>
              </w:rPr>
              <w:t>0,0</w:t>
            </w:r>
          </w:p>
        </w:tc>
        <w:tc>
          <w:tcPr>
            <w:tcW w:w="1137" w:type="dxa"/>
            <w:tcBorders>
              <w:top w:val="single" w:sz="4" w:space="0" w:color="auto"/>
              <w:left w:val="single" w:sz="4" w:space="0" w:color="auto"/>
              <w:bottom w:val="single" w:sz="4" w:space="0" w:color="auto"/>
              <w:right w:val="single" w:sz="4" w:space="0" w:color="auto"/>
            </w:tcBorders>
            <w:vAlign w:val="center"/>
          </w:tcPr>
          <w:p w14:paraId="27A5CDE1" w14:textId="7DC3D9B9" w:rsidR="006D347E" w:rsidRPr="00821AF6" w:rsidRDefault="006D347E" w:rsidP="006D347E">
            <w:pPr>
              <w:spacing w:before="60" w:after="20" w:line="276" w:lineRule="auto"/>
              <w:ind w:firstLine="0"/>
              <w:jc w:val="right"/>
              <w:rPr>
                <w:rFonts w:cs="Tahoma"/>
                <w:b/>
                <w:sz w:val="20"/>
                <w:szCs w:val="20"/>
              </w:rPr>
            </w:pPr>
            <w:r>
              <w:rPr>
                <w:rFonts w:cs="Tahoma"/>
                <w:b/>
                <w:sz w:val="20"/>
                <w:szCs w:val="20"/>
              </w:rPr>
              <w:t>0,0</w:t>
            </w:r>
          </w:p>
        </w:tc>
        <w:tc>
          <w:tcPr>
            <w:tcW w:w="1137" w:type="dxa"/>
            <w:tcBorders>
              <w:top w:val="single" w:sz="4" w:space="0" w:color="auto"/>
              <w:left w:val="single" w:sz="4" w:space="0" w:color="auto"/>
              <w:bottom w:val="single" w:sz="4" w:space="0" w:color="auto"/>
              <w:right w:val="single" w:sz="4" w:space="0" w:color="auto"/>
            </w:tcBorders>
            <w:vAlign w:val="center"/>
          </w:tcPr>
          <w:p w14:paraId="1ED7E7E3" w14:textId="5D8495C0" w:rsidR="006D347E" w:rsidRPr="00821AF6" w:rsidRDefault="006D347E" w:rsidP="006D347E">
            <w:pPr>
              <w:spacing w:before="60" w:after="20" w:line="276" w:lineRule="auto"/>
              <w:ind w:firstLine="0"/>
              <w:jc w:val="right"/>
              <w:rPr>
                <w:rFonts w:cs="Tahoma"/>
                <w:b/>
                <w:sz w:val="20"/>
                <w:szCs w:val="20"/>
              </w:rPr>
            </w:pPr>
            <w:r>
              <w:rPr>
                <w:rFonts w:cs="Tahoma"/>
                <w:b/>
                <w:sz w:val="20"/>
                <w:szCs w:val="20"/>
              </w:rPr>
              <w:t>0,0</w:t>
            </w:r>
          </w:p>
        </w:tc>
      </w:tr>
      <w:tr w:rsidR="003F027D" w:rsidRPr="00821AF6" w14:paraId="1D3612DD"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972B81"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lastRenderedPageBreak/>
              <w:t>B</w:t>
            </w:r>
          </w:p>
        </w:tc>
        <w:tc>
          <w:tcPr>
            <w:tcW w:w="49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6CB221" w14:textId="77777777" w:rsidR="003F027D" w:rsidRPr="00821AF6" w:rsidRDefault="003F027D" w:rsidP="006D347E">
            <w:pPr>
              <w:keepNext/>
              <w:spacing w:before="60" w:after="20" w:line="276" w:lineRule="auto"/>
              <w:ind w:firstLine="0"/>
              <w:jc w:val="left"/>
              <w:rPr>
                <w:rFonts w:cs="Tahoma"/>
                <w:b/>
                <w:sz w:val="20"/>
                <w:szCs w:val="20"/>
              </w:rPr>
            </w:pPr>
            <w:r w:rsidRPr="00821AF6">
              <w:rPr>
                <w:rFonts w:cs="Tahoma"/>
                <w:b/>
                <w:sz w:val="20"/>
                <w:szCs w:val="20"/>
              </w:rPr>
              <w:t>Aktywa obrotowe</w:t>
            </w:r>
          </w:p>
        </w:tc>
        <w:tc>
          <w:tcPr>
            <w:tcW w:w="11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FA73A7" w14:textId="355793C9"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11 048,2</w:t>
            </w:r>
          </w:p>
        </w:tc>
        <w:tc>
          <w:tcPr>
            <w:tcW w:w="11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33BB70" w14:textId="6EB19191"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12 614,2</w:t>
            </w:r>
          </w:p>
        </w:tc>
        <w:tc>
          <w:tcPr>
            <w:tcW w:w="11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AA9580" w14:textId="7DD345E1"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11 325,1</w:t>
            </w:r>
          </w:p>
        </w:tc>
      </w:tr>
      <w:tr w:rsidR="003F027D" w:rsidRPr="00821AF6" w14:paraId="1995AA7C"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3E7E6713" w14:textId="77777777" w:rsidR="003F027D" w:rsidRPr="00821AF6" w:rsidRDefault="003F027D" w:rsidP="006D347E">
            <w:pPr>
              <w:keepNext/>
              <w:spacing w:before="60" w:after="20" w:line="276" w:lineRule="auto"/>
              <w:ind w:firstLine="0"/>
              <w:jc w:val="center"/>
              <w:rPr>
                <w:rFonts w:cs="Tahoma"/>
                <w:b/>
                <w:sz w:val="20"/>
                <w:szCs w:val="20"/>
              </w:rPr>
            </w:pPr>
            <w:r w:rsidRPr="00821AF6">
              <w:rPr>
                <w:rFonts w:cs="Tahoma"/>
                <w:b/>
                <w:sz w:val="20"/>
                <w:szCs w:val="20"/>
              </w:rPr>
              <w:t>I</w:t>
            </w:r>
          </w:p>
        </w:tc>
        <w:tc>
          <w:tcPr>
            <w:tcW w:w="4932" w:type="dxa"/>
            <w:tcBorders>
              <w:top w:val="single" w:sz="4" w:space="0" w:color="auto"/>
              <w:left w:val="single" w:sz="4" w:space="0" w:color="auto"/>
              <w:bottom w:val="single" w:sz="4" w:space="0" w:color="auto"/>
              <w:right w:val="single" w:sz="4" w:space="0" w:color="auto"/>
            </w:tcBorders>
            <w:vAlign w:val="center"/>
          </w:tcPr>
          <w:p w14:paraId="124525FD" w14:textId="77777777" w:rsidR="003F027D" w:rsidRPr="00821AF6" w:rsidRDefault="003F027D" w:rsidP="006D347E">
            <w:pPr>
              <w:keepNext/>
              <w:spacing w:before="60" w:after="20" w:line="276" w:lineRule="auto"/>
              <w:ind w:firstLine="0"/>
              <w:jc w:val="left"/>
              <w:rPr>
                <w:rFonts w:cs="Tahoma"/>
                <w:b/>
                <w:sz w:val="20"/>
                <w:szCs w:val="20"/>
              </w:rPr>
            </w:pPr>
            <w:r w:rsidRPr="00821AF6">
              <w:rPr>
                <w:rFonts w:cs="Tahoma"/>
                <w:b/>
                <w:sz w:val="20"/>
                <w:szCs w:val="20"/>
              </w:rPr>
              <w:t>Zapasy</w:t>
            </w:r>
          </w:p>
        </w:tc>
        <w:tc>
          <w:tcPr>
            <w:tcW w:w="1136" w:type="dxa"/>
            <w:tcBorders>
              <w:top w:val="single" w:sz="4" w:space="0" w:color="auto"/>
              <w:left w:val="single" w:sz="4" w:space="0" w:color="auto"/>
              <w:bottom w:val="single" w:sz="4" w:space="0" w:color="auto"/>
              <w:right w:val="single" w:sz="4" w:space="0" w:color="auto"/>
            </w:tcBorders>
            <w:vAlign w:val="center"/>
          </w:tcPr>
          <w:p w14:paraId="01CF0579" w14:textId="659075CE"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1 102,1</w:t>
            </w:r>
          </w:p>
        </w:tc>
        <w:tc>
          <w:tcPr>
            <w:tcW w:w="1137" w:type="dxa"/>
            <w:tcBorders>
              <w:top w:val="single" w:sz="4" w:space="0" w:color="auto"/>
              <w:left w:val="single" w:sz="4" w:space="0" w:color="auto"/>
              <w:bottom w:val="single" w:sz="4" w:space="0" w:color="auto"/>
              <w:right w:val="single" w:sz="4" w:space="0" w:color="auto"/>
            </w:tcBorders>
            <w:vAlign w:val="center"/>
          </w:tcPr>
          <w:p w14:paraId="7E11AD06" w14:textId="508F7AB5"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1 328,8</w:t>
            </w:r>
          </w:p>
        </w:tc>
        <w:tc>
          <w:tcPr>
            <w:tcW w:w="1137" w:type="dxa"/>
            <w:tcBorders>
              <w:top w:val="single" w:sz="4" w:space="0" w:color="auto"/>
              <w:left w:val="single" w:sz="4" w:space="0" w:color="auto"/>
              <w:bottom w:val="single" w:sz="4" w:space="0" w:color="auto"/>
              <w:right w:val="single" w:sz="4" w:space="0" w:color="auto"/>
            </w:tcBorders>
            <w:vAlign w:val="center"/>
          </w:tcPr>
          <w:p w14:paraId="0727B69F" w14:textId="6FE9D9FD" w:rsidR="003F027D" w:rsidRPr="00821AF6" w:rsidRDefault="006D347E" w:rsidP="006D347E">
            <w:pPr>
              <w:keepNext/>
              <w:spacing w:before="60" w:after="20" w:line="276" w:lineRule="auto"/>
              <w:ind w:firstLine="0"/>
              <w:jc w:val="right"/>
              <w:rPr>
                <w:rFonts w:cs="Tahoma"/>
                <w:b/>
                <w:sz w:val="20"/>
                <w:szCs w:val="20"/>
              </w:rPr>
            </w:pPr>
            <w:r>
              <w:rPr>
                <w:rFonts w:cs="Tahoma"/>
                <w:b/>
                <w:sz w:val="20"/>
                <w:szCs w:val="20"/>
              </w:rPr>
              <w:t>1 251,5</w:t>
            </w:r>
          </w:p>
        </w:tc>
      </w:tr>
      <w:tr w:rsidR="006D347E" w:rsidRPr="00821AF6" w14:paraId="5E0F4603"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1DBA1DC8" w14:textId="77777777" w:rsidR="006D347E" w:rsidRPr="00821AF6" w:rsidRDefault="006D347E" w:rsidP="006D347E">
            <w:pPr>
              <w:spacing w:before="60" w:after="20" w:line="276" w:lineRule="auto"/>
              <w:ind w:firstLine="0"/>
              <w:jc w:val="center"/>
              <w:rPr>
                <w:rFonts w:cs="Tahoma"/>
                <w:b/>
                <w:sz w:val="20"/>
                <w:szCs w:val="20"/>
              </w:rPr>
            </w:pPr>
            <w:r w:rsidRPr="00821AF6">
              <w:rPr>
                <w:rFonts w:cs="Tahoma"/>
                <w:b/>
                <w:sz w:val="20"/>
                <w:szCs w:val="20"/>
              </w:rPr>
              <w:t>II</w:t>
            </w:r>
          </w:p>
        </w:tc>
        <w:tc>
          <w:tcPr>
            <w:tcW w:w="4932" w:type="dxa"/>
            <w:tcBorders>
              <w:top w:val="single" w:sz="4" w:space="0" w:color="auto"/>
              <w:left w:val="single" w:sz="4" w:space="0" w:color="auto"/>
              <w:bottom w:val="single" w:sz="4" w:space="0" w:color="auto"/>
              <w:right w:val="single" w:sz="4" w:space="0" w:color="auto"/>
            </w:tcBorders>
            <w:vAlign w:val="center"/>
          </w:tcPr>
          <w:p w14:paraId="0815471E" w14:textId="77777777" w:rsidR="006D347E" w:rsidRPr="00821AF6" w:rsidRDefault="006D347E" w:rsidP="006D347E">
            <w:pPr>
              <w:spacing w:before="60" w:after="20" w:line="276" w:lineRule="auto"/>
              <w:ind w:firstLine="0"/>
              <w:jc w:val="left"/>
              <w:rPr>
                <w:rFonts w:cs="Tahoma"/>
                <w:b/>
                <w:sz w:val="20"/>
                <w:szCs w:val="20"/>
              </w:rPr>
            </w:pPr>
            <w:r w:rsidRPr="00821AF6">
              <w:rPr>
                <w:rFonts w:cs="Tahoma"/>
                <w:b/>
                <w:sz w:val="20"/>
                <w:szCs w:val="20"/>
              </w:rPr>
              <w:t>Należności krótkoterminowe</w:t>
            </w:r>
          </w:p>
        </w:tc>
        <w:tc>
          <w:tcPr>
            <w:tcW w:w="1136" w:type="dxa"/>
            <w:tcBorders>
              <w:top w:val="single" w:sz="4" w:space="0" w:color="auto"/>
              <w:left w:val="single" w:sz="4" w:space="0" w:color="auto"/>
              <w:bottom w:val="single" w:sz="4" w:space="0" w:color="auto"/>
              <w:right w:val="single" w:sz="4" w:space="0" w:color="auto"/>
            </w:tcBorders>
            <w:vAlign w:val="center"/>
          </w:tcPr>
          <w:p w14:paraId="33560BFC" w14:textId="208AE1A3" w:rsidR="006D347E" w:rsidRPr="00821AF6" w:rsidRDefault="006D347E" w:rsidP="006D347E">
            <w:pPr>
              <w:spacing w:before="60" w:after="20" w:line="276" w:lineRule="auto"/>
              <w:ind w:firstLine="0"/>
              <w:jc w:val="right"/>
              <w:rPr>
                <w:rFonts w:cs="Tahoma"/>
                <w:b/>
                <w:sz w:val="20"/>
                <w:szCs w:val="20"/>
              </w:rPr>
            </w:pPr>
            <w:r>
              <w:rPr>
                <w:rFonts w:cs="Tahoma"/>
                <w:b/>
                <w:sz w:val="20"/>
                <w:szCs w:val="20"/>
              </w:rPr>
              <w:t>3 475,4</w:t>
            </w:r>
          </w:p>
        </w:tc>
        <w:tc>
          <w:tcPr>
            <w:tcW w:w="1137" w:type="dxa"/>
            <w:tcBorders>
              <w:top w:val="single" w:sz="4" w:space="0" w:color="auto"/>
              <w:left w:val="single" w:sz="4" w:space="0" w:color="auto"/>
              <w:bottom w:val="single" w:sz="4" w:space="0" w:color="auto"/>
              <w:right w:val="single" w:sz="4" w:space="0" w:color="auto"/>
            </w:tcBorders>
            <w:vAlign w:val="center"/>
          </w:tcPr>
          <w:p w14:paraId="0716A455" w14:textId="0AFEDFDE" w:rsidR="006D347E" w:rsidRPr="00821AF6" w:rsidRDefault="006D347E" w:rsidP="006D347E">
            <w:pPr>
              <w:spacing w:before="60" w:after="20" w:line="276" w:lineRule="auto"/>
              <w:ind w:firstLine="0"/>
              <w:jc w:val="right"/>
              <w:rPr>
                <w:rFonts w:cs="Tahoma"/>
                <w:b/>
                <w:sz w:val="20"/>
                <w:szCs w:val="20"/>
              </w:rPr>
            </w:pPr>
            <w:r>
              <w:rPr>
                <w:rFonts w:cs="Tahoma"/>
                <w:b/>
                <w:sz w:val="20"/>
                <w:szCs w:val="20"/>
              </w:rPr>
              <w:t>4 233,8</w:t>
            </w:r>
          </w:p>
        </w:tc>
        <w:tc>
          <w:tcPr>
            <w:tcW w:w="1137" w:type="dxa"/>
            <w:tcBorders>
              <w:top w:val="single" w:sz="4" w:space="0" w:color="auto"/>
              <w:left w:val="single" w:sz="4" w:space="0" w:color="auto"/>
              <w:bottom w:val="single" w:sz="4" w:space="0" w:color="auto"/>
              <w:right w:val="single" w:sz="4" w:space="0" w:color="auto"/>
            </w:tcBorders>
            <w:vAlign w:val="center"/>
          </w:tcPr>
          <w:p w14:paraId="0AAB05EF" w14:textId="6EDEFD38" w:rsidR="006D347E" w:rsidRPr="00821AF6" w:rsidRDefault="006D347E" w:rsidP="006D347E">
            <w:pPr>
              <w:spacing w:before="60" w:after="20" w:line="276" w:lineRule="auto"/>
              <w:ind w:firstLine="0"/>
              <w:jc w:val="right"/>
              <w:rPr>
                <w:rFonts w:cs="Tahoma"/>
                <w:b/>
                <w:sz w:val="20"/>
                <w:szCs w:val="20"/>
              </w:rPr>
            </w:pPr>
            <w:r>
              <w:rPr>
                <w:rFonts w:cs="Tahoma"/>
                <w:b/>
                <w:sz w:val="20"/>
                <w:szCs w:val="20"/>
              </w:rPr>
              <w:t>4 282,0</w:t>
            </w:r>
          </w:p>
        </w:tc>
      </w:tr>
      <w:tr w:rsidR="006D347E" w:rsidRPr="00821AF6" w14:paraId="691BAD20"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0AFDD708" w14:textId="77777777" w:rsidR="006D347E" w:rsidRPr="00821AF6" w:rsidRDefault="006D347E" w:rsidP="006D347E">
            <w:pPr>
              <w:spacing w:before="60" w:after="20" w:line="276" w:lineRule="auto"/>
              <w:ind w:firstLine="0"/>
              <w:jc w:val="center"/>
              <w:rPr>
                <w:rFonts w:cs="Tahoma"/>
                <w:b/>
                <w:sz w:val="20"/>
                <w:szCs w:val="20"/>
              </w:rPr>
            </w:pPr>
            <w:r w:rsidRPr="00821AF6">
              <w:rPr>
                <w:rFonts w:cs="Tahoma"/>
                <w:b/>
                <w:sz w:val="20"/>
                <w:szCs w:val="20"/>
              </w:rPr>
              <w:t>III</w:t>
            </w:r>
          </w:p>
        </w:tc>
        <w:tc>
          <w:tcPr>
            <w:tcW w:w="4932" w:type="dxa"/>
            <w:tcBorders>
              <w:top w:val="single" w:sz="4" w:space="0" w:color="auto"/>
              <w:left w:val="single" w:sz="4" w:space="0" w:color="auto"/>
              <w:bottom w:val="single" w:sz="4" w:space="0" w:color="auto"/>
              <w:right w:val="single" w:sz="4" w:space="0" w:color="auto"/>
            </w:tcBorders>
            <w:vAlign w:val="center"/>
          </w:tcPr>
          <w:p w14:paraId="472EFDA3" w14:textId="77777777" w:rsidR="006D347E" w:rsidRPr="00821AF6" w:rsidRDefault="006D347E" w:rsidP="006D347E">
            <w:pPr>
              <w:spacing w:before="60" w:after="20" w:line="276" w:lineRule="auto"/>
              <w:ind w:firstLine="0"/>
              <w:jc w:val="left"/>
              <w:rPr>
                <w:rFonts w:cs="Tahoma"/>
                <w:b/>
                <w:sz w:val="20"/>
                <w:szCs w:val="20"/>
              </w:rPr>
            </w:pPr>
            <w:r w:rsidRPr="00821AF6">
              <w:rPr>
                <w:rFonts w:cs="Tahoma"/>
                <w:b/>
                <w:sz w:val="20"/>
                <w:szCs w:val="20"/>
              </w:rPr>
              <w:t>Inwestycje krótkoterminowe</w:t>
            </w:r>
          </w:p>
        </w:tc>
        <w:tc>
          <w:tcPr>
            <w:tcW w:w="1136" w:type="dxa"/>
            <w:tcBorders>
              <w:top w:val="single" w:sz="4" w:space="0" w:color="auto"/>
              <w:left w:val="single" w:sz="4" w:space="0" w:color="auto"/>
              <w:bottom w:val="single" w:sz="4" w:space="0" w:color="auto"/>
              <w:right w:val="single" w:sz="4" w:space="0" w:color="auto"/>
            </w:tcBorders>
            <w:vAlign w:val="center"/>
          </w:tcPr>
          <w:p w14:paraId="70C524BD" w14:textId="62578160" w:rsidR="006D347E" w:rsidRPr="00821AF6" w:rsidRDefault="006D347E" w:rsidP="006D347E">
            <w:pPr>
              <w:spacing w:before="60" w:after="20" w:line="276" w:lineRule="auto"/>
              <w:ind w:firstLine="0"/>
              <w:jc w:val="right"/>
              <w:rPr>
                <w:rFonts w:cs="Tahoma"/>
                <w:b/>
                <w:sz w:val="20"/>
                <w:szCs w:val="20"/>
              </w:rPr>
            </w:pPr>
            <w:r>
              <w:rPr>
                <w:rFonts w:cs="Tahoma"/>
                <w:b/>
                <w:sz w:val="20"/>
                <w:szCs w:val="20"/>
              </w:rPr>
              <w:t>6 143,4</w:t>
            </w:r>
          </w:p>
        </w:tc>
        <w:tc>
          <w:tcPr>
            <w:tcW w:w="1137" w:type="dxa"/>
            <w:tcBorders>
              <w:top w:val="single" w:sz="4" w:space="0" w:color="auto"/>
              <w:left w:val="single" w:sz="4" w:space="0" w:color="auto"/>
              <w:bottom w:val="single" w:sz="4" w:space="0" w:color="auto"/>
              <w:right w:val="single" w:sz="4" w:space="0" w:color="auto"/>
            </w:tcBorders>
            <w:vAlign w:val="center"/>
          </w:tcPr>
          <w:p w14:paraId="561F4E49" w14:textId="520B2567" w:rsidR="006D347E" w:rsidRPr="00821AF6" w:rsidRDefault="006D347E" w:rsidP="006D347E">
            <w:pPr>
              <w:spacing w:before="60" w:after="20" w:line="276" w:lineRule="auto"/>
              <w:ind w:firstLine="0"/>
              <w:jc w:val="right"/>
              <w:rPr>
                <w:rFonts w:cs="Tahoma"/>
                <w:b/>
                <w:sz w:val="20"/>
                <w:szCs w:val="20"/>
              </w:rPr>
            </w:pPr>
            <w:r>
              <w:rPr>
                <w:rFonts w:cs="Tahoma"/>
                <w:b/>
                <w:sz w:val="20"/>
                <w:szCs w:val="20"/>
              </w:rPr>
              <w:t>6 720,1</w:t>
            </w:r>
          </w:p>
        </w:tc>
        <w:tc>
          <w:tcPr>
            <w:tcW w:w="1137" w:type="dxa"/>
            <w:tcBorders>
              <w:top w:val="single" w:sz="4" w:space="0" w:color="auto"/>
              <w:left w:val="single" w:sz="4" w:space="0" w:color="auto"/>
              <w:bottom w:val="single" w:sz="4" w:space="0" w:color="auto"/>
              <w:right w:val="single" w:sz="4" w:space="0" w:color="auto"/>
            </w:tcBorders>
            <w:vAlign w:val="center"/>
          </w:tcPr>
          <w:p w14:paraId="0A0B2874" w14:textId="10A6BEFB" w:rsidR="006D347E" w:rsidRPr="00821AF6" w:rsidRDefault="006D347E" w:rsidP="006D347E">
            <w:pPr>
              <w:spacing w:before="60" w:after="20" w:line="276" w:lineRule="auto"/>
              <w:ind w:firstLine="0"/>
              <w:jc w:val="right"/>
              <w:rPr>
                <w:rFonts w:cs="Tahoma"/>
                <w:b/>
                <w:sz w:val="20"/>
                <w:szCs w:val="20"/>
              </w:rPr>
            </w:pPr>
            <w:r>
              <w:rPr>
                <w:rFonts w:cs="Tahoma"/>
                <w:b/>
                <w:sz w:val="20"/>
                <w:szCs w:val="20"/>
              </w:rPr>
              <w:t>5 401,7</w:t>
            </w:r>
          </w:p>
        </w:tc>
      </w:tr>
      <w:tr w:rsidR="006D347E" w:rsidRPr="00821AF6" w14:paraId="3078EC64"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65CD8D4C" w14:textId="77777777" w:rsidR="006D347E" w:rsidRPr="00821AF6" w:rsidRDefault="006D347E" w:rsidP="006D347E">
            <w:pPr>
              <w:spacing w:before="60" w:after="20" w:line="276" w:lineRule="auto"/>
              <w:ind w:firstLine="0"/>
              <w:jc w:val="center"/>
              <w:rPr>
                <w:rFonts w:cs="Tahoma"/>
                <w:b/>
                <w:sz w:val="20"/>
                <w:szCs w:val="20"/>
              </w:rPr>
            </w:pPr>
            <w:r w:rsidRPr="00821AF6">
              <w:rPr>
                <w:rFonts w:cs="Tahoma"/>
                <w:b/>
                <w:sz w:val="20"/>
                <w:szCs w:val="20"/>
              </w:rPr>
              <w:t>IV</w:t>
            </w:r>
          </w:p>
        </w:tc>
        <w:tc>
          <w:tcPr>
            <w:tcW w:w="4932" w:type="dxa"/>
            <w:tcBorders>
              <w:top w:val="single" w:sz="4" w:space="0" w:color="auto"/>
              <w:left w:val="single" w:sz="4" w:space="0" w:color="auto"/>
              <w:bottom w:val="single" w:sz="4" w:space="0" w:color="auto"/>
              <w:right w:val="single" w:sz="4" w:space="0" w:color="auto"/>
            </w:tcBorders>
            <w:vAlign w:val="center"/>
          </w:tcPr>
          <w:p w14:paraId="19B2934C" w14:textId="77777777" w:rsidR="006D347E" w:rsidRPr="00821AF6" w:rsidRDefault="006D347E" w:rsidP="006D347E">
            <w:pPr>
              <w:spacing w:before="60" w:after="20" w:line="276" w:lineRule="auto"/>
              <w:ind w:firstLine="0"/>
              <w:jc w:val="left"/>
              <w:rPr>
                <w:rFonts w:cs="Tahoma"/>
                <w:b/>
                <w:sz w:val="20"/>
                <w:szCs w:val="20"/>
              </w:rPr>
            </w:pPr>
            <w:r w:rsidRPr="00821AF6">
              <w:rPr>
                <w:rFonts w:cs="Tahoma"/>
                <w:b/>
                <w:sz w:val="20"/>
                <w:szCs w:val="20"/>
              </w:rPr>
              <w:t>Krótkoterminowe rozliczenia międzyokresowe</w:t>
            </w:r>
          </w:p>
        </w:tc>
        <w:tc>
          <w:tcPr>
            <w:tcW w:w="1136" w:type="dxa"/>
            <w:tcBorders>
              <w:top w:val="single" w:sz="4" w:space="0" w:color="auto"/>
              <w:left w:val="single" w:sz="4" w:space="0" w:color="auto"/>
              <w:bottom w:val="single" w:sz="4" w:space="0" w:color="auto"/>
              <w:right w:val="single" w:sz="4" w:space="0" w:color="auto"/>
            </w:tcBorders>
            <w:vAlign w:val="center"/>
          </w:tcPr>
          <w:p w14:paraId="72C999A8" w14:textId="795CC39B" w:rsidR="006D347E" w:rsidRPr="00821AF6" w:rsidRDefault="006D347E" w:rsidP="006D347E">
            <w:pPr>
              <w:spacing w:before="60" w:after="20" w:line="276" w:lineRule="auto"/>
              <w:ind w:firstLine="0"/>
              <w:jc w:val="right"/>
              <w:rPr>
                <w:rFonts w:cs="Tahoma"/>
                <w:b/>
                <w:sz w:val="20"/>
                <w:szCs w:val="20"/>
              </w:rPr>
            </w:pPr>
            <w:r>
              <w:rPr>
                <w:rFonts w:cs="Tahoma"/>
                <w:b/>
                <w:sz w:val="20"/>
                <w:szCs w:val="20"/>
              </w:rPr>
              <w:t>327,3</w:t>
            </w:r>
          </w:p>
        </w:tc>
        <w:tc>
          <w:tcPr>
            <w:tcW w:w="1137" w:type="dxa"/>
            <w:tcBorders>
              <w:top w:val="single" w:sz="4" w:space="0" w:color="auto"/>
              <w:left w:val="single" w:sz="4" w:space="0" w:color="auto"/>
              <w:bottom w:val="single" w:sz="4" w:space="0" w:color="auto"/>
              <w:right w:val="single" w:sz="4" w:space="0" w:color="auto"/>
            </w:tcBorders>
            <w:vAlign w:val="center"/>
          </w:tcPr>
          <w:p w14:paraId="3B18B413" w14:textId="76C90585" w:rsidR="006D347E" w:rsidRPr="00821AF6" w:rsidRDefault="006D347E" w:rsidP="006D347E">
            <w:pPr>
              <w:spacing w:before="60" w:after="20" w:line="276" w:lineRule="auto"/>
              <w:ind w:firstLine="0"/>
              <w:jc w:val="right"/>
              <w:rPr>
                <w:rFonts w:cs="Tahoma"/>
                <w:b/>
                <w:sz w:val="20"/>
                <w:szCs w:val="20"/>
              </w:rPr>
            </w:pPr>
            <w:r>
              <w:rPr>
                <w:rFonts w:cs="Tahoma"/>
                <w:b/>
                <w:sz w:val="20"/>
                <w:szCs w:val="20"/>
              </w:rPr>
              <w:t>331,5</w:t>
            </w:r>
          </w:p>
        </w:tc>
        <w:tc>
          <w:tcPr>
            <w:tcW w:w="1137" w:type="dxa"/>
            <w:tcBorders>
              <w:top w:val="single" w:sz="4" w:space="0" w:color="auto"/>
              <w:left w:val="single" w:sz="4" w:space="0" w:color="auto"/>
              <w:bottom w:val="single" w:sz="4" w:space="0" w:color="auto"/>
              <w:right w:val="single" w:sz="4" w:space="0" w:color="auto"/>
            </w:tcBorders>
            <w:vAlign w:val="center"/>
          </w:tcPr>
          <w:p w14:paraId="3DC10210" w14:textId="18E5B508" w:rsidR="006D347E" w:rsidRPr="00821AF6" w:rsidRDefault="006D347E" w:rsidP="006D347E">
            <w:pPr>
              <w:spacing w:before="60" w:after="20" w:line="276" w:lineRule="auto"/>
              <w:ind w:firstLine="0"/>
              <w:jc w:val="right"/>
              <w:rPr>
                <w:rFonts w:cs="Tahoma"/>
                <w:b/>
                <w:sz w:val="20"/>
                <w:szCs w:val="20"/>
              </w:rPr>
            </w:pPr>
            <w:r>
              <w:rPr>
                <w:rFonts w:cs="Tahoma"/>
                <w:b/>
                <w:sz w:val="20"/>
                <w:szCs w:val="20"/>
              </w:rPr>
              <w:t>389,9</w:t>
            </w:r>
          </w:p>
        </w:tc>
      </w:tr>
      <w:tr w:rsidR="006D347E" w:rsidRPr="00821AF6" w14:paraId="4F2BA841"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11843B" w14:textId="77777777" w:rsidR="006D347E" w:rsidRPr="00821AF6" w:rsidRDefault="006D347E" w:rsidP="006D347E">
            <w:pPr>
              <w:spacing w:before="60" w:after="20" w:line="276" w:lineRule="auto"/>
              <w:ind w:firstLine="0"/>
              <w:jc w:val="center"/>
              <w:rPr>
                <w:rFonts w:cs="Tahoma"/>
                <w:b/>
                <w:sz w:val="20"/>
                <w:szCs w:val="20"/>
              </w:rPr>
            </w:pPr>
            <w:r w:rsidRPr="00821AF6">
              <w:rPr>
                <w:rFonts w:cs="Tahoma"/>
                <w:b/>
                <w:sz w:val="20"/>
                <w:szCs w:val="20"/>
              </w:rPr>
              <w:t>-</w:t>
            </w:r>
          </w:p>
        </w:tc>
        <w:tc>
          <w:tcPr>
            <w:tcW w:w="49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0AA558" w14:textId="77777777" w:rsidR="006D347E" w:rsidRPr="00821AF6" w:rsidRDefault="006D347E" w:rsidP="006D347E">
            <w:pPr>
              <w:spacing w:before="60" w:after="20" w:line="276" w:lineRule="auto"/>
              <w:ind w:firstLine="0"/>
              <w:jc w:val="left"/>
              <w:rPr>
                <w:rFonts w:cs="Tahoma"/>
                <w:b/>
                <w:sz w:val="20"/>
                <w:szCs w:val="20"/>
              </w:rPr>
            </w:pPr>
            <w:r w:rsidRPr="00821AF6">
              <w:rPr>
                <w:rFonts w:cs="Tahoma"/>
                <w:b/>
                <w:sz w:val="20"/>
                <w:szCs w:val="20"/>
              </w:rPr>
              <w:t>Aktywa razem</w:t>
            </w:r>
          </w:p>
        </w:tc>
        <w:tc>
          <w:tcPr>
            <w:tcW w:w="11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761FFA" w14:textId="726AB5D2" w:rsidR="006D347E" w:rsidRPr="00821AF6" w:rsidRDefault="006D347E" w:rsidP="006D347E">
            <w:pPr>
              <w:spacing w:before="60" w:after="20" w:line="276" w:lineRule="auto"/>
              <w:ind w:firstLine="0"/>
              <w:jc w:val="right"/>
              <w:rPr>
                <w:rFonts w:cs="Tahoma"/>
                <w:b/>
                <w:sz w:val="20"/>
                <w:szCs w:val="20"/>
              </w:rPr>
            </w:pPr>
            <w:r>
              <w:rPr>
                <w:rFonts w:cs="Tahoma"/>
                <w:b/>
                <w:sz w:val="20"/>
                <w:szCs w:val="20"/>
              </w:rPr>
              <w:t>28 540,9</w:t>
            </w:r>
          </w:p>
        </w:tc>
        <w:tc>
          <w:tcPr>
            <w:tcW w:w="11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B568CC" w14:textId="06E5F132" w:rsidR="006D347E" w:rsidRPr="00821AF6" w:rsidRDefault="006D347E" w:rsidP="006D347E">
            <w:pPr>
              <w:spacing w:before="60" w:after="20" w:line="276" w:lineRule="auto"/>
              <w:ind w:firstLine="0"/>
              <w:jc w:val="right"/>
              <w:rPr>
                <w:rFonts w:cs="Tahoma"/>
                <w:b/>
                <w:sz w:val="20"/>
                <w:szCs w:val="20"/>
              </w:rPr>
            </w:pPr>
            <w:r>
              <w:rPr>
                <w:rFonts w:cs="Tahoma"/>
                <w:b/>
                <w:sz w:val="20"/>
                <w:szCs w:val="20"/>
              </w:rPr>
              <w:t>32 506,3</w:t>
            </w:r>
          </w:p>
        </w:tc>
        <w:tc>
          <w:tcPr>
            <w:tcW w:w="11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82560B" w14:textId="5F7AA354" w:rsidR="006D347E" w:rsidRPr="00821AF6" w:rsidRDefault="006D347E" w:rsidP="006D347E">
            <w:pPr>
              <w:spacing w:before="60" w:after="20" w:line="276" w:lineRule="auto"/>
              <w:ind w:firstLine="0"/>
              <w:jc w:val="right"/>
              <w:rPr>
                <w:rFonts w:cs="Tahoma"/>
                <w:b/>
                <w:sz w:val="20"/>
                <w:szCs w:val="20"/>
              </w:rPr>
            </w:pPr>
            <w:r>
              <w:rPr>
                <w:rFonts w:cs="Tahoma"/>
                <w:b/>
                <w:sz w:val="20"/>
                <w:szCs w:val="20"/>
              </w:rPr>
              <w:t>31 828,4</w:t>
            </w:r>
          </w:p>
        </w:tc>
      </w:tr>
    </w:tbl>
    <w:p w14:paraId="58E2B1A9" w14:textId="2B224256" w:rsidR="003F027D" w:rsidRDefault="000024F4" w:rsidP="006D347E">
      <w:pPr>
        <w:spacing w:before="120" w:after="240"/>
        <w:ind w:firstLine="0"/>
        <w:jc w:val="left"/>
        <w:rPr>
          <w:rFonts w:cs="Tahoma"/>
          <w:sz w:val="20"/>
          <w:szCs w:val="20"/>
        </w:rPr>
      </w:pPr>
      <w:r>
        <w:rPr>
          <w:rFonts w:cs="Tahoma"/>
          <w:sz w:val="20"/>
          <w:szCs w:val="20"/>
        </w:rPr>
        <w:t>Źródło danych</w:t>
      </w:r>
      <w:r w:rsidR="003F027D" w:rsidRPr="00821AF6">
        <w:rPr>
          <w:rFonts w:cs="Tahoma"/>
          <w:sz w:val="20"/>
          <w:szCs w:val="20"/>
        </w:rPr>
        <w:t xml:space="preserve">: </w:t>
      </w:r>
      <w:r w:rsidR="006D347E">
        <w:rPr>
          <w:rFonts w:cs="Tahoma"/>
          <w:sz w:val="20"/>
          <w:szCs w:val="20"/>
        </w:rPr>
        <w:t>dane MPK-Rzeszów sp. z o.o.</w:t>
      </w:r>
    </w:p>
    <w:p w14:paraId="0BC67764" w14:textId="3B46D1E6" w:rsidR="003F027D" w:rsidRPr="00821AF6" w:rsidRDefault="003F027D" w:rsidP="006D347E">
      <w:pPr>
        <w:pStyle w:val="Legenda"/>
        <w:keepNext/>
        <w:spacing w:before="240" w:after="0"/>
        <w:ind w:firstLine="0"/>
        <w:jc w:val="left"/>
        <w:rPr>
          <w:color w:val="000000"/>
          <w:sz w:val="22"/>
          <w:szCs w:val="22"/>
        </w:rPr>
      </w:pPr>
      <w:r w:rsidRPr="00821AF6">
        <w:rPr>
          <w:color w:val="000000"/>
          <w:sz w:val="22"/>
          <w:szCs w:val="22"/>
        </w:rPr>
        <w:t xml:space="preserve">Tab. </w:t>
      </w:r>
      <w:r w:rsidRPr="00821AF6">
        <w:rPr>
          <w:color w:val="000000"/>
          <w:sz w:val="22"/>
          <w:szCs w:val="22"/>
        </w:rPr>
        <w:fldChar w:fldCharType="begin"/>
      </w:r>
      <w:r w:rsidRPr="00821AF6">
        <w:rPr>
          <w:color w:val="000000"/>
          <w:sz w:val="22"/>
          <w:szCs w:val="22"/>
        </w:rPr>
        <w:instrText xml:space="preserve"> SEQ Tab. \* ARABIC </w:instrText>
      </w:r>
      <w:r w:rsidRPr="00821AF6">
        <w:rPr>
          <w:color w:val="000000"/>
          <w:sz w:val="22"/>
          <w:szCs w:val="22"/>
        </w:rPr>
        <w:fldChar w:fldCharType="separate"/>
      </w:r>
      <w:r w:rsidR="004605BC">
        <w:rPr>
          <w:noProof/>
          <w:color w:val="000000"/>
          <w:sz w:val="22"/>
          <w:szCs w:val="22"/>
        </w:rPr>
        <w:t>21</w:t>
      </w:r>
      <w:r w:rsidRPr="00821AF6">
        <w:rPr>
          <w:color w:val="000000"/>
          <w:sz w:val="22"/>
          <w:szCs w:val="22"/>
        </w:rPr>
        <w:fldChar w:fldCharType="end"/>
      </w:r>
      <w:r w:rsidRPr="00821AF6">
        <w:rPr>
          <w:color w:val="000000"/>
          <w:sz w:val="22"/>
          <w:szCs w:val="22"/>
        </w:rPr>
        <w:t xml:space="preserve">. Bilans </w:t>
      </w:r>
      <w:r w:rsidR="00C73F5E">
        <w:rPr>
          <w:color w:val="000000"/>
          <w:sz w:val="22"/>
          <w:szCs w:val="22"/>
        </w:rPr>
        <w:t>MPK</w:t>
      </w:r>
      <w:r w:rsidR="006D347E">
        <w:rPr>
          <w:color w:val="000000"/>
          <w:sz w:val="22"/>
          <w:szCs w:val="22"/>
        </w:rPr>
        <w:t>-Rzeszów</w:t>
      </w:r>
      <w:r w:rsidR="00C73F5E">
        <w:rPr>
          <w:color w:val="000000"/>
          <w:sz w:val="22"/>
          <w:szCs w:val="22"/>
        </w:rPr>
        <w:t xml:space="preserve"> </w:t>
      </w:r>
      <w:r w:rsidRPr="00821AF6">
        <w:rPr>
          <w:color w:val="000000"/>
          <w:sz w:val="22"/>
          <w:szCs w:val="22"/>
        </w:rPr>
        <w:t>sp. z o.o. – pasywa</w:t>
      </w:r>
      <w:r>
        <w:rPr>
          <w:color w:val="000000"/>
          <w:sz w:val="22"/>
          <w:szCs w:val="22"/>
        </w:rPr>
        <w:t>,</w:t>
      </w:r>
      <w:r w:rsidRPr="00821AF6">
        <w:rPr>
          <w:color w:val="000000"/>
          <w:sz w:val="22"/>
          <w:szCs w:val="22"/>
        </w:rPr>
        <w:t xml:space="preserve"> </w:t>
      </w:r>
      <w:r w:rsidR="006D347E">
        <w:rPr>
          <w:color w:val="000000"/>
          <w:sz w:val="22"/>
          <w:szCs w:val="22"/>
        </w:rPr>
        <w:br/>
      </w:r>
      <w:r w:rsidRPr="00821AF6">
        <w:rPr>
          <w:color w:val="000000"/>
          <w:sz w:val="22"/>
          <w:szCs w:val="22"/>
        </w:rPr>
        <w:t>wykonanie w latach 2018-2020 [tys. zł]</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30"/>
        <w:gridCol w:w="4365"/>
        <w:gridCol w:w="1347"/>
        <w:gridCol w:w="1347"/>
        <w:gridCol w:w="1283"/>
      </w:tblGrid>
      <w:tr w:rsidR="003F027D" w:rsidRPr="00821AF6" w14:paraId="222C45AA" w14:textId="77777777" w:rsidTr="003F027D">
        <w:trPr>
          <w:cantSplit/>
          <w:trHeight w:val="350"/>
          <w:tblHeader/>
          <w:jc w:val="center"/>
        </w:trPr>
        <w:tc>
          <w:tcPr>
            <w:tcW w:w="730" w:type="dxa"/>
            <w:vMerge w:val="restart"/>
            <w:shd w:val="clear" w:color="auto" w:fill="FFFF99"/>
            <w:vAlign w:val="center"/>
          </w:tcPr>
          <w:p w14:paraId="57DEE662" w14:textId="77777777" w:rsidR="003F027D" w:rsidRPr="00821AF6" w:rsidRDefault="003F027D" w:rsidP="006D347E">
            <w:pPr>
              <w:keepNext/>
              <w:spacing w:before="60" w:after="20" w:line="288" w:lineRule="auto"/>
              <w:ind w:firstLine="0"/>
              <w:jc w:val="center"/>
              <w:rPr>
                <w:rFonts w:cs="Tahoma"/>
                <w:b/>
                <w:sz w:val="20"/>
                <w:szCs w:val="20"/>
              </w:rPr>
            </w:pPr>
            <w:r w:rsidRPr="00821AF6">
              <w:rPr>
                <w:rFonts w:cs="Tahoma"/>
                <w:b/>
                <w:sz w:val="20"/>
                <w:szCs w:val="20"/>
              </w:rPr>
              <w:t>Lp.</w:t>
            </w:r>
          </w:p>
        </w:tc>
        <w:tc>
          <w:tcPr>
            <w:tcW w:w="4365" w:type="dxa"/>
            <w:vMerge w:val="restart"/>
            <w:shd w:val="clear" w:color="auto" w:fill="FFFF99"/>
            <w:vAlign w:val="center"/>
          </w:tcPr>
          <w:p w14:paraId="1D391A24" w14:textId="77777777" w:rsidR="003F027D" w:rsidRPr="00821AF6" w:rsidRDefault="003F027D" w:rsidP="006D347E">
            <w:pPr>
              <w:keepNext/>
              <w:spacing w:before="60" w:after="20" w:line="288" w:lineRule="auto"/>
              <w:ind w:firstLine="0"/>
              <w:jc w:val="center"/>
              <w:rPr>
                <w:rFonts w:cs="Tahoma"/>
                <w:b/>
                <w:sz w:val="20"/>
                <w:szCs w:val="20"/>
              </w:rPr>
            </w:pPr>
            <w:r w:rsidRPr="00821AF6">
              <w:rPr>
                <w:rFonts w:cs="Tahoma"/>
                <w:b/>
                <w:sz w:val="20"/>
                <w:szCs w:val="20"/>
              </w:rPr>
              <w:t>Wyszczególnienie</w:t>
            </w:r>
          </w:p>
        </w:tc>
        <w:tc>
          <w:tcPr>
            <w:tcW w:w="3977" w:type="dxa"/>
            <w:gridSpan w:val="3"/>
            <w:tcBorders>
              <w:bottom w:val="single" w:sz="6" w:space="0" w:color="auto"/>
            </w:tcBorders>
            <w:shd w:val="clear" w:color="auto" w:fill="FFFF99"/>
            <w:vAlign w:val="center"/>
          </w:tcPr>
          <w:p w14:paraId="32AC9711" w14:textId="77777777" w:rsidR="003F027D" w:rsidRPr="00821AF6" w:rsidRDefault="003F027D" w:rsidP="006D347E">
            <w:pPr>
              <w:keepNext/>
              <w:spacing w:before="60" w:after="20" w:line="288" w:lineRule="auto"/>
              <w:ind w:firstLine="0"/>
              <w:jc w:val="center"/>
              <w:rPr>
                <w:rFonts w:cs="Tahoma"/>
                <w:b/>
                <w:sz w:val="20"/>
                <w:szCs w:val="20"/>
              </w:rPr>
            </w:pPr>
            <w:r w:rsidRPr="00821AF6">
              <w:rPr>
                <w:rFonts w:cs="Tahoma"/>
                <w:b/>
                <w:sz w:val="20"/>
                <w:szCs w:val="20"/>
              </w:rPr>
              <w:t>Wykonanie w latach</w:t>
            </w:r>
            <w:r>
              <w:rPr>
                <w:rFonts w:cs="Tahoma"/>
                <w:b/>
                <w:sz w:val="20"/>
                <w:szCs w:val="20"/>
              </w:rPr>
              <w:t xml:space="preserve"> [tys. zł]</w:t>
            </w:r>
          </w:p>
        </w:tc>
      </w:tr>
      <w:tr w:rsidR="003F027D" w:rsidRPr="00821AF6" w14:paraId="3D132B37" w14:textId="77777777" w:rsidTr="003F027D">
        <w:trPr>
          <w:cantSplit/>
          <w:trHeight w:val="349"/>
          <w:tblHeader/>
          <w:jc w:val="center"/>
        </w:trPr>
        <w:tc>
          <w:tcPr>
            <w:tcW w:w="730" w:type="dxa"/>
            <w:vMerge/>
            <w:tcBorders>
              <w:bottom w:val="single" w:sz="6" w:space="0" w:color="auto"/>
            </w:tcBorders>
            <w:shd w:val="clear" w:color="auto" w:fill="FFFF99"/>
            <w:vAlign w:val="center"/>
          </w:tcPr>
          <w:p w14:paraId="1779401C" w14:textId="77777777" w:rsidR="003F027D" w:rsidRPr="00821AF6" w:rsidRDefault="003F027D" w:rsidP="006D347E">
            <w:pPr>
              <w:keepNext/>
              <w:spacing w:before="60" w:after="20" w:line="288" w:lineRule="auto"/>
              <w:ind w:firstLine="0"/>
              <w:jc w:val="center"/>
              <w:rPr>
                <w:rFonts w:cs="Tahoma"/>
                <w:b/>
                <w:sz w:val="20"/>
                <w:szCs w:val="20"/>
              </w:rPr>
            </w:pPr>
          </w:p>
        </w:tc>
        <w:tc>
          <w:tcPr>
            <w:tcW w:w="4365" w:type="dxa"/>
            <w:vMerge/>
            <w:tcBorders>
              <w:bottom w:val="single" w:sz="6" w:space="0" w:color="auto"/>
            </w:tcBorders>
            <w:shd w:val="clear" w:color="auto" w:fill="FFFF99"/>
            <w:vAlign w:val="center"/>
          </w:tcPr>
          <w:p w14:paraId="219D323D" w14:textId="77777777" w:rsidR="003F027D" w:rsidRPr="00821AF6" w:rsidRDefault="003F027D" w:rsidP="006D347E">
            <w:pPr>
              <w:keepNext/>
              <w:spacing w:before="60" w:after="20" w:line="288" w:lineRule="auto"/>
              <w:ind w:firstLine="0"/>
              <w:jc w:val="center"/>
              <w:rPr>
                <w:rFonts w:cs="Tahoma"/>
                <w:b/>
                <w:sz w:val="20"/>
                <w:szCs w:val="20"/>
              </w:rPr>
            </w:pPr>
          </w:p>
        </w:tc>
        <w:tc>
          <w:tcPr>
            <w:tcW w:w="1347" w:type="dxa"/>
            <w:tcBorders>
              <w:bottom w:val="single" w:sz="6" w:space="0" w:color="auto"/>
            </w:tcBorders>
            <w:shd w:val="clear" w:color="auto" w:fill="FFFF99"/>
            <w:vAlign w:val="center"/>
          </w:tcPr>
          <w:p w14:paraId="269D0D40" w14:textId="77777777" w:rsidR="003F027D" w:rsidRPr="00821AF6" w:rsidRDefault="003F027D" w:rsidP="006D347E">
            <w:pPr>
              <w:keepNext/>
              <w:spacing w:before="60" w:after="20" w:line="288" w:lineRule="auto"/>
              <w:ind w:firstLine="0"/>
              <w:jc w:val="center"/>
              <w:rPr>
                <w:rFonts w:cs="Tahoma"/>
                <w:b/>
                <w:sz w:val="20"/>
                <w:szCs w:val="20"/>
              </w:rPr>
            </w:pPr>
            <w:r w:rsidRPr="00821AF6">
              <w:rPr>
                <w:rFonts w:cs="Tahoma"/>
                <w:b/>
                <w:sz w:val="20"/>
                <w:szCs w:val="20"/>
              </w:rPr>
              <w:t>2018</w:t>
            </w:r>
          </w:p>
        </w:tc>
        <w:tc>
          <w:tcPr>
            <w:tcW w:w="1347" w:type="dxa"/>
            <w:tcBorders>
              <w:bottom w:val="single" w:sz="6" w:space="0" w:color="auto"/>
            </w:tcBorders>
            <w:shd w:val="clear" w:color="auto" w:fill="FFFF99"/>
            <w:vAlign w:val="center"/>
          </w:tcPr>
          <w:p w14:paraId="721227D7" w14:textId="77777777" w:rsidR="003F027D" w:rsidRPr="00821AF6" w:rsidRDefault="003F027D" w:rsidP="006D347E">
            <w:pPr>
              <w:keepNext/>
              <w:spacing w:before="60" w:after="20" w:line="288" w:lineRule="auto"/>
              <w:ind w:firstLine="0"/>
              <w:jc w:val="center"/>
              <w:rPr>
                <w:rFonts w:cs="Tahoma"/>
                <w:b/>
                <w:sz w:val="20"/>
                <w:szCs w:val="20"/>
              </w:rPr>
            </w:pPr>
            <w:r w:rsidRPr="00821AF6">
              <w:rPr>
                <w:rFonts w:cs="Tahoma"/>
                <w:b/>
                <w:sz w:val="20"/>
                <w:szCs w:val="20"/>
              </w:rPr>
              <w:t>2019</w:t>
            </w:r>
          </w:p>
        </w:tc>
        <w:tc>
          <w:tcPr>
            <w:tcW w:w="1283" w:type="dxa"/>
            <w:tcBorders>
              <w:bottom w:val="single" w:sz="6" w:space="0" w:color="auto"/>
            </w:tcBorders>
            <w:shd w:val="clear" w:color="auto" w:fill="FFFF99"/>
            <w:vAlign w:val="center"/>
          </w:tcPr>
          <w:p w14:paraId="3D8F49E8" w14:textId="77777777" w:rsidR="003F027D" w:rsidRPr="00821AF6" w:rsidRDefault="003F027D" w:rsidP="006D347E">
            <w:pPr>
              <w:keepNext/>
              <w:spacing w:before="60" w:after="20" w:line="288" w:lineRule="auto"/>
              <w:ind w:firstLine="0"/>
              <w:jc w:val="center"/>
              <w:rPr>
                <w:rFonts w:cs="Tahoma"/>
                <w:b/>
                <w:sz w:val="20"/>
                <w:szCs w:val="20"/>
              </w:rPr>
            </w:pPr>
            <w:r w:rsidRPr="00821AF6">
              <w:rPr>
                <w:rFonts w:cs="Tahoma"/>
                <w:b/>
                <w:sz w:val="20"/>
                <w:szCs w:val="20"/>
              </w:rPr>
              <w:t>2020</w:t>
            </w:r>
          </w:p>
        </w:tc>
      </w:tr>
      <w:tr w:rsidR="003F027D" w:rsidRPr="00821AF6" w14:paraId="0F16B6F5" w14:textId="77777777" w:rsidTr="003F027D">
        <w:trPr>
          <w:cantSplit/>
          <w:jc w:val="center"/>
        </w:trPr>
        <w:tc>
          <w:tcPr>
            <w:tcW w:w="730" w:type="dxa"/>
            <w:tcBorders>
              <w:top w:val="single" w:sz="6" w:space="0" w:color="auto"/>
              <w:left w:val="single" w:sz="4" w:space="0" w:color="auto"/>
              <w:bottom w:val="dotted" w:sz="4" w:space="0" w:color="auto"/>
              <w:right w:val="single" w:sz="4" w:space="0" w:color="auto"/>
            </w:tcBorders>
            <w:shd w:val="clear" w:color="auto" w:fill="DEEAF6" w:themeFill="accent1" w:themeFillTint="33"/>
            <w:vAlign w:val="center"/>
          </w:tcPr>
          <w:p w14:paraId="236D9FF8" w14:textId="77777777" w:rsidR="003F027D" w:rsidRPr="00821AF6" w:rsidRDefault="003F027D" w:rsidP="006D347E">
            <w:pPr>
              <w:spacing w:before="60" w:after="20" w:line="288" w:lineRule="auto"/>
              <w:ind w:firstLine="0"/>
              <w:jc w:val="center"/>
              <w:rPr>
                <w:rFonts w:cs="Tahoma"/>
                <w:b/>
                <w:sz w:val="20"/>
                <w:szCs w:val="20"/>
              </w:rPr>
            </w:pPr>
            <w:r w:rsidRPr="00821AF6">
              <w:rPr>
                <w:rFonts w:cs="Tahoma"/>
                <w:b/>
                <w:sz w:val="20"/>
                <w:szCs w:val="20"/>
              </w:rPr>
              <w:t>A</w:t>
            </w:r>
          </w:p>
        </w:tc>
        <w:tc>
          <w:tcPr>
            <w:tcW w:w="4365" w:type="dxa"/>
            <w:tcBorders>
              <w:top w:val="single" w:sz="6" w:space="0" w:color="auto"/>
              <w:left w:val="single" w:sz="4" w:space="0" w:color="auto"/>
              <w:bottom w:val="dotted" w:sz="4" w:space="0" w:color="auto"/>
              <w:right w:val="single" w:sz="4" w:space="0" w:color="auto"/>
            </w:tcBorders>
            <w:shd w:val="clear" w:color="auto" w:fill="DEEAF6" w:themeFill="accent1" w:themeFillTint="33"/>
            <w:vAlign w:val="center"/>
          </w:tcPr>
          <w:p w14:paraId="3F9EAF68" w14:textId="77777777" w:rsidR="003F027D" w:rsidRPr="00821AF6" w:rsidRDefault="003F027D" w:rsidP="006D347E">
            <w:pPr>
              <w:spacing w:before="60" w:after="20" w:line="288" w:lineRule="auto"/>
              <w:ind w:firstLine="0"/>
              <w:jc w:val="left"/>
              <w:rPr>
                <w:rFonts w:cs="Tahoma"/>
                <w:b/>
                <w:sz w:val="20"/>
                <w:szCs w:val="20"/>
              </w:rPr>
            </w:pPr>
            <w:r w:rsidRPr="00821AF6">
              <w:rPr>
                <w:rFonts w:cs="Tahoma"/>
                <w:b/>
                <w:sz w:val="20"/>
                <w:szCs w:val="20"/>
              </w:rPr>
              <w:t xml:space="preserve">Kapitał własny </w:t>
            </w:r>
          </w:p>
        </w:tc>
        <w:tc>
          <w:tcPr>
            <w:tcW w:w="1347" w:type="dxa"/>
            <w:tcBorders>
              <w:top w:val="single" w:sz="6" w:space="0" w:color="auto"/>
              <w:left w:val="single" w:sz="4" w:space="0" w:color="auto"/>
              <w:bottom w:val="dotted" w:sz="4" w:space="0" w:color="auto"/>
              <w:right w:val="single" w:sz="4" w:space="0" w:color="auto"/>
            </w:tcBorders>
            <w:shd w:val="clear" w:color="auto" w:fill="DEEAF6" w:themeFill="accent1" w:themeFillTint="33"/>
            <w:vAlign w:val="center"/>
          </w:tcPr>
          <w:p w14:paraId="45BBF91B" w14:textId="7BB679C7" w:rsidR="003F027D" w:rsidRPr="00821AF6" w:rsidRDefault="006D347E" w:rsidP="006D347E">
            <w:pPr>
              <w:spacing w:before="60" w:after="20" w:line="288" w:lineRule="auto"/>
              <w:ind w:firstLine="0"/>
              <w:jc w:val="right"/>
              <w:rPr>
                <w:rFonts w:cs="Tahoma"/>
                <w:b/>
                <w:sz w:val="20"/>
                <w:szCs w:val="20"/>
              </w:rPr>
            </w:pPr>
            <w:r>
              <w:rPr>
                <w:rFonts w:cs="Tahoma"/>
                <w:b/>
                <w:sz w:val="20"/>
                <w:szCs w:val="20"/>
              </w:rPr>
              <w:t>16 700,9</w:t>
            </w:r>
          </w:p>
        </w:tc>
        <w:tc>
          <w:tcPr>
            <w:tcW w:w="1347" w:type="dxa"/>
            <w:tcBorders>
              <w:top w:val="single" w:sz="6" w:space="0" w:color="auto"/>
              <w:left w:val="single" w:sz="4" w:space="0" w:color="auto"/>
              <w:bottom w:val="dotted" w:sz="4" w:space="0" w:color="auto"/>
              <w:right w:val="single" w:sz="4" w:space="0" w:color="auto"/>
            </w:tcBorders>
            <w:shd w:val="clear" w:color="auto" w:fill="DEEAF6" w:themeFill="accent1" w:themeFillTint="33"/>
            <w:vAlign w:val="center"/>
          </w:tcPr>
          <w:p w14:paraId="57504FDB" w14:textId="6439DD13" w:rsidR="003F027D" w:rsidRPr="00821AF6" w:rsidRDefault="006D347E" w:rsidP="006D347E">
            <w:pPr>
              <w:spacing w:before="60" w:after="20" w:line="288" w:lineRule="auto"/>
              <w:ind w:firstLine="0"/>
              <w:jc w:val="right"/>
              <w:rPr>
                <w:rFonts w:cs="Tahoma"/>
                <w:b/>
                <w:sz w:val="20"/>
                <w:szCs w:val="20"/>
              </w:rPr>
            </w:pPr>
            <w:r>
              <w:rPr>
                <w:rFonts w:cs="Tahoma"/>
                <w:b/>
                <w:sz w:val="20"/>
                <w:szCs w:val="20"/>
              </w:rPr>
              <w:t>18 618,0</w:t>
            </w:r>
          </w:p>
        </w:tc>
        <w:tc>
          <w:tcPr>
            <w:tcW w:w="1283" w:type="dxa"/>
            <w:tcBorders>
              <w:top w:val="single" w:sz="6" w:space="0" w:color="auto"/>
              <w:left w:val="single" w:sz="4" w:space="0" w:color="auto"/>
              <w:bottom w:val="dotted" w:sz="4" w:space="0" w:color="auto"/>
              <w:right w:val="single" w:sz="4" w:space="0" w:color="auto"/>
            </w:tcBorders>
            <w:shd w:val="clear" w:color="auto" w:fill="DEEAF6" w:themeFill="accent1" w:themeFillTint="33"/>
            <w:vAlign w:val="center"/>
          </w:tcPr>
          <w:p w14:paraId="3F14769A" w14:textId="46EFA0E0" w:rsidR="003F027D" w:rsidRPr="00821AF6" w:rsidRDefault="006D347E" w:rsidP="006D347E">
            <w:pPr>
              <w:spacing w:before="60" w:after="20" w:line="288" w:lineRule="auto"/>
              <w:ind w:firstLine="0"/>
              <w:jc w:val="right"/>
              <w:rPr>
                <w:rFonts w:cs="Tahoma"/>
                <w:b/>
                <w:sz w:val="20"/>
                <w:szCs w:val="20"/>
              </w:rPr>
            </w:pPr>
            <w:r>
              <w:rPr>
                <w:rFonts w:cs="Tahoma"/>
                <w:b/>
                <w:sz w:val="20"/>
                <w:szCs w:val="20"/>
              </w:rPr>
              <w:t>18 873,2</w:t>
            </w:r>
          </w:p>
        </w:tc>
      </w:tr>
      <w:tr w:rsidR="003F027D" w:rsidRPr="00821AF6" w14:paraId="10D0E424"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757593A4" w14:textId="77777777" w:rsidR="003F027D" w:rsidRPr="00821AF6" w:rsidRDefault="003F027D" w:rsidP="006D347E">
            <w:pPr>
              <w:spacing w:before="60" w:after="20" w:line="288" w:lineRule="auto"/>
              <w:ind w:firstLine="0"/>
              <w:jc w:val="center"/>
              <w:rPr>
                <w:rFonts w:cs="Tahoma"/>
                <w:sz w:val="20"/>
                <w:szCs w:val="20"/>
              </w:rPr>
            </w:pPr>
            <w:r w:rsidRPr="00821AF6">
              <w:rPr>
                <w:rFonts w:cs="Tahoma"/>
                <w:sz w:val="20"/>
                <w:szCs w:val="20"/>
              </w:rPr>
              <w:t>I</w:t>
            </w:r>
          </w:p>
        </w:tc>
        <w:tc>
          <w:tcPr>
            <w:tcW w:w="4365" w:type="dxa"/>
            <w:tcBorders>
              <w:top w:val="single" w:sz="4" w:space="0" w:color="auto"/>
              <w:left w:val="single" w:sz="4" w:space="0" w:color="auto"/>
              <w:bottom w:val="single" w:sz="4" w:space="0" w:color="auto"/>
              <w:right w:val="single" w:sz="4" w:space="0" w:color="auto"/>
            </w:tcBorders>
            <w:vAlign w:val="center"/>
          </w:tcPr>
          <w:p w14:paraId="3AADF516" w14:textId="77777777" w:rsidR="003F027D" w:rsidRPr="00821AF6" w:rsidRDefault="003F027D" w:rsidP="006D347E">
            <w:pPr>
              <w:spacing w:before="60" w:after="20" w:line="288" w:lineRule="auto"/>
              <w:ind w:firstLine="0"/>
              <w:jc w:val="left"/>
              <w:rPr>
                <w:rFonts w:cs="Tahoma"/>
                <w:sz w:val="20"/>
                <w:szCs w:val="20"/>
              </w:rPr>
            </w:pPr>
            <w:r w:rsidRPr="00821AF6">
              <w:rPr>
                <w:rFonts w:cs="Tahoma"/>
                <w:sz w:val="20"/>
                <w:szCs w:val="20"/>
              </w:rPr>
              <w:t>Kapitał podstawowy</w:t>
            </w:r>
          </w:p>
        </w:tc>
        <w:tc>
          <w:tcPr>
            <w:tcW w:w="1347" w:type="dxa"/>
            <w:tcBorders>
              <w:top w:val="single" w:sz="4" w:space="0" w:color="auto"/>
              <w:left w:val="single" w:sz="4" w:space="0" w:color="auto"/>
              <w:bottom w:val="single" w:sz="4" w:space="0" w:color="auto"/>
              <w:right w:val="single" w:sz="4" w:space="0" w:color="auto"/>
            </w:tcBorders>
            <w:vAlign w:val="center"/>
          </w:tcPr>
          <w:p w14:paraId="3EA0263B" w14:textId="539602DD" w:rsidR="003F027D" w:rsidRPr="00821AF6" w:rsidRDefault="006D347E" w:rsidP="006D347E">
            <w:pPr>
              <w:spacing w:before="60" w:after="20" w:line="288" w:lineRule="auto"/>
              <w:ind w:firstLine="0"/>
              <w:jc w:val="right"/>
              <w:rPr>
                <w:rFonts w:cs="Tahoma"/>
                <w:sz w:val="20"/>
                <w:szCs w:val="20"/>
              </w:rPr>
            </w:pPr>
            <w:r>
              <w:rPr>
                <w:rFonts w:cs="Tahoma"/>
                <w:sz w:val="20"/>
                <w:szCs w:val="20"/>
              </w:rPr>
              <w:t>15 338,0</w:t>
            </w:r>
          </w:p>
        </w:tc>
        <w:tc>
          <w:tcPr>
            <w:tcW w:w="1347" w:type="dxa"/>
            <w:tcBorders>
              <w:top w:val="single" w:sz="4" w:space="0" w:color="auto"/>
              <w:left w:val="single" w:sz="4" w:space="0" w:color="auto"/>
              <w:bottom w:val="single" w:sz="4" w:space="0" w:color="auto"/>
              <w:right w:val="single" w:sz="4" w:space="0" w:color="auto"/>
            </w:tcBorders>
            <w:vAlign w:val="center"/>
          </w:tcPr>
          <w:p w14:paraId="20E78C16" w14:textId="2A95FF1D" w:rsidR="003F027D" w:rsidRPr="00821AF6" w:rsidRDefault="006D347E" w:rsidP="006D347E">
            <w:pPr>
              <w:spacing w:before="60" w:after="20" w:line="288" w:lineRule="auto"/>
              <w:ind w:firstLine="0"/>
              <w:jc w:val="right"/>
              <w:rPr>
                <w:rFonts w:cs="Tahoma"/>
                <w:sz w:val="20"/>
                <w:szCs w:val="20"/>
              </w:rPr>
            </w:pPr>
            <w:r>
              <w:rPr>
                <w:rFonts w:cs="Tahoma"/>
                <w:sz w:val="20"/>
                <w:szCs w:val="20"/>
              </w:rPr>
              <w:t>15 338,0</w:t>
            </w:r>
          </w:p>
        </w:tc>
        <w:tc>
          <w:tcPr>
            <w:tcW w:w="1283" w:type="dxa"/>
            <w:tcBorders>
              <w:top w:val="single" w:sz="4" w:space="0" w:color="auto"/>
              <w:left w:val="single" w:sz="4" w:space="0" w:color="auto"/>
              <w:bottom w:val="single" w:sz="4" w:space="0" w:color="auto"/>
              <w:right w:val="single" w:sz="4" w:space="0" w:color="auto"/>
            </w:tcBorders>
            <w:vAlign w:val="center"/>
          </w:tcPr>
          <w:p w14:paraId="6DF5FBFC" w14:textId="5C53A8CC" w:rsidR="003F027D" w:rsidRPr="00821AF6" w:rsidRDefault="006D347E" w:rsidP="006D347E">
            <w:pPr>
              <w:spacing w:before="60" w:after="20" w:line="288" w:lineRule="auto"/>
              <w:ind w:firstLine="0"/>
              <w:jc w:val="right"/>
              <w:rPr>
                <w:rFonts w:cs="Tahoma"/>
                <w:sz w:val="20"/>
                <w:szCs w:val="20"/>
              </w:rPr>
            </w:pPr>
            <w:r>
              <w:rPr>
                <w:rFonts w:cs="Tahoma"/>
                <w:sz w:val="20"/>
                <w:szCs w:val="20"/>
              </w:rPr>
              <w:t>15 388,0</w:t>
            </w:r>
          </w:p>
        </w:tc>
      </w:tr>
      <w:tr w:rsidR="003F027D" w:rsidRPr="00821AF6" w14:paraId="72685EE0"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38CCFAA4" w14:textId="77777777" w:rsidR="003F027D" w:rsidRPr="00821AF6" w:rsidRDefault="003F027D" w:rsidP="006D347E">
            <w:pPr>
              <w:spacing w:before="60" w:after="20" w:line="288" w:lineRule="auto"/>
              <w:ind w:firstLine="0"/>
              <w:jc w:val="center"/>
              <w:rPr>
                <w:rFonts w:cs="Tahoma"/>
                <w:sz w:val="20"/>
                <w:szCs w:val="20"/>
              </w:rPr>
            </w:pPr>
            <w:r w:rsidRPr="00821AF6">
              <w:rPr>
                <w:rFonts w:cs="Tahoma"/>
                <w:sz w:val="20"/>
                <w:szCs w:val="20"/>
              </w:rPr>
              <w:t>II</w:t>
            </w:r>
          </w:p>
        </w:tc>
        <w:tc>
          <w:tcPr>
            <w:tcW w:w="4365" w:type="dxa"/>
            <w:tcBorders>
              <w:top w:val="single" w:sz="4" w:space="0" w:color="auto"/>
              <w:left w:val="single" w:sz="4" w:space="0" w:color="auto"/>
              <w:bottom w:val="single" w:sz="4" w:space="0" w:color="auto"/>
              <w:right w:val="single" w:sz="4" w:space="0" w:color="auto"/>
            </w:tcBorders>
            <w:vAlign w:val="center"/>
          </w:tcPr>
          <w:p w14:paraId="2AB83CF2" w14:textId="77777777" w:rsidR="003F027D" w:rsidRPr="00821AF6" w:rsidRDefault="003F027D" w:rsidP="006D347E">
            <w:pPr>
              <w:spacing w:before="60" w:after="20" w:line="288" w:lineRule="auto"/>
              <w:ind w:firstLine="0"/>
              <w:jc w:val="left"/>
              <w:rPr>
                <w:rFonts w:cs="Tahoma"/>
                <w:sz w:val="20"/>
                <w:szCs w:val="20"/>
              </w:rPr>
            </w:pPr>
            <w:r w:rsidRPr="00821AF6">
              <w:rPr>
                <w:rFonts w:cs="Tahoma"/>
                <w:sz w:val="20"/>
                <w:szCs w:val="20"/>
              </w:rPr>
              <w:t>Kapitał zapasowy</w:t>
            </w:r>
          </w:p>
        </w:tc>
        <w:tc>
          <w:tcPr>
            <w:tcW w:w="1347" w:type="dxa"/>
            <w:tcBorders>
              <w:top w:val="single" w:sz="4" w:space="0" w:color="auto"/>
              <w:left w:val="single" w:sz="4" w:space="0" w:color="auto"/>
              <w:bottom w:val="single" w:sz="4" w:space="0" w:color="auto"/>
              <w:right w:val="single" w:sz="4" w:space="0" w:color="auto"/>
            </w:tcBorders>
            <w:vAlign w:val="center"/>
          </w:tcPr>
          <w:p w14:paraId="7906E1CF" w14:textId="7FB0DC36" w:rsidR="003F027D" w:rsidRPr="00821AF6" w:rsidRDefault="006D347E" w:rsidP="006D347E">
            <w:pPr>
              <w:spacing w:before="60" w:after="20" w:line="288" w:lineRule="auto"/>
              <w:ind w:firstLine="0"/>
              <w:jc w:val="right"/>
              <w:rPr>
                <w:rFonts w:cs="Tahoma"/>
                <w:sz w:val="20"/>
                <w:szCs w:val="20"/>
              </w:rPr>
            </w:pPr>
            <w:r>
              <w:rPr>
                <w:rFonts w:cs="Tahoma"/>
                <w:sz w:val="20"/>
                <w:szCs w:val="20"/>
              </w:rPr>
              <w:t>1 115,7</w:t>
            </w:r>
          </w:p>
        </w:tc>
        <w:tc>
          <w:tcPr>
            <w:tcW w:w="1347" w:type="dxa"/>
            <w:tcBorders>
              <w:top w:val="single" w:sz="4" w:space="0" w:color="auto"/>
              <w:left w:val="single" w:sz="4" w:space="0" w:color="auto"/>
              <w:bottom w:val="single" w:sz="4" w:space="0" w:color="auto"/>
              <w:right w:val="single" w:sz="4" w:space="0" w:color="auto"/>
            </w:tcBorders>
            <w:vAlign w:val="center"/>
          </w:tcPr>
          <w:p w14:paraId="1811B07F" w14:textId="656B4D62" w:rsidR="003F027D" w:rsidRPr="00821AF6" w:rsidRDefault="006D347E" w:rsidP="006D347E">
            <w:pPr>
              <w:spacing w:before="60" w:after="20" w:line="288" w:lineRule="auto"/>
              <w:ind w:firstLine="0"/>
              <w:jc w:val="right"/>
              <w:rPr>
                <w:rFonts w:cs="Tahoma"/>
                <w:sz w:val="20"/>
                <w:szCs w:val="20"/>
              </w:rPr>
            </w:pPr>
            <w:r>
              <w:rPr>
                <w:rFonts w:cs="Tahoma"/>
                <w:sz w:val="20"/>
                <w:szCs w:val="20"/>
              </w:rPr>
              <w:t>1 346,4</w:t>
            </w:r>
          </w:p>
        </w:tc>
        <w:tc>
          <w:tcPr>
            <w:tcW w:w="1283" w:type="dxa"/>
            <w:tcBorders>
              <w:top w:val="single" w:sz="4" w:space="0" w:color="auto"/>
              <w:left w:val="single" w:sz="4" w:space="0" w:color="auto"/>
              <w:bottom w:val="single" w:sz="4" w:space="0" w:color="auto"/>
              <w:right w:val="single" w:sz="4" w:space="0" w:color="auto"/>
            </w:tcBorders>
            <w:vAlign w:val="center"/>
          </w:tcPr>
          <w:p w14:paraId="79ACB9FF" w14:textId="0112CE3F" w:rsidR="003F027D" w:rsidRPr="00821AF6" w:rsidRDefault="006D347E" w:rsidP="006D347E">
            <w:pPr>
              <w:spacing w:before="60" w:after="20" w:line="288" w:lineRule="auto"/>
              <w:ind w:firstLine="0"/>
              <w:jc w:val="right"/>
              <w:rPr>
                <w:rFonts w:cs="Tahoma"/>
                <w:sz w:val="20"/>
                <w:szCs w:val="20"/>
              </w:rPr>
            </w:pPr>
            <w:r>
              <w:rPr>
                <w:rFonts w:cs="Tahoma"/>
                <w:sz w:val="20"/>
                <w:szCs w:val="20"/>
              </w:rPr>
              <w:t>3 263,5</w:t>
            </w:r>
          </w:p>
        </w:tc>
      </w:tr>
      <w:tr w:rsidR="006D347E" w:rsidRPr="00821AF6" w14:paraId="5177760E"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2F0CF275" w14:textId="6EF8D86A" w:rsidR="006D347E" w:rsidRPr="00821AF6" w:rsidRDefault="006D347E" w:rsidP="006D347E">
            <w:pPr>
              <w:spacing w:before="60" w:after="20" w:line="288" w:lineRule="auto"/>
              <w:ind w:firstLine="0"/>
              <w:jc w:val="center"/>
              <w:rPr>
                <w:rFonts w:cs="Tahoma"/>
                <w:sz w:val="20"/>
                <w:szCs w:val="20"/>
              </w:rPr>
            </w:pPr>
            <w:r>
              <w:rPr>
                <w:rFonts w:cs="Tahoma"/>
                <w:sz w:val="20"/>
                <w:szCs w:val="20"/>
              </w:rPr>
              <w:t>III</w:t>
            </w:r>
          </w:p>
        </w:tc>
        <w:tc>
          <w:tcPr>
            <w:tcW w:w="4365" w:type="dxa"/>
            <w:tcBorders>
              <w:top w:val="single" w:sz="4" w:space="0" w:color="auto"/>
              <w:left w:val="single" w:sz="4" w:space="0" w:color="auto"/>
              <w:bottom w:val="single" w:sz="4" w:space="0" w:color="auto"/>
              <w:right w:val="single" w:sz="4" w:space="0" w:color="auto"/>
            </w:tcBorders>
            <w:vAlign w:val="center"/>
          </w:tcPr>
          <w:p w14:paraId="1EBE3C9C" w14:textId="15072FDF" w:rsidR="006D347E" w:rsidRPr="00821AF6" w:rsidRDefault="006D347E" w:rsidP="006D347E">
            <w:pPr>
              <w:spacing w:before="60" w:after="20" w:line="288" w:lineRule="auto"/>
              <w:ind w:firstLine="0"/>
              <w:jc w:val="left"/>
              <w:rPr>
                <w:rFonts w:cs="Tahoma"/>
                <w:sz w:val="20"/>
                <w:szCs w:val="20"/>
              </w:rPr>
            </w:pPr>
            <w:r>
              <w:rPr>
                <w:rFonts w:cs="Tahoma"/>
                <w:sz w:val="20"/>
                <w:szCs w:val="20"/>
              </w:rPr>
              <w:t>Kapitał z aktualizacji wyceny</w:t>
            </w:r>
          </w:p>
        </w:tc>
        <w:tc>
          <w:tcPr>
            <w:tcW w:w="1347" w:type="dxa"/>
            <w:tcBorders>
              <w:top w:val="single" w:sz="4" w:space="0" w:color="auto"/>
              <w:left w:val="single" w:sz="4" w:space="0" w:color="auto"/>
              <w:bottom w:val="single" w:sz="4" w:space="0" w:color="auto"/>
              <w:right w:val="single" w:sz="4" w:space="0" w:color="auto"/>
            </w:tcBorders>
            <w:vAlign w:val="center"/>
          </w:tcPr>
          <w:p w14:paraId="0327F8CE" w14:textId="72C547BC" w:rsidR="006D347E" w:rsidRDefault="006D347E" w:rsidP="006D347E">
            <w:pPr>
              <w:spacing w:before="60" w:after="20" w:line="288" w:lineRule="auto"/>
              <w:ind w:firstLine="0"/>
              <w:jc w:val="right"/>
              <w:rPr>
                <w:rFonts w:cs="Tahoma"/>
                <w:sz w:val="20"/>
                <w:szCs w:val="20"/>
              </w:rPr>
            </w:pPr>
            <w:r>
              <w:rPr>
                <w:rFonts w:cs="Tahoma"/>
                <w:sz w:val="20"/>
                <w:szCs w:val="20"/>
              </w:rPr>
              <w:t>19,6</w:t>
            </w:r>
          </w:p>
        </w:tc>
        <w:tc>
          <w:tcPr>
            <w:tcW w:w="1347" w:type="dxa"/>
            <w:tcBorders>
              <w:top w:val="single" w:sz="4" w:space="0" w:color="auto"/>
              <w:left w:val="single" w:sz="4" w:space="0" w:color="auto"/>
              <w:bottom w:val="single" w:sz="4" w:space="0" w:color="auto"/>
              <w:right w:val="single" w:sz="4" w:space="0" w:color="auto"/>
            </w:tcBorders>
            <w:vAlign w:val="center"/>
          </w:tcPr>
          <w:p w14:paraId="2F8098EE" w14:textId="155DDFE6" w:rsidR="006D347E" w:rsidRDefault="006D347E" w:rsidP="006D347E">
            <w:pPr>
              <w:spacing w:before="60" w:after="20" w:line="288" w:lineRule="auto"/>
              <w:ind w:firstLine="0"/>
              <w:jc w:val="right"/>
              <w:rPr>
                <w:rFonts w:cs="Tahoma"/>
                <w:sz w:val="20"/>
                <w:szCs w:val="20"/>
              </w:rPr>
            </w:pPr>
            <w:r>
              <w:rPr>
                <w:rFonts w:cs="Tahoma"/>
                <w:sz w:val="20"/>
                <w:szCs w:val="20"/>
              </w:rPr>
              <w:t>16,5</w:t>
            </w:r>
          </w:p>
        </w:tc>
        <w:tc>
          <w:tcPr>
            <w:tcW w:w="1283" w:type="dxa"/>
            <w:tcBorders>
              <w:top w:val="single" w:sz="4" w:space="0" w:color="auto"/>
              <w:left w:val="single" w:sz="4" w:space="0" w:color="auto"/>
              <w:bottom w:val="single" w:sz="4" w:space="0" w:color="auto"/>
              <w:right w:val="single" w:sz="4" w:space="0" w:color="auto"/>
            </w:tcBorders>
            <w:vAlign w:val="center"/>
          </w:tcPr>
          <w:p w14:paraId="7377AEBD" w14:textId="4D6343E9" w:rsidR="006D347E" w:rsidRDefault="006D347E" w:rsidP="006D347E">
            <w:pPr>
              <w:spacing w:before="60" w:after="20" w:line="288" w:lineRule="auto"/>
              <w:ind w:firstLine="0"/>
              <w:jc w:val="right"/>
              <w:rPr>
                <w:rFonts w:cs="Tahoma"/>
                <w:sz w:val="20"/>
                <w:szCs w:val="20"/>
              </w:rPr>
            </w:pPr>
            <w:r>
              <w:rPr>
                <w:rFonts w:cs="Tahoma"/>
                <w:sz w:val="20"/>
                <w:szCs w:val="20"/>
              </w:rPr>
              <w:t>16,5</w:t>
            </w:r>
          </w:p>
        </w:tc>
      </w:tr>
      <w:tr w:rsidR="006D347E" w:rsidRPr="00821AF6" w14:paraId="02BD12F8"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5AC5B852" w14:textId="45BABD96" w:rsidR="006D347E" w:rsidRPr="00821AF6" w:rsidRDefault="006D347E" w:rsidP="006D347E">
            <w:pPr>
              <w:spacing w:before="60" w:after="20" w:line="288" w:lineRule="auto"/>
              <w:ind w:firstLine="0"/>
              <w:jc w:val="center"/>
              <w:rPr>
                <w:rFonts w:cs="Tahoma"/>
                <w:sz w:val="20"/>
                <w:szCs w:val="20"/>
              </w:rPr>
            </w:pPr>
            <w:r>
              <w:rPr>
                <w:rFonts w:cs="Tahoma"/>
                <w:sz w:val="20"/>
                <w:szCs w:val="20"/>
              </w:rPr>
              <w:t>I</w:t>
            </w:r>
            <w:r w:rsidRPr="00821AF6">
              <w:rPr>
                <w:rFonts w:cs="Tahoma"/>
                <w:sz w:val="20"/>
                <w:szCs w:val="20"/>
              </w:rPr>
              <w:t>V</w:t>
            </w:r>
          </w:p>
        </w:tc>
        <w:tc>
          <w:tcPr>
            <w:tcW w:w="4365" w:type="dxa"/>
            <w:tcBorders>
              <w:top w:val="single" w:sz="4" w:space="0" w:color="auto"/>
              <w:left w:val="single" w:sz="4" w:space="0" w:color="auto"/>
              <w:bottom w:val="single" w:sz="4" w:space="0" w:color="auto"/>
              <w:right w:val="single" w:sz="4" w:space="0" w:color="auto"/>
            </w:tcBorders>
            <w:vAlign w:val="center"/>
          </w:tcPr>
          <w:p w14:paraId="6E3D072A" w14:textId="77777777" w:rsidR="006D347E" w:rsidRPr="00821AF6" w:rsidRDefault="006D347E" w:rsidP="006D347E">
            <w:pPr>
              <w:spacing w:before="60" w:after="20" w:line="288" w:lineRule="auto"/>
              <w:ind w:firstLine="0"/>
              <w:jc w:val="left"/>
              <w:rPr>
                <w:rFonts w:cs="Tahoma"/>
                <w:sz w:val="20"/>
                <w:szCs w:val="20"/>
              </w:rPr>
            </w:pPr>
            <w:r w:rsidRPr="00821AF6">
              <w:rPr>
                <w:rFonts w:cs="Tahoma"/>
                <w:sz w:val="20"/>
                <w:szCs w:val="20"/>
              </w:rPr>
              <w:t>Zysk z lat ubiegłych</w:t>
            </w:r>
          </w:p>
        </w:tc>
        <w:tc>
          <w:tcPr>
            <w:tcW w:w="1347" w:type="dxa"/>
            <w:tcBorders>
              <w:top w:val="single" w:sz="4" w:space="0" w:color="auto"/>
              <w:left w:val="single" w:sz="4" w:space="0" w:color="auto"/>
              <w:bottom w:val="single" w:sz="4" w:space="0" w:color="auto"/>
              <w:right w:val="single" w:sz="4" w:space="0" w:color="auto"/>
            </w:tcBorders>
            <w:vAlign w:val="center"/>
          </w:tcPr>
          <w:p w14:paraId="3648CD3F" w14:textId="743114D0" w:rsidR="006D347E" w:rsidRPr="00821AF6" w:rsidRDefault="006D347E" w:rsidP="006D347E">
            <w:pPr>
              <w:spacing w:before="60" w:after="20" w:line="288" w:lineRule="auto"/>
              <w:ind w:firstLine="0"/>
              <w:jc w:val="right"/>
              <w:rPr>
                <w:rFonts w:cs="Tahoma"/>
                <w:sz w:val="20"/>
                <w:szCs w:val="20"/>
              </w:rPr>
            </w:pPr>
            <w:r>
              <w:rPr>
                <w:rFonts w:cs="Tahoma"/>
                <w:sz w:val="20"/>
                <w:szCs w:val="20"/>
              </w:rPr>
              <w:t>0,0</w:t>
            </w:r>
          </w:p>
        </w:tc>
        <w:tc>
          <w:tcPr>
            <w:tcW w:w="1347" w:type="dxa"/>
            <w:tcBorders>
              <w:top w:val="single" w:sz="4" w:space="0" w:color="auto"/>
              <w:left w:val="single" w:sz="4" w:space="0" w:color="auto"/>
              <w:bottom w:val="single" w:sz="4" w:space="0" w:color="auto"/>
              <w:right w:val="single" w:sz="4" w:space="0" w:color="auto"/>
            </w:tcBorders>
            <w:vAlign w:val="center"/>
          </w:tcPr>
          <w:p w14:paraId="21F6AE73" w14:textId="19F8613B" w:rsidR="006D347E" w:rsidRPr="00821AF6" w:rsidRDefault="006D347E" w:rsidP="006D347E">
            <w:pPr>
              <w:spacing w:before="60" w:after="20" w:line="288" w:lineRule="auto"/>
              <w:ind w:firstLine="0"/>
              <w:jc w:val="right"/>
              <w:rPr>
                <w:rFonts w:cs="Tahoma"/>
                <w:sz w:val="20"/>
                <w:szCs w:val="20"/>
              </w:rPr>
            </w:pPr>
            <w:r>
              <w:rPr>
                <w:rFonts w:cs="Tahoma"/>
                <w:sz w:val="20"/>
                <w:szCs w:val="20"/>
              </w:rPr>
              <w:t>0,0</w:t>
            </w:r>
          </w:p>
        </w:tc>
        <w:tc>
          <w:tcPr>
            <w:tcW w:w="1283" w:type="dxa"/>
            <w:tcBorders>
              <w:top w:val="single" w:sz="4" w:space="0" w:color="auto"/>
              <w:left w:val="single" w:sz="4" w:space="0" w:color="auto"/>
              <w:bottom w:val="single" w:sz="4" w:space="0" w:color="auto"/>
              <w:right w:val="single" w:sz="4" w:space="0" w:color="auto"/>
            </w:tcBorders>
            <w:vAlign w:val="center"/>
          </w:tcPr>
          <w:p w14:paraId="0F8F2CF9" w14:textId="68B6DD09" w:rsidR="006D347E" w:rsidRPr="00821AF6" w:rsidRDefault="006D347E" w:rsidP="006D347E">
            <w:pPr>
              <w:spacing w:before="60" w:after="20" w:line="288" w:lineRule="auto"/>
              <w:ind w:firstLine="0"/>
              <w:jc w:val="right"/>
              <w:rPr>
                <w:rFonts w:cs="Tahoma"/>
                <w:sz w:val="20"/>
                <w:szCs w:val="20"/>
              </w:rPr>
            </w:pPr>
            <w:r>
              <w:rPr>
                <w:rFonts w:cs="Tahoma"/>
                <w:sz w:val="20"/>
                <w:szCs w:val="20"/>
              </w:rPr>
              <w:t>0,0</w:t>
            </w:r>
          </w:p>
        </w:tc>
      </w:tr>
      <w:tr w:rsidR="006D347E" w:rsidRPr="00821AF6" w14:paraId="7E800C10"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2A8D64A6" w14:textId="52FF1509" w:rsidR="006D347E" w:rsidRPr="00821AF6" w:rsidRDefault="006D347E" w:rsidP="006D347E">
            <w:pPr>
              <w:spacing w:before="60" w:after="20" w:line="288" w:lineRule="auto"/>
              <w:ind w:firstLine="0"/>
              <w:jc w:val="center"/>
              <w:rPr>
                <w:rFonts w:cs="Tahoma"/>
                <w:sz w:val="20"/>
                <w:szCs w:val="20"/>
              </w:rPr>
            </w:pPr>
            <w:r>
              <w:rPr>
                <w:rFonts w:cs="Tahoma"/>
                <w:sz w:val="20"/>
                <w:szCs w:val="20"/>
              </w:rPr>
              <w:t>V</w:t>
            </w:r>
          </w:p>
        </w:tc>
        <w:tc>
          <w:tcPr>
            <w:tcW w:w="4365" w:type="dxa"/>
            <w:tcBorders>
              <w:top w:val="single" w:sz="4" w:space="0" w:color="auto"/>
              <w:left w:val="single" w:sz="4" w:space="0" w:color="auto"/>
              <w:bottom w:val="single" w:sz="4" w:space="0" w:color="auto"/>
              <w:right w:val="single" w:sz="4" w:space="0" w:color="auto"/>
            </w:tcBorders>
            <w:vAlign w:val="center"/>
          </w:tcPr>
          <w:p w14:paraId="0D5B02C3" w14:textId="77777777" w:rsidR="006D347E" w:rsidRPr="00821AF6" w:rsidRDefault="006D347E" w:rsidP="006D347E">
            <w:pPr>
              <w:spacing w:before="60" w:after="20" w:line="288" w:lineRule="auto"/>
              <w:ind w:firstLine="0"/>
              <w:jc w:val="left"/>
              <w:rPr>
                <w:rFonts w:cs="Tahoma"/>
                <w:sz w:val="20"/>
                <w:szCs w:val="20"/>
              </w:rPr>
            </w:pPr>
            <w:r w:rsidRPr="00821AF6">
              <w:rPr>
                <w:rFonts w:cs="Tahoma"/>
                <w:sz w:val="20"/>
                <w:szCs w:val="20"/>
              </w:rPr>
              <w:t>Zysk/strata netto</w:t>
            </w:r>
          </w:p>
        </w:tc>
        <w:tc>
          <w:tcPr>
            <w:tcW w:w="1347" w:type="dxa"/>
            <w:tcBorders>
              <w:top w:val="single" w:sz="4" w:space="0" w:color="auto"/>
              <w:left w:val="single" w:sz="4" w:space="0" w:color="auto"/>
              <w:bottom w:val="single" w:sz="4" w:space="0" w:color="auto"/>
              <w:right w:val="single" w:sz="4" w:space="0" w:color="auto"/>
            </w:tcBorders>
            <w:vAlign w:val="center"/>
          </w:tcPr>
          <w:p w14:paraId="77859DC5" w14:textId="22D92428" w:rsidR="006D347E" w:rsidRPr="00821AF6" w:rsidRDefault="006D347E" w:rsidP="006D347E">
            <w:pPr>
              <w:spacing w:before="60" w:after="20" w:line="288" w:lineRule="auto"/>
              <w:ind w:firstLine="0"/>
              <w:jc w:val="right"/>
              <w:rPr>
                <w:rFonts w:cs="Tahoma"/>
                <w:sz w:val="20"/>
                <w:szCs w:val="20"/>
              </w:rPr>
            </w:pPr>
            <w:r>
              <w:rPr>
                <w:rFonts w:cs="Tahoma"/>
                <w:sz w:val="20"/>
                <w:szCs w:val="20"/>
              </w:rPr>
              <w:t>224,6</w:t>
            </w:r>
          </w:p>
        </w:tc>
        <w:tc>
          <w:tcPr>
            <w:tcW w:w="1347" w:type="dxa"/>
            <w:tcBorders>
              <w:top w:val="single" w:sz="4" w:space="0" w:color="auto"/>
              <w:left w:val="single" w:sz="4" w:space="0" w:color="auto"/>
              <w:bottom w:val="single" w:sz="4" w:space="0" w:color="auto"/>
              <w:right w:val="single" w:sz="4" w:space="0" w:color="auto"/>
            </w:tcBorders>
            <w:vAlign w:val="center"/>
          </w:tcPr>
          <w:p w14:paraId="5C0291D7" w14:textId="7E76EF5A" w:rsidR="006D347E" w:rsidRPr="00821AF6" w:rsidRDefault="006D347E" w:rsidP="006D347E">
            <w:pPr>
              <w:spacing w:before="60" w:after="20" w:line="288" w:lineRule="auto"/>
              <w:ind w:firstLine="0"/>
              <w:jc w:val="right"/>
              <w:rPr>
                <w:rFonts w:cs="Tahoma"/>
                <w:sz w:val="20"/>
                <w:szCs w:val="20"/>
              </w:rPr>
            </w:pPr>
            <w:r>
              <w:rPr>
                <w:rFonts w:cs="Tahoma"/>
                <w:sz w:val="20"/>
                <w:szCs w:val="20"/>
              </w:rPr>
              <w:t>1 917,1</w:t>
            </w:r>
          </w:p>
        </w:tc>
        <w:tc>
          <w:tcPr>
            <w:tcW w:w="1283" w:type="dxa"/>
            <w:tcBorders>
              <w:top w:val="single" w:sz="4" w:space="0" w:color="auto"/>
              <w:left w:val="single" w:sz="4" w:space="0" w:color="auto"/>
              <w:bottom w:val="single" w:sz="4" w:space="0" w:color="auto"/>
              <w:right w:val="single" w:sz="4" w:space="0" w:color="auto"/>
            </w:tcBorders>
            <w:vAlign w:val="center"/>
          </w:tcPr>
          <w:p w14:paraId="69A1C7EF" w14:textId="33C93EF7" w:rsidR="006D347E" w:rsidRPr="00821AF6" w:rsidRDefault="006D347E" w:rsidP="006D347E">
            <w:pPr>
              <w:spacing w:before="60" w:after="20" w:line="288" w:lineRule="auto"/>
              <w:ind w:firstLine="0"/>
              <w:jc w:val="right"/>
              <w:rPr>
                <w:rFonts w:cs="Tahoma"/>
                <w:sz w:val="20"/>
                <w:szCs w:val="20"/>
              </w:rPr>
            </w:pPr>
            <w:r>
              <w:rPr>
                <w:rFonts w:cs="Tahoma"/>
                <w:sz w:val="20"/>
                <w:szCs w:val="20"/>
              </w:rPr>
              <w:t>225,3</w:t>
            </w:r>
          </w:p>
        </w:tc>
      </w:tr>
      <w:tr w:rsidR="006D347E" w:rsidRPr="00821AF6" w14:paraId="5F1B6B66"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5BC5C4" w14:textId="77777777" w:rsidR="006D347E" w:rsidRPr="00821AF6" w:rsidRDefault="006D347E" w:rsidP="006D347E">
            <w:pPr>
              <w:spacing w:before="60" w:after="20" w:line="288" w:lineRule="auto"/>
              <w:ind w:firstLine="0"/>
              <w:jc w:val="center"/>
              <w:rPr>
                <w:rFonts w:cs="Tahoma"/>
                <w:b/>
                <w:sz w:val="20"/>
                <w:szCs w:val="20"/>
              </w:rPr>
            </w:pPr>
            <w:r w:rsidRPr="00821AF6">
              <w:rPr>
                <w:rFonts w:cs="Tahoma"/>
                <w:b/>
                <w:sz w:val="20"/>
                <w:szCs w:val="20"/>
              </w:rPr>
              <w:t>B</w:t>
            </w:r>
          </w:p>
        </w:tc>
        <w:tc>
          <w:tcPr>
            <w:tcW w:w="43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BE9EBD" w14:textId="77777777" w:rsidR="006D347E" w:rsidRPr="00821AF6" w:rsidRDefault="006D347E" w:rsidP="006D347E">
            <w:pPr>
              <w:spacing w:before="60" w:after="20" w:line="288" w:lineRule="auto"/>
              <w:ind w:firstLine="0"/>
              <w:jc w:val="left"/>
              <w:rPr>
                <w:rFonts w:cs="Tahoma"/>
                <w:b/>
                <w:sz w:val="20"/>
                <w:szCs w:val="20"/>
              </w:rPr>
            </w:pPr>
            <w:r w:rsidRPr="00821AF6">
              <w:rPr>
                <w:rFonts w:cs="Tahoma"/>
                <w:b/>
                <w:sz w:val="20"/>
                <w:szCs w:val="20"/>
              </w:rPr>
              <w:t>Zobowiązania i rezerwy na zobowiązania</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DC646C" w14:textId="0FE24249" w:rsidR="006D347E" w:rsidRPr="00821AF6" w:rsidRDefault="006D347E" w:rsidP="006D347E">
            <w:pPr>
              <w:spacing w:before="60" w:after="20" w:line="288" w:lineRule="auto"/>
              <w:ind w:firstLine="0"/>
              <w:jc w:val="right"/>
              <w:rPr>
                <w:rFonts w:cs="Tahoma"/>
                <w:b/>
                <w:sz w:val="20"/>
                <w:szCs w:val="20"/>
              </w:rPr>
            </w:pPr>
            <w:r>
              <w:rPr>
                <w:rFonts w:cs="Tahoma"/>
                <w:b/>
                <w:sz w:val="20"/>
                <w:szCs w:val="20"/>
              </w:rPr>
              <w:t>11 839,9</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0539B6" w14:textId="4512E2B0" w:rsidR="006D347E" w:rsidRPr="00821AF6" w:rsidRDefault="006D347E" w:rsidP="006D347E">
            <w:pPr>
              <w:spacing w:before="60" w:after="20" w:line="288" w:lineRule="auto"/>
              <w:ind w:firstLine="0"/>
              <w:jc w:val="right"/>
              <w:rPr>
                <w:rFonts w:cs="Tahoma"/>
                <w:b/>
                <w:sz w:val="20"/>
                <w:szCs w:val="20"/>
              </w:rPr>
            </w:pPr>
            <w:r>
              <w:rPr>
                <w:rFonts w:cs="Tahoma"/>
                <w:b/>
                <w:sz w:val="20"/>
                <w:szCs w:val="20"/>
              </w:rPr>
              <w:t>13 888,3</w:t>
            </w:r>
          </w:p>
        </w:tc>
        <w:tc>
          <w:tcPr>
            <w:tcW w:w="1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83B09E" w14:textId="13E2E871" w:rsidR="006D347E" w:rsidRPr="00821AF6" w:rsidRDefault="006D347E" w:rsidP="006D347E">
            <w:pPr>
              <w:spacing w:before="60" w:after="20" w:line="288" w:lineRule="auto"/>
              <w:ind w:firstLine="0"/>
              <w:jc w:val="right"/>
              <w:rPr>
                <w:rFonts w:cs="Tahoma"/>
                <w:b/>
                <w:sz w:val="20"/>
                <w:szCs w:val="20"/>
              </w:rPr>
            </w:pPr>
            <w:r>
              <w:rPr>
                <w:rFonts w:cs="Tahoma"/>
                <w:b/>
                <w:sz w:val="20"/>
                <w:szCs w:val="20"/>
              </w:rPr>
              <w:t>12 955,2</w:t>
            </w:r>
          </w:p>
        </w:tc>
      </w:tr>
      <w:tr w:rsidR="006D347E" w:rsidRPr="00821AF6" w14:paraId="5E45A4CC"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39F40544" w14:textId="77777777" w:rsidR="006D347E" w:rsidRPr="00821AF6" w:rsidRDefault="006D347E" w:rsidP="006D347E">
            <w:pPr>
              <w:spacing w:before="60" w:after="20" w:line="288" w:lineRule="auto"/>
              <w:ind w:firstLine="0"/>
              <w:jc w:val="center"/>
              <w:rPr>
                <w:rFonts w:cs="Tahoma"/>
                <w:b/>
                <w:sz w:val="20"/>
                <w:szCs w:val="20"/>
              </w:rPr>
            </w:pPr>
            <w:r w:rsidRPr="00821AF6">
              <w:rPr>
                <w:rFonts w:cs="Tahoma"/>
                <w:b/>
                <w:sz w:val="20"/>
                <w:szCs w:val="20"/>
              </w:rPr>
              <w:t>I</w:t>
            </w:r>
          </w:p>
        </w:tc>
        <w:tc>
          <w:tcPr>
            <w:tcW w:w="4365" w:type="dxa"/>
            <w:tcBorders>
              <w:top w:val="single" w:sz="4" w:space="0" w:color="auto"/>
              <w:left w:val="single" w:sz="4" w:space="0" w:color="auto"/>
              <w:bottom w:val="single" w:sz="4" w:space="0" w:color="auto"/>
              <w:right w:val="single" w:sz="4" w:space="0" w:color="auto"/>
            </w:tcBorders>
            <w:vAlign w:val="center"/>
          </w:tcPr>
          <w:p w14:paraId="617ADA0B" w14:textId="77777777" w:rsidR="006D347E" w:rsidRPr="00821AF6" w:rsidRDefault="006D347E" w:rsidP="006D347E">
            <w:pPr>
              <w:spacing w:before="60" w:after="20" w:line="288" w:lineRule="auto"/>
              <w:ind w:firstLine="0"/>
              <w:jc w:val="left"/>
              <w:rPr>
                <w:rFonts w:cs="Tahoma"/>
                <w:b/>
                <w:sz w:val="20"/>
                <w:szCs w:val="20"/>
              </w:rPr>
            </w:pPr>
            <w:r w:rsidRPr="00821AF6">
              <w:rPr>
                <w:rFonts w:cs="Tahoma"/>
                <w:b/>
                <w:sz w:val="20"/>
                <w:szCs w:val="20"/>
              </w:rPr>
              <w:t>Rezerwy na zobowiązania</w:t>
            </w:r>
          </w:p>
        </w:tc>
        <w:tc>
          <w:tcPr>
            <w:tcW w:w="1347" w:type="dxa"/>
            <w:tcBorders>
              <w:top w:val="single" w:sz="4" w:space="0" w:color="auto"/>
              <w:left w:val="single" w:sz="4" w:space="0" w:color="auto"/>
              <w:bottom w:val="single" w:sz="4" w:space="0" w:color="auto"/>
              <w:right w:val="single" w:sz="4" w:space="0" w:color="auto"/>
            </w:tcBorders>
            <w:vAlign w:val="center"/>
          </w:tcPr>
          <w:p w14:paraId="410BB7C1" w14:textId="6AC69390" w:rsidR="006D347E" w:rsidRPr="00821AF6" w:rsidRDefault="006D347E" w:rsidP="006D347E">
            <w:pPr>
              <w:spacing w:before="60" w:after="20" w:line="288" w:lineRule="auto"/>
              <w:ind w:firstLine="0"/>
              <w:jc w:val="right"/>
              <w:rPr>
                <w:rFonts w:cs="Tahoma"/>
                <w:b/>
                <w:sz w:val="20"/>
                <w:szCs w:val="20"/>
              </w:rPr>
            </w:pPr>
            <w:r>
              <w:rPr>
                <w:rFonts w:cs="Tahoma"/>
                <w:b/>
                <w:sz w:val="20"/>
                <w:szCs w:val="20"/>
              </w:rPr>
              <w:t>2 339,5</w:t>
            </w:r>
          </w:p>
        </w:tc>
        <w:tc>
          <w:tcPr>
            <w:tcW w:w="1347" w:type="dxa"/>
            <w:tcBorders>
              <w:top w:val="single" w:sz="4" w:space="0" w:color="auto"/>
              <w:left w:val="single" w:sz="4" w:space="0" w:color="auto"/>
              <w:bottom w:val="single" w:sz="4" w:space="0" w:color="auto"/>
              <w:right w:val="single" w:sz="4" w:space="0" w:color="auto"/>
            </w:tcBorders>
            <w:vAlign w:val="center"/>
          </w:tcPr>
          <w:p w14:paraId="79954632" w14:textId="594CB094" w:rsidR="006D347E" w:rsidRPr="00821AF6" w:rsidRDefault="006D347E" w:rsidP="006D347E">
            <w:pPr>
              <w:spacing w:before="60" w:after="20" w:line="288" w:lineRule="auto"/>
              <w:ind w:firstLine="0"/>
              <w:jc w:val="right"/>
              <w:rPr>
                <w:rFonts w:cs="Tahoma"/>
                <w:b/>
                <w:sz w:val="20"/>
                <w:szCs w:val="20"/>
              </w:rPr>
            </w:pPr>
            <w:r>
              <w:rPr>
                <w:rFonts w:cs="Tahoma"/>
                <w:b/>
                <w:sz w:val="20"/>
                <w:szCs w:val="20"/>
              </w:rPr>
              <w:t>2 356,2</w:t>
            </w:r>
          </w:p>
        </w:tc>
        <w:tc>
          <w:tcPr>
            <w:tcW w:w="1283" w:type="dxa"/>
            <w:tcBorders>
              <w:top w:val="single" w:sz="4" w:space="0" w:color="auto"/>
              <w:left w:val="single" w:sz="4" w:space="0" w:color="auto"/>
              <w:bottom w:val="single" w:sz="4" w:space="0" w:color="auto"/>
              <w:right w:val="single" w:sz="4" w:space="0" w:color="auto"/>
            </w:tcBorders>
            <w:vAlign w:val="center"/>
          </w:tcPr>
          <w:p w14:paraId="6EB2D942" w14:textId="4C146518" w:rsidR="006D347E" w:rsidRPr="00821AF6" w:rsidRDefault="006D347E" w:rsidP="006D347E">
            <w:pPr>
              <w:spacing w:before="60" w:after="20" w:line="288" w:lineRule="auto"/>
              <w:ind w:firstLine="0"/>
              <w:jc w:val="right"/>
              <w:rPr>
                <w:rFonts w:cs="Tahoma"/>
                <w:b/>
                <w:sz w:val="20"/>
                <w:szCs w:val="20"/>
              </w:rPr>
            </w:pPr>
            <w:r>
              <w:rPr>
                <w:rFonts w:cs="Tahoma"/>
                <w:b/>
                <w:sz w:val="20"/>
                <w:szCs w:val="20"/>
              </w:rPr>
              <w:t>2 803,2</w:t>
            </w:r>
          </w:p>
        </w:tc>
      </w:tr>
      <w:tr w:rsidR="006D347E" w:rsidRPr="00821AF6" w14:paraId="665796A1"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30D00EA3" w14:textId="77777777" w:rsidR="006D347E" w:rsidRPr="00821AF6" w:rsidRDefault="006D347E" w:rsidP="006D347E">
            <w:pPr>
              <w:spacing w:before="60" w:after="20" w:line="288" w:lineRule="auto"/>
              <w:ind w:firstLine="0"/>
              <w:jc w:val="center"/>
              <w:rPr>
                <w:rFonts w:cs="Tahoma"/>
                <w:b/>
                <w:sz w:val="20"/>
                <w:szCs w:val="20"/>
              </w:rPr>
            </w:pPr>
            <w:r w:rsidRPr="00821AF6">
              <w:rPr>
                <w:rFonts w:cs="Tahoma"/>
                <w:b/>
                <w:sz w:val="20"/>
                <w:szCs w:val="20"/>
              </w:rPr>
              <w:t>II</w:t>
            </w:r>
          </w:p>
        </w:tc>
        <w:tc>
          <w:tcPr>
            <w:tcW w:w="4365" w:type="dxa"/>
            <w:tcBorders>
              <w:top w:val="single" w:sz="4" w:space="0" w:color="auto"/>
              <w:left w:val="single" w:sz="4" w:space="0" w:color="auto"/>
              <w:bottom w:val="single" w:sz="4" w:space="0" w:color="auto"/>
              <w:right w:val="single" w:sz="4" w:space="0" w:color="auto"/>
            </w:tcBorders>
            <w:vAlign w:val="center"/>
          </w:tcPr>
          <w:p w14:paraId="38CE459A" w14:textId="77777777" w:rsidR="006D347E" w:rsidRPr="00821AF6" w:rsidRDefault="006D347E" w:rsidP="006D347E">
            <w:pPr>
              <w:spacing w:before="60" w:after="20" w:line="288" w:lineRule="auto"/>
              <w:ind w:firstLine="0"/>
              <w:jc w:val="left"/>
              <w:rPr>
                <w:rFonts w:cs="Tahoma"/>
                <w:b/>
                <w:sz w:val="20"/>
                <w:szCs w:val="20"/>
              </w:rPr>
            </w:pPr>
            <w:r w:rsidRPr="00821AF6">
              <w:rPr>
                <w:rFonts w:cs="Tahoma"/>
                <w:b/>
                <w:sz w:val="20"/>
                <w:szCs w:val="20"/>
              </w:rPr>
              <w:t>Zobowiązania długoterminowe</w:t>
            </w:r>
          </w:p>
        </w:tc>
        <w:tc>
          <w:tcPr>
            <w:tcW w:w="1347" w:type="dxa"/>
            <w:tcBorders>
              <w:top w:val="single" w:sz="4" w:space="0" w:color="auto"/>
              <w:left w:val="single" w:sz="4" w:space="0" w:color="auto"/>
              <w:bottom w:val="single" w:sz="4" w:space="0" w:color="auto"/>
              <w:right w:val="single" w:sz="4" w:space="0" w:color="auto"/>
            </w:tcBorders>
            <w:vAlign w:val="center"/>
          </w:tcPr>
          <w:p w14:paraId="5C50FC3C" w14:textId="45771B77" w:rsidR="006D347E" w:rsidRPr="00821AF6" w:rsidRDefault="006D347E" w:rsidP="006D347E">
            <w:pPr>
              <w:spacing w:before="60" w:after="20" w:line="288" w:lineRule="auto"/>
              <w:ind w:firstLine="0"/>
              <w:jc w:val="right"/>
              <w:rPr>
                <w:rFonts w:cs="Tahoma"/>
                <w:b/>
                <w:sz w:val="20"/>
                <w:szCs w:val="20"/>
              </w:rPr>
            </w:pPr>
            <w:r>
              <w:rPr>
                <w:rFonts w:cs="Tahoma"/>
                <w:b/>
                <w:sz w:val="20"/>
                <w:szCs w:val="20"/>
              </w:rPr>
              <w:t>0,0</w:t>
            </w:r>
          </w:p>
        </w:tc>
        <w:tc>
          <w:tcPr>
            <w:tcW w:w="1347" w:type="dxa"/>
            <w:tcBorders>
              <w:top w:val="single" w:sz="4" w:space="0" w:color="auto"/>
              <w:left w:val="single" w:sz="4" w:space="0" w:color="auto"/>
              <w:bottom w:val="single" w:sz="4" w:space="0" w:color="auto"/>
              <w:right w:val="single" w:sz="4" w:space="0" w:color="auto"/>
            </w:tcBorders>
            <w:vAlign w:val="center"/>
          </w:tcPr>
          <w:p w14:paraId="29E97B17" w14:textId="05658498" w:rsidR="006D347E" w:rsidRPr="00821AF6" w:rsidRDefault="006D347E" w:rsidP="006D347E">
            <w:pPr>
              <w:spacing w:before="60" w:after="20" w:line="288" w:lineRule="auto"/>
              <w:ind w:firstLine="0"/>
              <w:jc w:val="right"/>
              <w:rPr>
                <w:rFonts w:cs="Tahoma"/>
                <w:b/>
                <w:sz w:val="20"/>
                <w:szCs w:val="20"/>
              </w:rPr>
            </w:pPr>
            <w:r>
              <w:rPr>
                <w:rFonts w:cs="Tahoma"/>
                <w:b/>
                <w:sz w:val="20"/>
                <w:szCs w:val="20"/>
              </w:rPr>
              <w:t>0,0</w:t>
            </w:r>
          </w:p>
        </w:tc>
        <w:tc>
          <w:tcPr>
            <w:tcW w:w="1283" w:type="dxa"/>
            <w:tcBorders>
              <w:top w:val="single" w:sz="4" w:space="0" w:color="auto"/>
              <w:left w:val="single" w:sz="4" w:space="0" w:color="auto"/>
              <w:bottom w:val="single" w:sz="4" w:space="0" w:color="auto"/>
              <w:right w:val="single" w:sz="4" w:space="0" w:color="auto"/>
            </w:tcBorders>
            <w:vAlign w:val="center"/>
          </w:tcPr>
          <w:p w14:paraId="7D23ED67" w14:textId="229C5EF6" w:rsidR="006D347E" w:rsidRPr="00821AF6" w:rsidRDefault="006D347E" w:rsidP="006D347E">
            <w:pPr>
              <w:spacing w:before="60" w:after="20" w:line="288" w:lineRule="auto"/>
              <w:ind w:firstLine="0"/>
              <w:jc w:val="right"/>
              <w:rPr>
                <w:rFonts w:cs="Tahoma"/>
                <w:b/>
                <w:sz w:val="20"/>
                <w:szCs w:val="20"/>
              </w:rPr>
            </w:pPr>
            <w:r>
              <w:rPr>
                <w:rFonts w:cs="Tahoma"/>
                <w:b/>
                <w:sz w:val="20"/>
                <w:szCs w:val="20"/>
              </w:rPr>
              <w:t>0,0</w:t>
            </w:r>
          </w:p>
        </w:tc>
      </w:tr>
      <w:tr w:rsidR="006D347E" w:rsidRPr="00821AF6" w14:paraId="70F07277"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493A9566" w14:textId="77777777" w:rsidR="006D347E" w:rsidRPr="00821AF6" w:rsidRDefault="006D347E" w:rsidP="006D347E">
            <w:pPr>
              <w:spacing w:before="60" w:after="20" w:line="288" w:lineRule="auto"/>
              <w:ind w:firstLine="0"/>
              <w:jc w:val="center"/>
              <w:rPr>
                <w:rFonts w:cs="Tahoma"/>
                <w:b/>
                <w:sz w:val="20"/>
                <w:szCs w:val="20"/>
              </w:rPr>
            </w:pPr>
            <w:r w:rsidRPr="00821AF6">
              <w:rPr>
                <w:rFonts w:cs="Tahoma"/>
                <w:b/>
                <w:sz w:val="20"/>
                <w:szCs w:val="20"/>
              </w:rPr>
              <w:t>III</w:t>
            </w:r>
          </w:p>
        </w:tc>
        <w:tc>
          <w:tcPr>
            <w:tcW w:w="4365" w:type="dxa"/>
            <w:tcBorders>
              <w:top w:val="single" w:sz="4" w:space="0" w:color="auto"/>
              <w:left w:val="single" w:sz="4" w:space="0" w:color="auto"/>
              <w:bottom w:val="single" w:sz="4" w:space="0" w:color="auto"/>
              <w:right w:val="single" w:sz="4" w:space="0" w:color="auto"/>
            </w:tcBorders>
            <w:vAlign w:val="center"/>
          </w:tcPr>
          <w:p w14:paraId="67824E02" w14:textId="77777777" w:rsidR="006D347E" w:rsidRPr="00821AF6" w:rsidRDefault="006D347E" w:rsidP="006D347E">
            <w:pPr>
              <w:spacing w:before="60" w:after="20" w:line="288" w:lineRule="auto"/>
              <w:ind w:firstLine="0"/>
              <w:jc w:val="left"/>
              <w:rPr>
                <w:rFonts w:cs="Tahoma"/>
                <w:b/>
                <w:sz w:val="20"/>
                <w:szCs w:val="20"/>
              </w:rPr>
            </w:pPr>
            <w:r w:rsidRPr="00821AF6">
              <w:rPr>
                <w:rFonts w:cs="Tahoma"/>
                <w:b/>
                <w:sz w:val="20"/>
                <w:szCs w:val="20"/>
              </w:rPr>
              <w:t>Zobowiązania krótkoterminowe</w:t>
            </w:r>
          </w:p>
        </w:tc>
        <w:tc>
          <w:tcPr>
            <w:tcW w:w="1347" w:type="dxa"/>
            <w:tcBorders>
              <w:top w:val="single" w:sz="4" w:space="0" w:color="auto"/>
              <w:left w:val="single" w:sz="4" w:space="0" w:color="auto"/>
              <w:bottom w:val="single" w:sz="4" w:space="0" w:color="auto"/>
              <w:right w:val="single" w:sz="4" w:space="0" w:color="auto"/>
            </w:tcBorders>
            <w:vAlign w:val="center"/>
          </w:tcPr>
          <w:p w14:paraId="0CF78868" w14:textId="41E3A087" w:rsidR="006D347E" w:rsidRPr="00821AF6" w:rsidRDefault="006D347E" w:rsidP="006D347E">
            <w:pPr>
              <w:spacing w:before="60" w:after="20" w:line="288" w:lineRule="auto"/>
              <w:ind w:firstLine="0"/>
              <w:jc w:val="right"/>
              <w:rPr>
                <w:rFonts w:cs="Tahoma"/>
                <w:b/>
                <w:sz w:val="20"/>
                <w:szCs w:val="20"/>
              </w:rPr>
            </w:pPr>
            <w:r>
              <w:rPr>
                <w:rFonts w:cs="Tahoma"/>
                <w:b/>
                <w:sz w:val="20"/>
                <w:szCs w:val="20"/>
              </w:rPr>
              <w:t>9 482,4</w:t>
            </w:r>
          </w:p>
        </w:tc>
        <w:tc>
          <w:tcPr>
            <w:tcW w:w="1347" w:type="dxa"/>
            <w:tcBorders>
              <w:top w:val="single" w:sz="4" w:space="0" w:color="auto"/>
              <w:left w:val="single" w:sz="4" w:space="0" w:color="auto"/>
              <w:bottom w:val="single" w:sz="4" w:space="0" w:color="auto"/>
              <w:right w:val="single" w:sz="4" w:space="0" w:color="auto"/>
            </w:tcBorders>
            <w:vAlign w:val="center"/>
          </w:tcPr>
          <w:p w14:paraId="0F38C3EB" w14:textId="3D8010D3" w:rsidR="006D347E" w:rsidRPr="00821AF6" w:rsidRDefault="006D347E" w:rsidP="006D347E">
            <w:pPr>
              <w:spacing w:before="60" w:after="20" w:line="288" w:lineRule="auto"/>
              <w:ind w:firstLine="0"/>
              <w:jc w:val="right"/>
              <w:rPr>
                <w:rFonts w:cs="Tahoma"/>
                <w:b/>
                <w:sz w:val="20"/>
                <w:szCs w:val="20"/>
              </w:rPr>
            </w:pPr>
            <w:r>
              <w:rPr>
                <w:rFonts w:cs="Tahoma"/>
                <w:b/>
                <w:sz w:val="20"/>
                <w:szCs w:val="20"/>
              </w:rPr>
              <w:t>11 244,9</w:t>
            </w:r>
          </w:p>
        </w:tc>
        <w:tc>
          <w:tcPr>
            <w:tcW w:w="1283" w:type="dxa"/>
            <w:tcBorders>
              <w:top w:val="single" w:sz="4" w:space="0" w:color="auto"/>
              <w:left w:val="single" w:sz="4" w:space="0" w:color="auto"/>
              <w:bottom w:val="single" w:sz="4" w:space="0" w:color="auto"/>
              <w:right w:val="single" w:sz="4" w:space="0" w:color="auto"/>
            </w:tcBorders>
            <w:vAlign w:val="center"/>
          </w:tcPr>
          <w:p w14:paraId="0FC0C273" w14:textId="57CB69D2" w:rsidR="006D347E" w:rsidRPr="00821AF6" w:rsidRDefault="006D347E" w:rsidP="006D347E">
            <w:pPr>
              <w:spacing w:before="60" w:after="20" w:line="288" w:lineRule="auto"/>
              <w:ind w:firstLine="0"/>
              <w:jc w:val="right"/>
              <w:rPr>
                <w:rFonts w:cs="Tahoma"/>
                <w:b/>
                <w:sz w:val="20"/>
                <w:szCs w:val="20"/>
              </w:rPr>
            </w:pPr>
            <w:r>
              <w:rPr>
                <w:rFonts w:cs="Tahoma"/>
                <w:b/>
                <w:sz w:val="20"/>
                <w:szCs w:val="20"/>
              </w:rPr>
              <w:t>9 644,1</w:t>
            </w:r>
          </w:p>
        </w:tc>
      </w:tr>
      <w:tr w:rsidR="006D347E" w:rsidRPr="00821AF6" w14:paraId="2D3049F6"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vAlign w:val="center"/>
          </w:tcPr>
          <w:p w14:paraId="53644461" w14:textId="77777777" w:rsidR="006D347E" w:rsidRPr="00821AF6" w:rsidRDefault="006D347E" w:rsidP="006D347E">
            <w:pPr>
              <w:spacing w:before="60" w:after="20" w:line="288" w:lineRule="auto"/>
              <w:ind w:firstLine="0"/>
              <w:jc w:val="center"/>
              <w:rPr>
                <w:rFonts w:cs="Tahoma"/>
                <w:b/>
                <w:sz w:val="20"/>
                <w:szCs w:val="20"/>
              </w:rPr>
            </w:pPr>
            <w:r w:rsidRPr="00821AF6">
              <w:rPr>
                <w:rFonts w:cs="Tahoma"/>
                <w:b/>
                <w:sz w:val="20"/>
                <w:szCs w:val="20"/>
              </w:rPr>
              <w:t>IV</w:t>
            </w:r>
          </w:p>
        </w:tc>
        <w:tc>
          <w:tcPr>
            <w:tcW w:w="4365" w:type="dxa"/>
            <w:tcBorders>
              <w:top w:val="single" w:sz="4" w:space="0" w:color="auto"/>
              <w:left w:val="single" w:sz="4" w:space="0" w:color="auto"/>
              <w:bottom w:val="single" w:sz="4" w:space="0" w:color="auto"/>
              <w:right w:val="single" w:sz="4" w:space="0" w:color="auto"/>
            </w:tcBorders>
            <w:vAlign w:val="center"/>
          </w:tcPr>
          <w:p w14:paraId="48A00E89" w14:textId="77777777" w:rsidR="006D347E" w:rsidRPr="00821AF6" w:rsidRDefault="006D347E" w:rsidP="006D347E">
            <w:pPr>
              <w:spacing w:before="60" w:after="20" w:line="288" w:lineRule="auto"/>
              <w:ind w:firstLine="0"/>
              <w:jc w:val="left"/>
              <w:rPr>
                <w:rFonts w:cs="Tahoma"/>
                <w:b/>
                <w:sz w:val="20"/>
                <w:szCs w:val="20"/>
              </w:rPr>
            </w:pPr>
            <w:r w:rsidRPr="00821AF6">
              <w:rPr>
                <w:rFonts w:cs="Tahoma"/>
                <w:b/>
                <w:sz w:val="20"/>
                <w:szCs w:val="20"/>
              </w:rPr>
              <w:t>Rozliczenia międzyokresowe</w:t>
            </w:r>
          </w:p>
        </w:tc>
        <w:tc>
          <w:tcPr>
            <w:tcW w:w="1347" w:type="dxa"/>
            <w:tcBorders>
              <w:top w:val="single" w:sz="4" w:space="0" w:color="auto"/>
              <w:left w:val="single" w:sz="4" w:space="0" w:color="auto"/>
              <w:bottom w:val="single" w:sz="4" w:space="0" w:color="auto"/>
              <w:right w:val="single" w:sz="4" w:space="0" w:color="auto"/>
            </w:tcBorders>
            <w:vAlign w:val="center"/>
          </w:tcPr>
          <w:p w14:paraId="3F5A7AAE" w14:textId="31A781C5" w:rsidR="006D347E" w:rsidRPr="00821AF6" w:rsidRDefault="006D347E" w:rsidP="006D347E">
            <w:pPr>
              <w:spacing w:before="60" w:after="20" w:line="288" w:lineRule="auto"/>
              <w:ind w:firstLine="0"/>
              <w:jc w:val="right"/>
              <w:rPr>
                <w:rFonts w:cs="Tahoma"/>
                <w:b/>
                <w:sz w:val="20"/>
                <w:szCs w:val="20"/>
              </w:rPr>
            </w:pPr>
            <w:r>
              <w:rPr>
                <w:rFonts w:cs="Tahoma"/>
                <w:b/>
                <w:sz w:val="20"/>
                <w:szCs w:val="20"/>
              </w:rPr>
              <w:t>18,0</w:t>
            </w:r>
          </w:p>
        </w:tc>
        <w:tc>
          <w:tcPr>
            <w:tcW w:w="1347" w:type="dxa"/>
            <w:tcBorders>
              <w:top w:val="single" w:sz="4" w:space="0" w:color="auto"/>
              <w:left w:val="single" w:sz="4" w:space="0" w:color="auto"/>
              <w:bottom w:val="single" w:sz="4" w:space="0" w:color="auto"/>
              <w:right w:val="single" w:sz="4" w:space="0" w:color="auto"/>
            </w:tcBorders>
            <w:vAlign w:val="center"/>
          </w:tcPr>
          <w:p w14:paraId="0D21480B" w14:textId="022A2C4D" w:rsidR="006D347E" w:rsidRPr="00821AF6" w:rsidRDefault="006D347E" w:rsidP="006D347E">
            <w:pPr>
              <w:spacing w:before="60" w:after="20" w:line="288" w:lineRule="auto"/>
              <w:ind w:firstLine="0"/>
              <w:jc w:val="right"/>
              <w:rPr>
                <w:rFonts w:cs="Tahoma"/>
                <w:b/>
                <w:sz w:val="20"/>
                <w:szCs w:val="20"/>
              </w:rPr>
            </w:pPr>
            <w:r>
              <w:rPr>
                <w:rFonts w:cs="Tahoma"/>
                <w:b/>
                <w:sz w:val="20"/>
                <w:szCs w:val="20"/>
              </w:rPr>
              <w:t>287,3</w:t>
            </w:r>
          </w:p>
        </w:tc>
        <w:tc>
          <w:tcPr>
            <w:tcW w:w="1283" w:type="dxa"/>
            <w:tcBorders>
              <w:top w:val="single" w:sz="4" w:space="0" w:color="auto"/>
              <w:left w:val="single" w:sz="4" w:space="0" w:color="auto"/>
              <w:bottom w:val="single" w:sz="4" w:space="0" w:color="auto"/>
              <w:right w:val="single" w:sz="4" w:space="0" w:color="auto"/>
            </w:tcBorders>
            <w:vAlign w:val="center"/>
          </w:tcPr>
          <w:p w14:paraId="50D597E0" w14:textId="26F22F43" w:rsidR="006D347E" w:rsidRPr="00821AF6" w:rsidRDefault="006D347E" w:rsidP="006D347E">
            <w:pPr>
              <w:spacing w:before="60" w:after="20" w:line="288" w:lineRule="auto"/>
              <w:ind w:firstLine="0"/>
              <w:jc w:val="right"/>
              <w:rPr>
                <w:rFonts w:cs="Tahoma"/>
                <w:b/>
                <w:sz w:val="20"/>
                <w:szCs w:val="20"/>
              </w:rPr>
            </w:pPr>
            <w:r>
              <w:rPr>
                <w:rFonts w:cs="Tahoma"/>
                <w:b/>
                <w:sz w:val="20"/>
                <w:szCs w:val="20"/>
              </w:rPr>
              <w:t>507,9</w:t>
            </w:r>
          </w:p>
        </w:tc>
      </w:tr>
      <w:tr w:rsidR="006D347E" w:rsidRPr="00821AF6" w14:paraId="03C3EF20" w14:textId="77777777" w:rsidTr="003F027D">
        <w:trPr>
          <w:cantSplit/>
          <w:jc w:val="center"/>
        </w:trPr>
        <w:tc>
          <w:tcPr>
            <w:tcW w:w="7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923730" w14:textId="77777777" w:rsidR="006D347E" w:rsidRPr="00821AF6" w:rsidRDefault="006D347E" w:rsidP="006D347E">
            <w:pPr>
              <w:spacing w:before="60" w:after="20" w:line="288" w:lineRule="auto"/>
              <w:ind w:firstLine="0"/>
              <w:jc w:val="center"/>
              <w:rPr>
                <w:rFonts w:cs="Tahoma"/>
                <w:b/>
                <w:sz w:val="20"/>
                <w:szCs w:val="20"/>
              </w:rPr>
            </w:pPr>
            <w:r w:rsidRPr="00821AF6">
              <w:rPr>
                <w:rFonts w:cs="Tahoma"/>
                <w:b/>
                <w:sz w:val="20"/>
                <w:szCs w:val="20"/>
              </w:rPr>
              <w:t>-</w:t>
            </w:r>
          </w:p>
        </w:tc>
        <w:tc>
          <w:tcPr>
            <w:tcW w:w="43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5BF796" w14:textId="77777777" w:rsidR="006D347E" w:rsidRPr="00821AF6" w:rsidRDefault="006D347E" w:rsidP="006D347E">
            <w:pPr>
              <w:spacing w:before="60" w:after="20" w:line="288" w:lineRule="auto"/>
              <w:ind w:firstLine="0"/>
              <w:jc w:val="left"/>
              <w:rPr>
                <w:rFonts w:cs="Tahoma"/>
                <w:b/>
                <w:sz w:val="20"/>
                <w:szCs w:val="20"/>
              </w:rPr>
            </w:pPr>
            <w:r w:rsidRPr="00821AF6">
              <w:rPr>
                <w:rFonts w:cs="Tahoma"/>
                <w:b/>
                <w:sz w:val="20"/>
                <w:szCs w:val="20"/>
              </w:rPr>
              <w:t>Pasywa razem</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363CD1" w14:textId="4A110CD6" w:rsidR="006D347E" w:rsidRPr="00821AF6" w:rsidRDefault="006D347E" w:rsidP="006D347E">
            <w:pPr>
              <w:spacing w:before="60" w:after="20" w:line="288" w:lineRule="auto"/>
              <w:ind w:firstLine="0"/>
              <w:jc w:val="right"/>
              <w:rPr>
                <w:rFonts w:cs="Tahoma"/>
                <w:b/>
                <w:sz w:val="20"/>
                <w:szCs w:val="20"/>
              </w:rPr>
            </w:pPr>
            <w:r>
              <w:rPr>
                <w:rFonts w:cs="Tahoma"/>
                <w:b/>
                <w:sz w:val="20"/>
                <w:szCs w:val="20"/>
              </w:rPr>
              <w:t>28 540,9</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C7D333" w14:textId="5B5D48A9" w:rsidR="006D347E" w:rsidRPr="00821AF6" w:rsidRDefault="006D347E" w:rsidP="006D347E">
            <w:pPr>
              <w:spacing w:before="60" w:after="20" w:line="288" w:lineRule="auto"/>
              <w:ind w:firstLine="0"/>
              <w:jc w:val="right"/>
              <w:rPr>
                <w:rFonts w:cs="Tahoma"/>
                <w:b/>
                <w:sz w:val="20"/>
                <w:szCs w:val="20"/>
              </w:rPr>
            </w:pPr>
            <w:r>
              <w:rPr>
                <w:rFonts w:cs="Tahoma"/>
                <w:b/>
                <w:sz w:val="20"/>
                <w:szCs w:val="20"/>
              </w:rPr>
              <w:t>32 506,3</w:t>
            </w:r>
          </w:p>
        </w:tc>
        <w:tc>
          <w:tcPr>
            <w:tcW w:w="12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FE2AFC" w14:textId="3BBF9A29" w:rsidR="006D347E" w:rsidRPr="00821AF6" w:rsidRDefault="006D347E" w:rsidP="006D347E">
            <w:pPr>
              <w:spacing w:before="60" w:after="20" w:line="288" w:lineRule="auto"/>
              <w:ind w:firstLine="0"/>
              <w:jc w:val="right"/>
              <w:rPr>
                <w:rFonts w:cs="Tahoma"/>
                <w:b/>
                <w:sz w:val="20"/>
                <w:szCs w:val="20"/>
              </w:rPr>
            </w:pPr>
            <w:r>
              <w:rPr>
                <w:rFonts w:cs="Tahoma"/>
                <w:b/>
                <w:sz w:val="20"/>
                <w:szCs w:val="20"/>
              </w:rPr>
              <w:t>31 828,4</w:t>
            </w:r>
          </w:p>
        </w:tc>
      </w:tr>
    </w:tbl>
    <w:p w14:paraId="0EB94F8E" w14:textId="356637AB" w:rsidR="003F027D" w:rsidRDefault="003F027D" w:rsidP="006D347E">
      <w:pPr>
        <w:spacing w:before="120" w:after="240"/>
        <w:ind w:firstLine="0"/>
        <w:jc w:val="left"/>
        <w:rPr>
          <w:rFonts w:cs="Tahoma"/>
          <w:sz w:val="20"/>
          <w:szCs w:val="20"/>
        </w:rPr>
      </w:pPr>
      <w:r w:rsidRPr="00821AF6">
        <w:rPr>
          <w:rFonts w:cs="Tahoma"/>
          <w:sz w:val="20"/>
          <w:szCs w:val="20"/>
        </w:rPr>
        <w:t>Źródło</w:t>
      </w:r>
      <w:r w:rsidR="000024F4">
        <w:rPr>
          <w:rFonts w:cs="Tahoma"/>
          <w:sz w:val="20"/>
          <w:szCs w:val="20"/>
        </w:rPr>
        <w:t xml:space="preserve"> dan</w:t>
      </w:r>
      <w:r w:rsidR="006D347E">
        <w:rPr>
          <w:rFonts w:cs="Tahoma"/>
          <w:sz w:val="20"/>
          <w:szCs w:val="20"/>
        </w:rPr>
        <w:t>e MPK-Rzeszów sp. z o.o.</w:t>
      </w:r>
    </w:p>
    <w:p w14:paraId="75968B52" w14:textId="1A59CA90" w:rsidR="003F027D" w:rsidRPr="00821AF6" w:rsidRDefault="003F027D" w:rsidP="00D1104A">
      <w:pPr>
        <w:pStyle w:val="Legenda"/>
        <w:keepNext/>
        <w:spacing w:before="240" w:after="0"/>
        <w:ind w:firstLine="0"/>
        <w:jc w:val="left"/>
        <w:rPr>
          <w:color w:val="000000"/>
          <w:sz w:val="22"/>
          <w:szCs w:val="22"/>
        </w:rPr>
      </w:pPr>
      <w:r w:rsidRPr="00821AF6">
        <w:rPr>
          <w:color w:val="000000"/>
          <w:sz w:val="22"/>
          <w:szCs w:val="22"/>
        </w:rPr>
        <w:lastRenderedPageBreak/>
        <w:t xml:space="preserve">Tab. </w:t>
      </w:r>
      <w:r w:rsidRPr="00821AF6">
        <w:rPr>
          <w:color w:val="000000"/>
          <w:sz w:val="22"/>
          <w:szCs w:val="22"/>
        </w:rPr>
        <w:fldChar w:fldCharType="begin"/>
      </w:r>
      <w:r w:rsidRPr="00821AF6">
        <w:rPr>
          <w:color w:val="000000"/>
          <w:sz w:val="22"/>
          <w:szCs w:val="22"/>
        </w:rPr>
        <w:instrText xml:space="preserve"> SEQ Tab. \* ARABIC </w:instrText>
      </w:r>
      <w:r w:rsidRPr="00821AF6">
        <w:rPr>
          <w:color w:val="000000"/>
          <w:sz w:val="22"/>
          <w:szCs w:val="22"/>
        </w:rPr>
        <w:fldChar w:fldCharType="separate"/>
      </w:r>
      <w:r w:rsidR="004605BC">
        <w:rPr>
          <w:noProof/>
          <w:color w:val="000000"/>
          <w:sz w:val="22"/>
          <w:szCs w:val="22"/>
        </w:rPr>
        <w:t>22</w:t>
      </w:r>
      <w:r w:rsidRPr="00821AF6">
        <w:rPr>
          <w:color w:val="000000"/>
          <w:sz w:val="22"/>
          <w:szCs w:val="22"/>
        </w:rPr>
        <w:fldChar w:fldCharType="end"/>
      </w:r>
      <w:r w:rsidRPr="00821AF6">
        <w:rPr>
          <w:color w:val="000000"/>
          <w:sz w:val="22"/>
          <w:szCs w:val="22"/>
        </w:rPr>
        <w:t xml:space="preserve">. Rachunek przepływów pieniężnych </w:t>
      </w:r>
      <w:r w:rsidR="00C73F5E">
        <w:rPr>
          <w:color w:val="000000"/>
          <w:sz w:val="22"/>
          <w:szCs w:val="22"/>
        </w:rPr>
        <w:t>MPK</w:t>
      </w:r>
      <w:r w:rsidR="006D347E">
        <w:rPr>
          <w:color w:val="000000"/>
          <w:sz w:val="22"/>
          <w:szCs w:val="22"/>
        </w:rPr>
        <w:t>-Rzeszów</w:t>
      </w:r>
      <w:r w:rsidR="00C73F5E">
        <w:rPr>
          <w:color w:val="000000"/>
          <w:sz w:val="22"/>
          <w:szCs w:val="22"/>
        </w:rPr>
        <w:t xml:space="preserve"> </w:t>
      </w:r>
      <w:r w:rsidRPr="00821AF6">
        <w:rPr>
          <w:color w:val="000000"/>
          <w:sz w:val="22"/>
          <w:szCs w:val="22"/>
        </w:rPr>
        <w:t>sp. z o.o.</w:t>
      </w:r>
      <w:r w:rsidRPr="00821AF6">
        <w:rPr>
          <w:color w:val="000000"/>
          <w:sz w:val="22"/>
          <w:szCs w:val="22"/>
        </w:rPr>
        <w:br/>
        <w:t>– wykonanie w latach 2018-2020 [tys. zł]</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39"/>
        <w:gridCol w:w="4598"/>
        <w:gridCol w:w="1276"/>
        <w:gridCol w:w="1276"/>
        <w:gridCol w:w="1283"/>
      </w:tblGrid>
      <w:tr w:rsidR="003F027D" w:rsidRPr="00821AF6" w14:paraId="07963CC7" w14:textId="77777777" w:rsidTr="003F027D">
        <w:trPr>
          <w:cantSplit/>
          <w:trHeight w:val="350"/>
          <w:tblHeader/>
          <w:jc w:val="center"/>
        </w:trPr>
        <w:tc>
          <w:tcPr>
            <w:tcW w:w="639" w:type="dxa"/>
            <w:vMerge w:val="restart"/>
            <w:shd w:val="clear" w:color="auto" w:fill="FFFF99"/>
            <w:vAlign w:val="center"/>
          </w:tcPr>
          <w:p w14:paraId="2B6BC6E5"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Lp.</w:t>
            </w:r>
          </w:p>
        </w:tc>
        <w:tc>
          <w:tcPr>
            <w:tcW w:w="4598" w:type="dxa"/>
            <w:vMerge w:val="restart"/>
            <w:shd w:val="clear" w:color="auto" w:fill="FFFF99"/>
            <w:vAlign w:val="center"/>
          </w:tcPr>
          <w:p w14:paraId="60BA0DA4"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Wyszczególnienie</w:t>
            </w:r>
          </w:p>
        </w:tc>
        <w:tc>
          <w:tcPr>
            <w:tcW w:w="3835" w:type="dxa"/>
            <w:gridSpan w:val="3"/>
            <w:tcBorders>
              <w:bottom w:val="single" w:sz="6" w:space="0" w:color="auto"/>
            </w:tcBorders>
            <w:shd w:val="clear" w:color="auto" w:fill="FFFF99"/>
            <w:vAlign w:val="center"/>
          </w:tcPr>
          <w:p w14:paraId="5CAA2D3C"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Wykonanie w latach</w:t>
            </w:r>
            <w:r>
              <w:rPr>
                <w:rFonts w:cs="Tahoma"/>
                <w:b/>
                <w:sz w:val="20"/>
                <w:szCs w:val="20"/>
              </w:rPr>
              <w:t xml:space="preserve"> [tys. zł]</w:t>
            </w:r>
          </w:p>
        </w:tc>
      </w:tr>
      <w:tr w:rsidR="003F027D" w:rsidRPr="00821AF6" w14:paraId="595FA4F7" w14:textId="77777777" w:rsidTr="003F027D">
        <w:trPr>
          <w:cantSplit/>
          <w:trHeight w:val="349"/>
          <w:tblHeader/>
          <w:jc w:val="center"/>
        </w:trPr>
        <w:tc>
          <w:tcPr>
            <w:tcW w:w="639" w:type="dxa"/>
            <w:vMerge/>
            <w:tcBorders>
              <w:bottom w:val="single" w:sz="6" w:space="0" w:color="auto"/>
            </w:tcBorders>
            <w:shd w:val="clear" w:color="auto" w:fill="FFFF99"/>
            <w:vAlign w:val="center"/>
          </w:tcPr>
          <w:p w14:paraId="29A659F0" w14:textId="77777777" w:rsidR="003F027D" w:rsidRPr="00821AF6" w:rsidRDefault="003F027D" w:rsidP="00D1104A">
            <w:pPr>
              <w:keepNext/>
              <w:spacing w:before="60" w:after="20" w:line="288" w:lineRule="auto"/>
              <w:ind w:firstLine="0"/>
              <w:jc w:val="center"/>
              <w:rPr>
                <w:rFonts w:cs="Tahoma"/>
                <w:b/>
                <w:sz w:val="20"/>
                <w:szCs w:val="20"/>
              </w:rPr>
            </w:pPr>
          </w:p>
        </w:tc>
        <w:tc>
          <w:tcPr>
            <w:tcW w:w="4598" w:type="dxa"/>
            <w:vMerge/>
            <w:tcBorders>
              <w:bottom w:val="single" w:sz="6" w:space="0" w:color="auto"/>
            </w:tcBorders>
            <w:shd w:val="clear" w:color="auto" w:fill="FFFF99"/>
            <w:vAlign w:val="center"/>
          </w:tcPr>
          <w:p w14:paraId="6DD51624" w14:textId="77777777" w:rsidR="003F027D" w:rsidRPr="00821AF6" w:rsidRDefault="003F027D" w:rsidP="00D1104A">
            <w:pPr>
              <w:keepNext/>
              <w:spacing w:before="60" w:after="20" w:line="288" w:lineRule="auto"/>
              <w:ind w:firstLine="0"/>
              <w:jc w:val="center"/>
              <w:rPr>
                <w:rFonts w:cs="Tahoma"/>
                <w:b/>
                <w:sz w:val="20"/>
                <w:szCs w:val="20"/>
              </w:rPr>
            </w:pPr>
          </w:p>
        </w:tc>
        <w:tc>
          <w:tcPr>
            <w:tcW w:w="1276" w:type="dxa"/>
            <w:tcBorders>
              <w:bottom w:val="single" w:sz="6" w:space="0" w:color="auto"/>
            </w:tcBorders>
            <w:shd w:val="clear" w:color="auto" w:fill="FFFF99"/>
            <w:vAlign w:val="center"/>
          </w:tcPr>
          <w:p w14:paraId="22BF47A2"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2018</w:t>
            </w:r>
          </w:p>
        </w:tc>
        <w:tc>
          <w:tcPr>
            <w:tcW w:w="1276" w:type="dxa"/>
            <w:tcBorders>
              <w:bottom w:val="single" w:sz="6" w:space="0" w:color="auto"/>
            </w:tcBorders>
            <w:shd w:val="clear" w:color="auto" w:fill="FFFF99"/>
            <w:vAlign w:val="center"/>
          </w:tcPr>
          <w:p w14:paraId="1F2BE2B4"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2019</w:t>
            </w:r>
          </w:p>
        </w:tc>
        <w:tc>
          <w:tcPr>
            <w:tcW w:w="1283" w:type="dxa"/>
            <w:tcBorders>
              <w:bottom w:val="single" w:sz="6" w:space="0" w:color="auto"/>
            </w:tcBorders>
            <w:shd w:val="clear" w:color="auto" w:fill="FFFF99"/>
            <w:vAlign w:val="center"/>
          </w:tcPr>
          <w:p w14:paraId="71A4C67D"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2020</w:t>
            </w:r>
          </w:p>
        </w:tc>
      </w:tr>
      <w:tr w:rsidR="003F027D" w:rsidRPr="00821AF6" w14:paraId="1BC030FD" w14:textId="77777777" w:rsidTr="003F027D">
        <w:trPr>
          <w:cantSplit/>
          <w:jc w:val="center"/>
        </w:trPr>
        <w:tc>
          <w:tcPr>
            <w:tcW w:w="639" w:type="dxa"/>
            <w:tcBorders>
              <w:top w:val="single" w:sz="6" w:space="0" w:color="auto"/>
              <w:left w:val="single" w:sz="4" w:space="0" w:color="auto"/>
              <w:bottom w:val="dotted" w:sz="4" w:space="0" w:color="auto"/>
              <w:right w:val="single" w:sz="4" w:space="0" w:color="auto"/>
            </w:tcBorders>
            <w:shd w:val="clear" w:color="auto" w:fill="FBE4D5" w:themeFill="accent2" w:themeFillTint="33"/>
            <w:vAlign w:val="center"/>
          </w:tcPr>
          <w:p w14:paraId="454885CD"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A</w:t>
            </w:r>
          </w:p>
        </w:tc>
        <w:tc>
          <w:tcPr>
            <w:tcW w:w="8433" w:type="dxa"/>
            <w:gridSpan w:val="4"/>
            <w:tcBorders>
              <w:top w:val="single" w:sz="6" w:space="0" w:color="auto"/>
              <w:left w:val="single" w:sz="4" w:space="0" w:color="auto"/>
              <w:bottom w:val="dotted" w:sz="4" w:space="0" w:color="auto"/>
              <w:right w:val="single" w:sz="4" w:space="0" w:color="auto"/>
            </w:tcBorders>
            <w:shd w:val="clear" w:color="auto" w:fill="FBE4D5" w:themeFill="accent2" w:themeFillTint="33"/>
            <w:vAlign w:val="center"/>
          </w:tcPr>
          <w:p w14:paraId="0A41DCCC" w14:textId="77777777" w:rsidR="003F027D" w:rsidRPr="00821AF6" w:rsidRDefault="003F027D" w:rsidP="00D1104A">
            <w:pPr>
              <w:keepNext/>
              <w:spacing w:before="60" w:after="20" w:line="288" w:lineRule="auto"/>
              <w:ind w:firstLine="0"/>
              <w:jc w:val="left"/>
              <w:rPr>
                <w:rFonts w:cs="Tahoma"/>
                <w:b/>
                <w:sz w:val="20"/>
                <w:szCs w:val="20"/>
              </w:rPr>
            </w:pPr>
            <w:r w:rsidRPr="00821AF6">
              <w:rPr>
                <w:rFonts w:cs="Tahoma"/>
                <w:b/>
                <w:sz w:val="20"/>
                <w:szCs w:val="20"/>
              </w:rPr>
              <w:t>Przepływy środków pieniężnych z działalności operacyjnej</w:t>
            </w:r>
          </w:p>
        </w:tc>
      </w:tr>
      <w:tr w:rsidR="003F027D" w:rsidRPr="00821AF6" w14:paraId="7C29BECE" w14:textId="77777777" w:rsidTr="003F027D">
        <w:trPr>
          <w:cantSplit/>
          <w:jc w:val="center"/>
        </w:trPr>
        <w:tc>
          <w:tcPr>
            <w:tcW w:w="639" w:type="dxa"/>
            <w:tcBorders>
              <w:top w:val="single" w:sz="6" w:space="0" w:color="auto"/>
              <w:left w:val="single" w:sz="4" w:space="0" w:color="auto"/>
              <w:bottom w:val="single" w:sz="4" w:space="0" w:color="auto"/>
              <w:right w:val="single" w:sz="4" w:space="0" w:color="auto"/>
            </w:tcBorders>
            <w:vAlign w:val="center"/>
          </w:tcPr>
          <w:p w14:paraId="37241A33"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I</w:t>
            </w:r>
          </w:p>
        </w:tc>
        <w:tc>
          <w:tcPr>
            <w:tcW w:w="4598" w:type="dxa"/>
            <w:tcBorders>
              <w:top w:val="single" w:sz="6" w:space="0" w:color="auto"/>
              <w:left w:val="single" w:sz="4" w:space="0" w:color="auto"/>
              <w:bottom w:val="single" w:sz="4" w:space="0" w:color="auto"/>
              <w:right w:val="single" w:sz="4" w:space="0" w:color="auto"/>
            </w:tcBorders>
            <w:vAlign w:val="center"/>
          </w:tcPr>
          <w:p w14:paraId="7F0DEA85" w14:textId="77777777" w:rsidR="003F027D" w:rsidRPr="00821AF6" w:rsidRDefault="003F027D" w:rsidP="00D1104A">
            <w:pPr>
              <w:keepNext/>
              <w:spacing w:before="60" w:after="20" w:line="288" w:lineRule="auto"/>
              <w:ind w:firstLine="0"/>
              <w:jc w:val="left"/>
              <w:rPr>
                <w:rFonts w:cs="Tahoma"/>
                <w:b/>
                <w:sz w:val="20"/>
                <w:szCs w:val="20"/>
              </w:rPr>
            </w:pPr>
            <w:r w:rsidRPr="00821AF6">
              <w:rPr>
                <w:rFonts w:cs="Tahoma"/>
                <w:b/>
                <w:sz w:val="20"/>
                <w:szCs w:val="20"/>
              </w:rPr>
              <w:t>Zysk netto</w:t>
            </w:r>
          </w:p>
        </w:tc>
        <w:tc>
          <w:tcPr>
            <w:tcW w:w="1276" w:type="dxa"/>
            <w:tcBorders>
              <w:top w:val="single" w:sz="6" w:space="0" w:color="auto"/>
              <w:left w:val="single" w:sz="4" w:space="0" w:color="auto"/>
              <w:bottom w:val="single" w:sz="4" w:space="0" w:color="auto"/>
              <w:right w:val="single" w:sz="4" w:space="0" w:color="auto"/>
            </w:tcBorders>
            <w:vAlign w:val="center"/>
          </w:tcPr>
          <w:p w14:paraId="53EAE1E8" w14:textId="29C4DA9A" w:rsidR="003F027D" w:rsidRPr="00821AF6" w:rsidRDefault="00D1104A" w:rsidP="00D1104A">
            <w:pPr>
              <w:keepNext/>
              <w:spacing w:before="60" w:after="20" w:line="288" w:lineRule="auto"/>
              <w:ind w:firstLine="0"/>
              <w:jc w:val="right"/>
              <w:rPr>
                <w:rFonts w:cs="Tahoma"/>
                <w:b/>
                <w:sz w:val="20"/>
                <w:szCs w:val="20"/>
              </w:rPr>
            </w:pPr>
            <w:r>
              <w:rPr>
                <w:rFonts w:cs="Tahoma"/>
                <w:b/>
                <w:sz w:val="20"/>
                <w:szCs w:val="20"/>
              </w:rPr>
              <w:t>227,6</w:t>
            </w:r>
          </w:p>
        </w:tc>
        <w:tc>
          <w:tcPr>
            <w:tcW w:w="1276" w:type="dxa"/>
            <w:tcBorders>
              <w:top w:val="single" w:sz="6" w:space="0" w:color="auto"/>
              <w:left w:val="single" w:sz="4" w:space="0" w:color="auto"/>
              <w:bottom w:val="single" w:sz="4" w:space="0" w:color="auto"/>
              <w:right w:val="single" w:sz="4" w:space="0" w:color="auto"/>
            </w:tcBorders>
            <w:vAlign w:val="center"/>
          </w:tcPr>
          <w:p w14:paraId="74E96934" w14:textId="0617DA79" w:rsidR="003F027D" w:rsidRPr="00821AF6" w:rsidRDefault="00D1104A" w:rsidP="00D1104A">
            <w:pPr>
              <w:keepNext/>
              <w:spacing w:before="60" w:after="20" w:line="288" w:lineRule="auto"/>
              <w:ind w:firstLine="0"/>
              <w:jc w:val="right"/>
              <w:rPr>
                <w:rFonts w:cs="Tahoma"/>
                <w:b/>
                <w:sz w:val="20"/>
                <w:szCs w:val="20"/>
              </w:rPr>
            </w:pPr>
            <w:r>
              <w:rPr>
                <w:rFonts w:cs="Tahoma"/>
                <w:b/>
                <w:sz w:val="20"/>
                <w:szCs w:val="20"/>
              </w:rPr>
              <w:t>1 917,1</w:t>
            </w:r>
          </w:p>
        </w:tc>
        <w:tc>
          <w:tcPr>
            <w:tcW w:w="1283" w:type="dxa"/>
            <w:tcBorders>
              <w:top w:val="single" w:sz="6" w:space="0" w:color="auto"/>
              <w:left w:val="single" w:sz="4" w:space="0" w:color="auto"/>
              <w:bottom w:val="single" w:sz="4" w:space="0" w:color="auto"/>
              <w:right w:val="single" w:sz="4" w:space="0" w:color="auto"/>
            </w:tcBorders>
            <w:vAlign w:val="center"/>
          </w:tcPr>
          <w:p w14:paraId="3975ED9F" w14:textId="5C251332" w:rsidR="003F027D" w:rsidRPr="00821AF6" w:rsidRDefault="00D1104A" w:rsidP="00D1104A">
            <w:pPr>
              <w:keepNext/>
              <w:spacing w:before="60" w:after="20" w:line="288" w:lineRule="auto"/>
              <w:ind w:firstLine="0"/>
              <w:jc w:val="right"/>
              <w:rPr>
                <w:rFonts w:cs="Tahoma"/>
                <w:b/>
                <w:sz w:val="20"/>
                <w:szCs w:val="20"/>
              </w:rPr>
            </w:pPr>
            <w:r>
              <w:rPr>
                <w:rFonts w:cs="Tahoma"/>
                <w:b/>
                <w:sz w:val="20"/>
                <w:szCs w:val="20"/>
              </w:rPr>
              <w:t>255,3</w:t>
            </w:r>
          </w:p>
        </w:tc>
      </w:tr>
      <w:tr w:rsidR="003F027D" w:rsidRPr="00821AF6" w14:paraId="301D0BD5"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6889E111"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II</w:t>
            </w:r>
          </w:p>
        </w:tc>
        <w:tc>
          <w:tcPr>
            <w:tcW w:w="4598" w:type="dxa"/>
            <w:tcBorders>
              <w:top w:val="single" w:sz="4" w:space="0" w:color="auto"/>
              <w:left w:val="single" w:sz="4" w:space="0" w:color="auto"/>
              <w:bottom w:val="single" w:sz="4" w:space="0" w:color="auto"/>
              <w:right w:val="single" w:sz="4" w:space="0" w:color="auto"/>
            </w:tcBorders>
            <w:vAlign w:val="center"/>
          </w:tcPr>
          <w:p w14:paraId="0C8C2950" w14:textId="77777777" w:rsidR="003F027D" w:rsidRPr="00821AF6" w:rsidRDefault="003F027D" w:rsidP="00D1104A">
            <w:pPr>
              <w:keepNext/>
              <w:spacing w:before="60" w:after="20" w:line="288" w:lineRule="auto"/>
              <w:ind w:firstLine="0"/>
              <w:jc w:val="left"/>
              <w:rPr>
                <w:rFonts w:cs="Tahoma"/>
                <w:b/>
                <w:sz w:val="20"/>
                <w:szCs w:val="20"/>
              </w:rPr>
            </w:pPr>
            <w:r w:rsidRPr="00821AF6">
              <w:rPr>
                <w:rFonts w:cs="Tahoma"/>
                <w:b/>
                <w:sz w:val="20"/>
                <w:szCs w:val="20"/>
              </w:rPr>
              <w:t>Korekty razem</w:t>
            </w:r>
          </w:p>
        </w:tc>
        <w:tc>
          <w:tcPr>
            <w:tcW w:w="1276" w:type="dxa"/>
            <w:tcBorders>
              <w:top w:val="single" w:sz="4" w:space="0" w:color="auto"/>
              <w:left w:val="single" w:sz="4" w:space="0" w:color="auto"/>
              <w:bottom w:val="single" w:sz="4" w:space="0" w:color="auto"/>
              <w:right w:val="single" w:sz="4" w:space="0" w:color="auto"/>
            </w:tcBorders>
            <w:vAlign w:val="center"/>
          </w:tcPr>
          <w:p w14:paraId="78199742" w14:textId="5E911E40" w:rsidR="003F027D" w:rsidRPr="00821AF6" w:rsidRDefault="00D1104A" w:rsidP="00D1104A">
            <w:pPr>
              <w:keepNext/>
              <w:spacing w:before="60" w:after="20" w:line="288" w:lineRule="auto"/>
              <w:ind w:firstLine="0"/>
              <w:jc w:val="right"/>
              <w:rPr>
                <w:rFonts w:cs="Tahoma"/>
                <w:b/>
                <w:sz w:val="20"/>
                <w:szCs w:val="20"/>
              </w:rPr>
            </w:pPr>
            <w:r>
              <w:rPr>
                <w:rFonts w:cs="Tahoma"/>
                <w:b/>
                <w:sz w:val="20"/>
                <w:szCs w:val="20"/>
              </w:rPr>
              <w:t>1 830,5</w:t>
            </w:r>
          </w:p>
        </w:tc>
        <w:tc>
          <w:tcPr>
            <w:tcW w:w="1276" w:type="dxa"/>
            <w:tcBorders>
              <w:top w:val="single" w:sz="4" w:space="0" w:color="auto"/>
              <w:left w:val="single" w:sz="4" w:space="0" w:color="auto"/>
              <w:bottom w:val="single" w:sz="4" w:space="0" w:color="auto"/>
              <w:right w:val="single" w:sz="4" w:space="0" w:color="auto"/>
            </w:tcBorders>
            <w:vAlign w:val="center"/>
          </w:tcPr>
          <w:p w14:paraId="08CCBDD5" w14:textId="172A15DD" w:rsidR="003F027D" w:rsidRPr="00821AF6" w:rsidRDefault="00D1104A" w:rsidP="00D1104A">
            <w:pPr>
              <w:keepNext/>
              <w:spacing w:before="60" w:after="20" w:line="288" w:lineRule="auto"/>
              <w:ind w:firstLine="0"/>
              <w:jc w:val="right"/>
              <w:rPr>
                <w:rFonts w:cs="Tahoma"/>
                <w:b/>
                <w:sz w:val="20"/>
                <w:szCs w:val="20"/>
              </w:rPr>
            </w:pPr>
            <w:r>
              <w:rPr>
                <w:rFonts w:cs="Tahoma"/>
                <w:b/>
                <w:sz w:val="20"/>
                <w:szCs w:val="20"/>
              </w:rPr>
              <w:t>2 278,0</w:t>
            </w:r>
          </w:p>
        </w:tc>
        <w:tc>
          <w:tcPr>
            <w:tcW w:w="1283" w:type="dxa"/>
            <w:tcBorders>
              <w:top w:val="single" w:sz="4" w:space="0" w:color="auto"/>
              <w:left w:val="single" w:sz="4" w:space="0" w:color="auto"/>
              <w:bottom w:val="single" w:sz="4" w:space="0" w:color="auto"/>
              <w:right w:val="single" w:sz="4" w:space="0" w:color="auto"/>
            </w:tcBorders>
            <w:vAlign w:val="center"/>
          </w:tcPr>
          <w:p w14:paraId="319B5BC9" w14:textId="449573BC" w:rsidR="003F027D" w:rsidRPr="00821AF6" w:rsidRDefault="00D1104A" w:rsidP="00D1104A">
            <w:pPr>
              <w:keepNext/>
              <w:spacing w:before="60" w:after="20" w:line="288" w:lineRule="auto"/>
              <w:ind w:firstLine="0"/>
              <w:jc w:val="right"/>
              <w:rPr>
                <w:rFonts w:cs="Tahoma"/>
                <w:b/>
                <w:sz w:val="20"/>
                <w:szCs w:val="20"/>
              </w:rPr>
            </w:pPr>
            <w:r>
              <w:rPr>
                <w:rFonts w:cs="Tahoma"/>
                <w:b/>
                <w:sz w:val="20"/>
                <w:szCs w:val="20"/>
              </w:rPr>
              <w:t>-97,1</w:t>
            </w:r>
          </w:p>
        </w:tc>
      </w:tr>
      <w:tr w:rsidR="003F027D" w:rsidRPr="00821AF6" w14:paraId="55A354FD"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655BADBD" w14:textId="77777777" w:rsidR="003F027D" w:rsidRPr="00821AF6" w:rsidRDefault="003F027D" w:rsidP="00D1104A">
            <w:pPr>
              <w:keepNext/>
              <w:spacing w:before="60" w:after="20" w:line="288" w:lineRule="auto"/>
              <w:ind w:firstLine="0"/>
              <w:jc w:val="center"/>
              <w:rPr>
                <w:rFonts w:cs="Tahoma"/>
                <w:i/>
                <w:sz w:val="20"/>
                <w:szCs w:val="20"/>
              </w:rPr>
            </w:pPr>
            <w:proofErr w:type="spellStart"/>
            <w:r w:rsidRPr="00821AF6">
              <w:rPr>
                <w:rFonts w:cs="Tahoma"/>
                <w:i/>
                <w:sz w:val="20"/>
                <w:szCs w:val="20"/>
              </w:rPr>
              <w:t>IIa</w:t>
            </w:r>
            <w:proofErr w:type="spellEnd"/>
          </w:p>
        </w:tc>
        <w:tc>
          <w:tcPr>
            <w:tcW w:w="4598" w:type="dxa"/>
            <w:tcBorders>
              <w:top w:val="single" w:sz="4" w:space="0" w:color="auto"/>
              <w:left w:val="single" w:sz="4" w:space="0" w:color="auto"/>
              <w:bottom w:val="single" w:sz="4" w:space="0" w:color="auto"/>
              <w:right w:val="single" w:sz="4" w:space="0" w:color="auto"/>
            </w:tcBorders>
            <w:vAlign w:val="center"/>
          </w:tcPr>
          <w:p w14:paraId="092510D1" w14:textId="77777777" w:rsidR="003F027D" w:rsidRPr="00821AF6" w:rsidRDefault="003F027D" w:rsidP="00D1104A">
            <w:pPr>
              <w:keepNext/>
              <w:spacing w:before="60" w:after="20" w:line="288" w:lineRule="auto"/>
              <w:ind w:firstLine="0"/>
              <w:jc w:val="left"/>
              <w:rPr>
                <w:rFonts w:cs="Tahoma"/>
                <w:i/>
                <w:sz w:val="20"/>
                <w:szCs w:val="20"/>
              </w:rPr>
            </w:pPr>
            <w:r w:rsidRPr="00821AF6">
              <w:rPr>
                <w:rFonts w:cs="Tahoma"/>
                <w:i/>
                <w:sz w:val="20"/>
                <w:szCs w:val="20"/>
              </w:rPr>
              <w:softHyphen/>
              <w:t>– w tym amortyzacja</w:t>
            </w:r>
          </w:p>
        </w:tc>
        <w:tc>
          <w:tcPr>
            <w:tcW w:w="1276" w:type="dxa"/>
            <w:tcBorders>
              <w:top w:val="single" w:sz="4" w:space="0" w:color="auto"/>
              <w:left w:val="single" w:sz="4" w:space="0" w:color="auto"/>
              <w:bottom w:val="single" w:sz="4" w:space="0" w:color="auto"/>
              <w:right w:val="single" w:sz="4" w:space="0" w:color="auto"/>
            </w:tcBorders>
            <w:vAlign w:val="center"/>
          </w:tcPr>
          <w:p w14:paraId="6E02DDA4" w14:textId="178E64B2" w:rsidR="003F027D" w:rsidRPr="00821AF6" w:rsidRDefault="00D1104A" w:rsidP="00D1104A">
            <w:pPr>
              <w:keepNext/>
              <w:spacing w:before="60" w:after="20" w:line="288" w:lineRule="auto"/>
              <w:ind w:firstLine="0"/>
              <w:jc w:val="right"/>
              <w:rPr>
                <w:rFonts w:cs="Tahoma"/>
                <w:i/>
                <w:sz w:val="20"/>
                <w:szCs w:val="20"/>
              </w:rPr>
            </w:pPr>
            <w:r>
              <w:rPr>
                <w:rFonts w:cs="Tahoma"/>
                <w:i/>
                <w:sz w:val="20"/>
                <w:szCs w:val="20"/>
              </w:rPr>
              <w:t>1 456,9</w:t>
            </w:r>
          </w:p>
        </w:tc>
        <w:tc>
          <w:tcPr>
            <w:tcW w:w="1276" w:type="dxa"/>
            <w:tcBorders>
              <w:top w:val="single" w:sz="4" w:space="0" w:color="auto"/>
              <w:left w:val="single" w:sz="4" w:space="0" w:color="auto"/>
              <w:bottom w:val="single" w:sz="4" w:space="0" w:color="auto"/>
              <w:right w:val="single" w:sz="4" w:space="0" w:color="auto"/>
            </w:tcBorders>
            <w:vAlign w:val="center"/>
          </w:tcPr>
          <w:p w14:paraId="7EFDD3DC" w14:textId="685F246E" w:rsidR="003F027D" w:rsidRPr="00821AF6" w:rsidRDefault="00D1104A" w:rsidP="00D1104A">
            <w:pPr>
              <w:keepNext/>
              <w:spacing w:before="60" w:after="20" w:line="288" w:lineRule="auto"/>
              <w:ind w:firstLine="0"/>
              <w:jc w:val="right"/>
              <w:rPr>
                <w:rFonts w:cs="Tahoma"/>
                <w:i/>
                <w:sz w:val="20"/>
                <w:szCs w:val="20"/>
              </w:rPr>
            </w:pPr>
            <w:r>
              <w:rPr>
                <w:rFonts w:cs="Tahoma"/>
                <w:i/>
                <w:sz w:val="20"/>
                <w:szCs w:val="20"/>
              </w:rPr>
              <w:t>1 385,2</w:t>
            </w:r>
          </w:p>
        </w:tc>
        <w:tc>
          <w:tcPr>
            <w:tcW w:w="1283" w:type="dxa"/>
            <w:tcBorders>
              <w:top w:val="single" w:sz="4" w:space="0" w:color="auto"/>
              <w:left w:val="single" w:sz="4" w:space="0" w:color="auto"/>
              <w:bottom w:val="single" w:sz="4" w:space="0" w:color="auto"/>
              <w:right w:val="single" w:sz="4" w:space="0" w:color="auto"/>
            </w:tcBorders>
            <w:vAlign w:val="center"/>
          </w:tcPr>
          <w:p w14:paraId="6AB5A5B7" w14:textId="4E560685" w:rsidR="003F027D" w:rsidRPr="00821AF6" w:rsidRDefault="00D1104A" w:rsidP="00D1104A">
            <w:pPr>
              <w:keepNext/>
              <w:spacing w:before="60" w:after="20" w:line="288" w:lineRule="auto"/>
              <w:ind w:firstLine="0"/>
              <w:jc w:val="right"/>
              <w:rPr>
                <w:rFonts w:cs="Tahoma"/>
                <w:i/>
                <w:sz w:val="20"/>
                <w:szCs w:val="20"/>
              </w:rPr>
            </w:pPr>
            <w:r>
              <w:rPr>
                <w:rFonts w:cs="Tahoma"/>
                <w:i/>
                <w:sz w:val="20"/>
                <w:szCs w:val="20"/>
              </w:rPr>
              <w:t>1 367,6</w:t>
            </w:r>
          </w:p>
        </w:tc>
      </w:tr>
      <w:tr w:rsidR="003F027D" w:rsidRPr="00821AF6" w14:paraId="22B59CA0"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7600633F" w14:textId="77777777" w:rsidR="003F027D" w:rsidRPr="00821AF6" w:rsidRDefault="003F027D" w:rsidP="00D1104A">
            <w:pPr>
              <w:spacing w:before="60" w:after="20" w:line="288" w:lineRule="auto"/>
              <w:ind w:firstLine="0"/>
              <w:jc w:val="center"/>
              <w:rPr>
                <w:rFonts w:cs="Tahoma"/>
                <w:b/>
                <w:sz w:val="20"/>
                <w:szCs w:val="20"/>
              </w:rPr>
            </w:pPr>
            <w:r w:rsidRPr="00821AF6">
              <w:rPr>
                <w:rFonts w:cs="Tahoma"/>
                <w:b/>
                <w:sz w:val="20"/>
                <w:szCs w:val="20"/>
              </w:rPr>
              <w:t>III</w:t>
            </w:r>
          </w:p>
        </w:tc>
        <w:tc>
          <w:tcPr>
            <w:tcW w:w="4598" w:type="dxa"/>
            <w:tcBorders>
              <w:top w:val="single" w:sz="4" w:space="0" w:color="auto"/>
              <w:left w:val="single" w:sz="4" w:space="0" w:color="auto"/>
              <w:bottom w:val="single" w:sz="4" w:space="0" w:color="auto"/>
              <w:right w:val="single" w:sz="4" w:space="0" w:color="auto"/>
            </w:tcBorders>
            <w:vAlign w:val="center"/>
          </w:tcPr>
          <w:p w14:paraId="07EC52F7" w14:textId="77777777" w:rsidR="003F027D" w:rsidRPr="00821AF6" w:rsidRDefault="003F027D" w:rsidP="00D1104A">
            <w:pPr>
              <w:spacing w:before="60" w:after="20" w:line="288" w:lineRule="auto"/>
              <w:ind w:firstLine="0"/>
              <w:jc w:val="left"/>
              <w:rPr>
                <w:rFonts w:cs="Tahoma"/>
                <w:b/>
                <w:sz w:val="20"/>
                <w:szCs w:val="20"/>
              </w:rPr>
            </w:pPr>
            <w:r w:rsidRPr="00821AF6">
              <w:rPr>
                <w:rFonts w:cs="Tahoma"/>
                <w:b/>
                <w:sz w:val="20"/>
                <w:szCs w:val="20"/>
              </w:rPr>
              <w:t xml:space="preserve">Przepływy pieniężne </w:t>
            </w:r>
            <w:r w:rsidRPr="00821AF6">
              <w:rPr>
                <w:rFonts w:cs="Tahoma"/>
                <w:b/>
                <w:sz w:val="20"/>
                <w:szCs w:val="20"/>
              </w:rPr>
              <w:br/>
              <w:t>z działalności operacyjnej</w:t>
            </w:r>
          </w:p>
        </w:tc>
        <w:tc>
          <w:tcPr>
            <w:tcW w:w="1276" w:type="dxa"/>
            <w:tcBorders>
              <w:top w:val="single" w:sz="4" w:space="0" w:color="auto"/>
              <w:left w:val="single" w:sz="4" w:space="0" w:color="auto"/>
              <w:bottom w:val="single" w:sz="4" w:space="0" w:color="auto"/>
              <w:right w:val="single" w:sz="4" w:space="0" w:color="auto"/>
            </w:tcBorders>
            <w:vAlign w:val="center"/>
          </w:tcPr>
          <w:p w14:paraId="10377093" w14:textId="3F450328" w:rsidR="003F027D" w:rsidRPr="00821AF6" w:rsidRDefault="00D1104A" w:rsidP="00D1104A">
            <w:pPr>
              <w:spacing w:before="60" w:after="20" w:line="288" w:lineRule="auto"/>
              <w:ind w:firstLine="0"/>
              <w:jc w:val="right"/>
              <w:rPr>
                <w:rFonts w:cs="Tahoma"/>
                <w:b/>
                <w:sz w:val="20"/>
                <w:szCs w:val="20"/>
              </w:rPr>
            </w:pPr>
            <w:r>
              <w:rPr>
                <w:rFonts w:cs="Tahoma"/>
                <w:b/>
                <w:sz w:val="20"/>
                <w:szCs w:val="20"/>
              </w:rPr>
              <w:t>2 058,0</w:t>
            </w:r>
          </w:p>
        </w:tc>
        <w:tc>
          <w:tcPr>
            <w:tcW w:w="1276" w:type="dxa"/>
            <w:tcBorders>
              <w:top w:val="single" w:sz="4" w:space="0" w:color="auto"/>
              <w:left w:val="single" w:sz="4" w:space="0" w:color="auto"/>
              <w:bottom w:val="single" w:sz="4" w:space="0" w:color="auto"/>
              <w:right w:val="single" w:sz="4" w:space="0" w:color="auto"/>
            </w:tcBorders>
            <w:vAlign w:val="center"/>
          </w:tcPr>
          <w:p w14:paraId="39E67CA3" w14:textId="35B3D928" w:rsidR="003F027D" w:rsidRPr="00821AF6" w:rsidRDefault="00D1104A" w:rsidP="00D1104A">
            <w:pPr>
              <w:spacing w:before="60" w:after="20" w:line="288" w:lineRule="auto"/>
              <w:ind w:firstLine="0"/>
              <w:jc w:val="right"/>
              <w:rPr>
                <w:rFonts w:cs="Tahoma"/>
                <w:b/>
                <w:sz w:val="20"/>
                <w:szCs w:val="20"/>
              </w:rPr>
            </w:pPr>
            <w:r>
              <w:rPr>
                <w:rFonts w:cs="Tahoma"/>
                <w:b/>
                <w:sz w:val="20"/>
                <w:szCs w:val="20"/>
              </w:rPr>
              <w:t>4 195,1</w:t>
            </w:r>
          </w:p>
        </w:tc>
        <w:tc>
          <w:tcPr>
            <w:tcW w:w="1283" w:type="dxa"/>
            <w:tcBorders>
              <w:top w:val="single" w:sz="4" w:space="0" w:color="auto"/>
              <w:left w:val="single" w:sz="4" w:space="0" w:color="auto"/>
              <w:bottom w:val="single" w:sz="4" w:space="0" w:color="auto"/>
              <w:right w:val="single" w:sz="4" w:space="0" w:color="auto"/>
            </w:tcBorders>
            <w:vAlign w:val="center"/>
          </w:tcPr>
          <w:p w14:paraId="5A484CC2" w14:textId="4F9EAAF9" w:rsidR="003F027D" w:rsidRPr="00821AF6" w:rsidRDefault="00D1104A" w:rsidP="00D1104A">
            <w:pPr>
              <w:spacing w:before="60" w:after="20" w:line="288" w:lineRule="auto"/>
              <w:ind w:firstLine="0"/>
              <w:jc w:val="right"/>
              <w:rPr>
                <w:rFonts w:cs="Tahoma"/>
                <w:b/>
                <w:sz w:val="20"/>
                <w:szCs w:val="20"/>
              </w:rPr>
            </w:pPr>
            <w:r>
              <w:rPr>
                <w:rFonts w:cs="Tahoma"/>
                <w:b/>
                <w:sz w:val="20"/>
                <w:szCs w:val="20"/>
              </w:rPr>
              <w:t>158,2</w:t>
            </w:r>
          </w:p>
        </w:tc>
      </w:tr>
      <w:tr w:rsidR="003F027D" w:rsidRPr="00821AF6" w14:paraId="7AC41421" w14:textId="77777777" w:rsidTr="003F027D">
        <w:trPr>
          <w:cantSplit/>
          <w:jc w:val="center"/>
        </w:trPr>
        <w:tc>
          <w:tcPr>
            <w:tcW w:w="639" w:type="dxa"/>
            <w:tcBorders>
              <w:top w:val="single" w:sz="6" w:space="0" w:color="auto"/>
              <w:left w:val="single" w:sz="4" w:space="0" w:color="auto"/>
              <w:bottom w:val="dotted" w:sz="4" w:space="0" w:color="auto"/>
              <w:right w:val="single" w:sz="4" w:space="0" w:color="auto"/>
            </w:tcBorders>
            <w:shd w:val="clear" w:color="auto" w:fill="FBE4D5" w:themeFill="accent2" w:themeFillTint="33"/>
            <w:vAlign w:val="center"/>
          </w:tcPr>
          <w:p w14:paraId="2C465A0D"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B</w:t>
            </w:r>
          </w:p>
        </w:tc>
        <w:tc>
          <w:tcPr>
            <w:tcW w:w="8433" w:type="dxa"/>
            <w:gridSpan w:val="4"/>
            <w:tcBorders>
              <w:top w:val="single" w:sz="6" w:space="0" w:color="auto"/>
              <w:left w:val="single" w:sz="4" w:space="0" w:color="auto"/>
              <w:bottom w:val="dotted" w:sz="4" w:space="0" w:color="auto"/>
              <w:right w:val="single" w:sz="4" w:space="0" w:color="auto"/>
            </w:tcBorders>
            <w:shd w:val="clear" w:color="auto" w:fill="FBE4D5" w:themeFill="accent2" w:themeFillTint="33"/>
            <w:vAlign w:val="center"/>
          </w:tcPr>
          <w:p w14:paraId="21F979D8" w14:textId="77777777" w:rsidR="003F027D" w:rsidRPr="00821AF6" w:rsidRDefault="003F027D" w:rsidP="00D1104A">
            <w:pPr>
              <w:keepNext/>
              <w:spacing w:before="60" w:after="20" w:line="288" w:lineRule="auto"/>
              <w:ind w:firstLine="0"/>
              <w:jc w:val="left"/>
              <w:rPr>
                <w:rFonts w:cs="Tahoma"/>
                <w:b/>
                <w:sz w:val="20"/>
                <w:szCs w:val="20"/>
              </w:rPr>
            </w:pPr>
            <w:r w:rsidRPr="00821AF6">
              <w:rPr>
                <w:rFonts w:cs="Tahoma"/>
                <w:b/>
                <w:sz w:val="20"/>
                <w:szCs w:val="20"/>
              </w:rPr>
              <w:t>Przepływy środków pieniężnych z działalności inwestycyjnej</w:t>
            </w:r>
          </w:p>
        </w:tc>
      </w:tr>
      <w:tr w:rsidR="003F027D" w:rsidRPr="00821AF6" w14:paraId="0DDC1FCE"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4F452CD3"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I</w:t>
            </w:r>
          </w:p>
        </w:tc>
        <w:tc>
          <w:tcPr>
            <w:tcW w:w="4598" w:type="dxa"/>
            <w:tcBorders>
              <w:top w:val="single" w:sz="4" w:space="0" w:color="auto"/>
              <w:left w:val="single" w:sz="4" w:space="0" w:color="auto"/>
              <w:bottom w:val="single" w:sz="4" w:space="0" w:color="auto"/>
              <w:right w:val="single" w:sz="4" w:space="0" w:color="auto"/>
            </w:tcBorders>
            <w:vAlign w:val="center"/>
          </w:tcPr>
          <w:p w14:paraId="2BD577CA" w14:textId="77777777" w:rsidR="003F027D" w:rsidRPr="00821AF6" w:rsidRDefault="003F027D" w:rsidP="00D1104A">
            <w:pPr>
              <w:keepNext/>
              <w:spacing w:before="60" w:after="20" w:line="288" w:lineRule="auto"/>
              <w:ind w:firstLine="0"/>
              <w:jc w:val="left"/>
              <w:rPr>
                <w:rFonts w:cs="Tahoma"/>
                <w:b/>
                <w:sz w:val="20"/>
                <w:szCs w:val="20"/>
              </w:rPr>
            </w:pPr>
            <w:r w:rsidRPr="00821AF6">
              <w:rPr>
                <w:rFonts w:cs="Tahoma"/>
                <w:b/>
                <w:sz w:val="20"/>
                <w:szCs w:val="20"/>
              </w:rPr>
              <w:t>Wpływy</w:t>
            </w:r>
          </w:p>
        </w:tc>
        <w:tc>
          <w:tcPr>
            <w:tcW w:w="1276" w:type="dxa"/>
            <w:tcBorders>
              <w:top w:val="single" w:sz="4" w:space="0" w:color="auto"/>
              <w:left w:val="single" w:sz="4" w:space="0" w:color="auto"/>
              <w:bottom w:val="single" w:sz="4" w:space="0" w:color="auto"/>
              <w:right w:val="single" w:sz="4" w:space="0" w:color="auto"/>
            </w:tcBorders>
            <w:vAlign w:val="center"/>
          </w:tcPr>
          <w:p w14:paraId="376151C1" w14:textId="1511EB53" w:rsidR="003F027D" w:rsidRPr="00821AF6" w:rsidRDefault="00D1104A" w:rsidP="00D1104A">
            <w:pPr>
              <w:keepNext/>
              <w:spacing w:before="60" w:after="20" w:line="288" w:lineRule="auto"/>
              <w:ind w:firstLine="0"/>
              <w:jc w:val="right"/>
              <w:rPr>
                <w:rFonts w:cs="Tahoma"/>
                <w:b/>
                <w:sz w:val="20"/>
                <w:szCs w:val="20"/>
              </w:rPr>
            </w:pPr>
            <w:r>
              <w:rPr>
                <w:rFonts w:cs="Tahoma"/>
                <w:b/>
                <w:sz w:val="20"/>
                <w:szCs w:val="20"/>
              </w:rPr>
              <w:t>97,2</w:t>
            </w:r>
          </w:p>
        </w:tc>
        <w:tc>
          <w:tcPr>
            <w:tcW w:w="1276" w:type="dxa"/>
            <w:tcBorders>
              <w:top w:val="single" w:sz="4" w:space="0" w:color="auto"/>
              <w:left w:val="single" w:sz="4" w:space="0" w:color="auto"/>
              <w:bottom w:val="single" w:sz="4" w:space="0" w:color="auto"/>
              <w:right w:val="single" w:sz="4" w:space="0" w:color="auto"/>
            </w:tcBorders>
            <w:vAlign w:val="center"/>
          </w:tcPr>
          <w:p w14:paraId="2B8A3CFF" w14:textId="6B7D92F6" w:rsidR="003F027D" w:rsidRPr="00821AF6" w:rsidRDefault="00D1104A" w:rsidP="00D1104A">
            <w:pPr>
              <w:keepNext/>
              <w:spacing w:before="60" w:after="20" w:line="288" w:lineRule="auto"/>
              <w:ind w:firstLine="0"/>
              <w:jc w:val="right"/>
              <w:rPr>
                <w:rFonts w:cs="Tahoma"/>
                <w:b/>
                <w:sz w:val="20"/>
                <w:szCs w:val="20"/>
              </w:rPr>
            </w:pPr>
            <w:r>
              <w:rPr>
                <w:rFonts w:cs="Tahoma"/>
                <w:b/>
                <w:sz w:val="20"/>
                <w:szCs w:val="20"/>
              </w:rPr>
              <w:t>20,0</w:t>
            </w:r>
          </w:p>
        </w:tc>
        <w:tc>
          <w:tcPr>
            <w:tcW w:w="1283" w:type="dxa"/>
            <w:tcBorders>
              <w:top w:val="single" w:sz="4" w:space="0" w:color="auto"/>
              <w:left w:val="single" w:sz="4" w:space="0" w:color="auto"/>
              <w:bottom w:val="single" w:sz="4" w:space="0" w:color="auto"/>
              <w:right w:val="single" w:sz="4" w:space="0" w:color="auto"/>
            </w:tcBorders>
            <w:vAlign w:val="center"/>
          </w:tcPr>
          <w:p w14:paraId="7152BAFB" w14:textId="4B7BCFF7" w:rsidR="003F027D" w:rsidRPr="00821AF6" w:rsidRDefault="00D1104A" w:rsidP="00D1104A">
            <w:pPr>
              <w:keepNext/>
              <w:spacing w:before="60" w:after="20" w:line="288" w:lineRule="auto"/>
              <w:ind w:firstLine="0"/>
              <w:jc w:val="right"/>
              <w:rPr>
                <w:rFonts w:cs="Tahoma"/>
                <w:b/>
                <w:sz w:val="20"/>
                <w:szCs w:val="20"/>
              </w:rPr>
            </w:pPr>
            <w:r>
              <w:rPr>
                <w:rFonts w:cs="Tahoma"/>
                <w:b/>
                <w:sz w:val="20"/>
                <w:szCs w:val="20"/>
              </w:rPr>
              <w:t>172,3</w:t>
            </w:r>
          </w:p>
        </w:tc>
      </w:tr>
      <w:tr w:rsidR="003F027D" w:rsidRPr="00821AF6" w14:paraId="2513A596" w14:textId="77777777" w:rsidTr="003F027D">
        <w:trPr>
          <w:cantSplit/>
          <w:jc w:val="center"/>
        </w:trPr>
        <w:tc>
          <w:tcPr>
            <w:tcW w:w="639" w:type="dxa"/>
            <w:tcBorders>
              <w:top w:val="dotted" w:sz="4" w:space="0" w:color="auto"/>
              <w:left w:val="single" w:sz="4" w:space="0" w:color="auto"/>
              <w:bottom w:val="single" w:sz="4" w:space="0" w:color="auto"/>
              <w:right w:val="single" w:sz="4" w:space="0" w:color="auto"/>
            </w:tcBorders>
            <w:vAlign w:val="center"/>
          </w:tcPr>
          <w:p w14:paraId="50BCD59C" w14:textId="77777777" w:rsidR="003F027D" w:rsidRPr="00821AF6" w:rsidRDefault="003F027D" w:rsidP="00D1104A">
            <w:pPr>
              <w:spacing w:before="60" w:after="20" w:line="288" w:lineRule="auto"/>
              <w:ind w:firstLine="0"/>
              <w:jc w:val="center"/>
              <w:rPr>
                <w:rFonts w:cs="Tahoma"/>
                <w:i/>
                <w:sz w:val="20"/>
                <w:szCs w:val="20"/>
              </w:rPr>
            </w:pPr>
            <w:proofErr w:type="spellStart"/>
            <w:r w:rsidRPr="00821AF6">
              <w:rPr>
                <w:rFonts w:cs="Tahoma"/>
                <w:i/>
                <w:sz w:val="20"/>
                <w:szCs w:val="20"/>
              </w:rPr>
              <w:t>Ia</w:t>
            </w:r>
            <w:proofErr w:type="spellEnd"/>
          </w:p>
        </w:tc>
        <w:tc>
          <w:tcPr>
            <w:tcW w:w="4598" w:type="dxa"/>
            <w:tcBorders>
              <w:top w:val="dotted" w:sz="4" w:space="0" w:color="auto"/>
              <w:left w:val="single" w:sz="4" w:space="0" w:color="auto"/>
              <w:bottom w:val="single" w:sz="4" w:space="0" w:color="auto"/>
              <w:right w:val="single" w:sz="4" w:space="0" w:color="auto"/>
            </w:tcBorders>
            <w:vAlign w:val="center"/>
          </w:tcPr>
          <w:p w14:paraId="775BAF37" w14:textId="77777777" w:rsidR="003F027D" w:rsidRPr="00821AF6" w:rsidRDefault="003F027D" w:rsidP="00D1104A">
            <w:pPr>
              <w:spacing w:before="60" w:after="20" w:line="288" w:lineRule="auto"/>
              <w:ind w:firstLine="0"/>
              <w:jc w:val="left"/>
              <w:rPr>
                <w:rFonts w:cs="Tahoma"/>
                <w:i/>
                <w:sz w:val="20"/>
                <w:szCs w:val="20"/>
              </w:rPr>
            </w:pPr>
            <w:r w:rsidRPr="00821AF6">
              <w:rPr>
                <w:rFonts w:cs="Tahoma"/>
                <w:i/>
                <w:sz w:val="20"/>
                <w:szCs w:val="20"/>
              </w:rPr>
              <w:softHyphen/>
              <w:t xml:space="preserve">– w tym zbycie </w:t>
            </w:r>
            <w:r>
              <w:rPr>
                <w:rFonts w:cs="Tahoma"/>
                <w:i/>
                <w:sz w:val="20"/>
                <w:szCs w:val="20"/>
              </w:rPr>
              <w:t>aktywów</w:t>
            </w:r>
            <w:r w:rsidRPr="00821AF6">
              <w:rPr>
                <w:rFonts w:cs="Tahoma"/>
                <w:i/>
                <w:sz w:val="20"/>
                <w:szCs w:val="20"/>
              </w:rPr>
              <w:t xml:space="preserve"> trwałych</w:t>
            </w:r>
          </w:p>
        </w:tc>
        <w:tc>
          <w:tcPr>
            <w:tcW w:w="1276" w:type="dxa"/>
            <w:tcBorders>
              <w:top w:val="dotted" w:sz="4" w:space="0" w:color="auto"/>
              <w:left w:val="single" w:sz="4" w:space="0" w:color="auto"/>
              <w:bottom w:val="single" w:sz="4" w:space="0" w:color="auto"/>
              <w:right w:val="single" w:sz="4" w:space="0" w:color="auto"/>
            </w:tcBorders>
            <w:vAlign w:val="center"/>
          </w:tcPr>
          <w:p w14:paraId="135DC041" w14:textId="67E62672" w:rsidR="003F027D" w:rsidRPr="00821AF6" w:rsidRDefault="00D1104A" w:rsidP="00D1104A">
            <w:pPr>
              <w:spacing w:before="60" w:after="20" w:line="288" w:lineRule="auto"/>
              <w:ind w:firstLine="0"/>
              <w:jc w:val="right"/>
              <w:rPr>
                <w:rFonts w:cs="Tahoma"/>
                <w:i/>
                <w:sz w:val="20"/>
                <w:szCs w:val="20"/>
              </w:rPr>
            </w:pPr>
            <w:r>
              <w:rPr>
                <w:rFonts w:cs="Tahoma"/>
                <w:i/>
                <w:sz w:val="20"/>
                <w:szCs w:val="20"/>
              </w:rPr>
              <w:t>97,2</w:t>
            </w:r>
          </w:p>
        </w:tc>
        <w:tc>
          <w:tcPr>
            <w:tcW w:w="1276" w:type="dxa"/>
            <w:tcBorders>
              <w:top w:val="dotted" w:sz="4" w:space="0" w:color="auto"/>
              <w:left w:val="single" w:sz="4" w:space="0" w:color="auto"/>
              <w:bottom w:val="single" w:sz="4" w:space="0" w:color="auto"/>
              <w:right w:val="single" w:sz="4" w:space="0" w:color="auto"/>
            </w:tcBorders>
            <w:vAlign w:val="center"/>
          </w:tcPr>
          <w:p w14:paraId="0EA5270D" w14:textId="035DDCF4" w:rsidR="003F027D" w:rsidRPr="00821AF6" w:rsidRDefault="00D1104A" w:rsidP="00D1104A">
            <w:pPr>
              <w:spacing w:before="60" w:after="20" w:line="288" w:lineRule="auto"/>
              <w:ind w:firstLine="0"/>
              <w:jc w:val="right"/>
              <w:rPr>
                <w:rFonts w:cs="Tahoma"/>
                <w:i/>
                <w:sz w:val="20"/>
                <w:szCs w:val="20"/>
              </w:rPr>
            </w:pPr>
            <w:r>
              <w:rPr>
                <w:rFonts w:cs="Tahoma"/>
                <w:i/>
                <w:sz w:val="20"/>
                <w:szCs w:val="20"/>
              </w:rPr>
              <w:t>20,0</w:t>
            </w:r>
          </w:p>
        </w:tc>
        <w:tc>
          <w:tcPr>
            <w:tcW w:w="1283" w:type="dxa"/>
            <w:tcBorders>
              <w:top w:val="dotted" w:sz="4" w:space="0" w:color="auto"/>
              <w:left w:val="single" w:sz="4" w:space="0" w:color="auto"/>
              <w:bottom w:val="single" w:sz="4" w:space="0" w:color="auto"/>
              <w:right w:val="single" w:sz="4" w:space="0" w:color="auto"/>
            </w:tcBorders>
            <w:vAlign w:val="center"/>
          </w:tcPr>
          <w:p w14:paraId="70D7E25B" w14:textId="42F22195" w:rsidR="003F027D" w:rsidRPr="00821AF6" w:rsidRDefault="00D1104A" w:rsidP="00D1104A">
            <w:pPr>
              <w:spacing w:before="60" w:after="20" w:line="288" w:lineRule="auto"/>
              <w:ind w:firstLine="0"/>
              <w:jc w:val="right"/>
              <w:rPr>
                <w:rFonts w:cs="Tahoma"/>
                <w:i/>
                <w:sz w:val="20"/>
                <w:szCs w:val="20"/>
              </w:rPr>
            </w:pPr>
            <w:r>
              <w:rPr>
                <w:rFonts w:cs="Tahoma"/>
                <w:i/>
                <w:sz w:val="20"/>
                <w:szCs w:val="20"/>
              </w:rPr>
              <w:t>172,3</w:t>
            </w:r>
          </w:p>
        </w:tc>
      </w:tr>
      <w:tr w:rsidR="003F027D" w:rsidRPr="00821AF6" w14:paraId="6DBD6608"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7DC42DF3" w14:textId="77777777" w:rsidR="003F027D" w:rsidRPr="00821AF6" w:rsidRDefault="003F027D" w:rsidP="00D1104A">
            <w:pPr>
              <w:spacing w:before="60" w:after="20" w:line="288" w:lineRule="auto"/>
              <w:ind w:firstLine="0"/>
              <w:jc w:val="center"/>
              <w:rPr>
                <w:rFonts w:cs="Tahoma"/>
                <w:b/>
                <w:sz w:val="20"/>
                <w:szCs w:val="20"/>
              </w:rPr>
            </w:pPr>
            <w:r w:rsidRPr="00821AF6">
              <w:rPr>
                <w:rFonts w:cs="Tahoma"/>
                <w:b/>
                <w:sz w:val="20"/>
                <w:szCs w:val="20"/>
              </w:rPr>
              <w:t>II</w:t>
            </w:r>
          </w:p>
        </w:tc>
        <w:tc>
          <w:tcPr>
            <w:tcW w:w="4598" w:type="dxa"/>
            <w:tcBorders>
              <w:top w:val="single" w:sz="4" w:space="0" w:color="auto"/>
              <w:left w:val="single" w:sz="4" w:space="0" w:color="auto"/>
              <w:bottom w:val="single" w:sz="4" w:space="0" w:color="auto"/>
              <w:right w:val="single" w:sz="4" w:space="0" w:color="auto"/>
            </w:tcBorders>
            <w:vAlign w:val="center"/>
          </w:tcPr>
          <w:p w14:paraId="6A23C7E6" w14:textId="77777777" w:rsidR="003F027D" w:rsidRPr="00821AF6" w:rsidRDefault="003F027D" w:rsidP="00D1104A">
            <w:pPr>
              <w:spacing w:before="60" w:after="20" w:line="288" w:lineRule="auto"/>
              <w:ind w:firstLine="0"/>
              <w:jc w:val="left"/>
              <w:rPr>
                <w:rFonts w:cs="Tahoma"/>
                <w:b/>
                <w:sz w:val="20"/>
                <w:szCs w:val="20"/>
              </w:rPr>
            </w:pPr>
            <w:r w:rsidRPr="00821AF6">
              <w:rPr>
                <w:rFonts w:cs="Tahoma"/>
                <w:b/>
                <w:sz w:val="20"/>
                <w:szCs w:val="20"/>
              </w:rPr>
              <w:t>Wydatki</w:t>
            </w:r>
          </w:p>
        </w:tc>
        <w:tc>
          <w:tcPr>
            <w:tcW w:w="1276" w:type="dxa"/>
            <w:tcBorders>
              <w:top w:val="single" w:sz="4" w:space="0" w:color="auto"/>
              <w:left w:val="single" w:sz="4" w:space="0" w:color="auto"/>
              <w:bottom w:val="single" w:sz="4" w:space="0" w:color="auto"/>
              <w:right w:val="single" w:sz="4" w:space="0" w:color="auto"/>
            </w:tcBorders>
            <w:vAlign w:val="center"/>
          </w:tcPr>
          <w:p w14:paraId="79B8AFDF" w14:textId="7E0CC0AC" w:rsidR="000024F4" w:rsidRPr="00821AF6" w:rsidRDefault="00FE1E87" w:rsidP="00D1104A">
            <w:pPr>
              <w:spacing w:before="60" w:after="20" w:line="288" w:lineRule="auto"/>
              <w:ind w:firstLine="0"/>
              <w:jc w:val="right"/>
              <w:rPr>
                <w:rFonts w:cs="Tahoma"/>
                <w:b/>
                <w:sz w:val="20"/>
                <w:szCs w:val="20"/>
              </w:rPr>
            </w:pPr>
            <w:r>
              <w:rPr>
                <w:rFonts w:cs="Tahoma"/>
                <w:b/>
                <w:sz w:val="20"/>
                <w:szCs w:val="20"/>
              </w:rPr>
              <w:t>1 214,2</w:t>
            </w:r>
          </w:p>
        </w:tc>
        <w:tc>
          <w:tcPr>
            <w:tcW w:w="1276" w:type="dxa"/>
            <w:tcBorders>
              <w:top w:val="single" w:sz="4" w:space="0" w:color="auto"/>
              <w:left w:val="single" w:sz="4" w:space="0" w:color="auto"/>
              <w:bottom w:val="single" w:sz="4" w:space="0" w:color="auto"/>
              <w:right w:val="single" w:sz="4" w:space="0" w:color="auto"/>
            </w:tcBorders>
            <w:vAlign w:val="center"/>
          </w:tcPr>
          <w:p w14:paraId="3D3FFEBD" w14:textId="63A19612" w:rsidR="003F027D" w:rsidRPr="00821AF6" w:rsidRDefault="00FE1E87" w:rsidP="00D1104A">
            <w:pPr>
              <w:spacing w:before="60" w:after="20" w:line="288" w:lineRule="auto"/>
              <w:ind w:firstLine="0"/>
              <w:jc w:val="right"/>
              <w:rPr>
                <w:rFonts w:cs="Tahoma"/>
                <w:b/>
                <w:sz w:val="20"/>
                <w:szCs w:val="20"/>
              </w:rPr>
            </w:pPr>
            <w:r>
              <w:rPr>
                <w:rFonts w:cs="Tahoma"/>
                <w:b/>
                <w:sz w:val="20"/>
                <w:szCs w:val="20"/>
              </w:rPr>
              <w:t>3 784,7</w:t>
            </w:r>
          </w:p>
        </w:tc>
        <w:tc>
          <w:tcPr>
            <w:tcW w:w="1283" w:type="dxa"/>
            <w:tcBorders>
              <w:top w:val="single" w:sz="4" w:space="0" w:color="auto"/>
              <w:left w:val="single" w:sz="4" w:space="0" w:color="auto"/>
              <w:bottom w:val="single" w:sz="4" w:space="0" w:color="auto"/>
              <w:right w:val="single" w:sz="4" w:space="0" w:color="auto"/>
            </w:tcBorders>
            <w:vAlign w:val="center"/>
          </w:tcPr>
          <w:p w14:paraId="5B1C74E5" w14:textId="475E3D3A" w:rsidR="003F027D" w:rsidRPr="00821AF6" w:rsidRDefault="00FE1E87" w:rsidP="00D1104A">
            <w:pPr>
              <w:spacing w:before="60" w:after="20" w:line="288" w:lineRule="auto"/>
              <w:ind w:firstLine="0"/>
              <w:jc w:val="right"/>
              <w:rPr>
                <w:rFonts w:cs="Tahoma"/>
                <w:b/>
                <w:sz w:val="20"/>
                <w:szCs w:val="20"/>
              </w:rPr>
            </w:pPr>
            <w:r>
              <w:rPr>
                <w:rFonts w:cs="Tahoma"/>
                <w:b/>
                <w:sz w:val="20"/>
                <w:szCs w:val="20"/>
              </w:rPr>
              <w:t>2 017,5</w:t>
            </w:r>
          </w:p>
        </w:tc>
      </w:tr>
      <w:tr w:rsidR="003F027D" w:rsidRPr="00821AF6" w14:paraId="433186D0" w14:textId="77777777" w:rsidTr="003F027D">
        <w:trPr>
          <w:cantSplit/>
          <w:jc w:val="center"/>
        </w:trPr>
        <w:tc>
          <w:tcPr>
            <w:tcW w:w="639" w:type="dxa"/>
            <w:tcBorders>
              <w:top w:val="dotted" w:sz="4" w:space="0" w:color="auto"/>
              <w:left w:val="single" w:sz="4" w:space="0" w:color="auto"/>
              <w:bottom w:val="single" w:sz="4" w:space="0" w:color="auto"/>
              <w:right w:val="single" w:sz="4" w:space="0" w:color="auto"/>
            </w:tcBorders>
            <w:vAlign w:val="center"/>
          </w:tcPr>
          <w:p w14:paraId="16002FE1" w14:textId="077078DF" w:rsidR="003F027D" w:rsidRPr="00821AF6" w:rsidRDefault="003F027D" w:rsidP="00D1104A">
            <w:pPr>
              <w:spacing w:before="60" w:after="20" w:line="288" w:lineRule="auto"/>
              <w:ind w:firstLine="0"/>
              <w:jc w:val="center"/>
              <w:rPr>
                <w:rFonts w:cs="Tahoma"/>
                <w:i/>
                <w:sz w:val="20"/>
                <w:szCs w:val="20"/>
              </w:rPr>
            </w:pPr>
            <w:proofErr w:type="spellStart"/>
            <w:r w:rsidRPr="00821AF6">
              <w:rPr>
                <w:rFonts w:cs="Tahoma"/>
                <w:i/>
                <w:sz w:val="20"/>
                <w:szCs w:val="20"/>
              </w:rPr>
              <w:t>IIa</w:t>
            </w:r>
            <w:proofErr w:type="spellEnd"/>
          </w:p>
        </w:tc>
        <w:tc>
          <w:tcPr>
            <w:tcW w:w="4598" w:type="dxa"/>
            <w:tcBorders>
              <w:top w:val="dotted" w:sz="4" w:space="0" w:color="auto"/>
              <w:left w:val="single" w:sz="4" w:space="0" w:color="auto"/>
              <w:bottom w:val="single" w:sz="4" w:space="0" w:color="auto"/>
              <w:right w:val="single" w:sz="4" w:space="0" w:color="auto"/>
            </w:tcBorders>
            <w:vAlign w:val="center"/>
          </w:tcPr>
          <w:p w14:paraId="20397EAA" w14:textId="77777777" w:rsidR="003F027D" w:rsidRPr="00821AF6" w:rsidRDefault="003F027D" w:rsidP="00D1104A">
            <w:pPr>
              <w:spacing w:before="60" w:after="20" w:line="288" w:lineRule="auto"/>
              <w:ind w:firstLine="0"/>
              <w:jc w:val="left"/>
              <w:rPr>
                <w:rFonts w:cs="Tahoma"/>
                <w:i/>
                <w:sz w:val="20"/>
                <w:szCs w:val="20"/>
              </w:rPr>
            </w:pPr>
            <w:r w:rsidRPr="00821AF6">
              <w:rPr>
                <w:rFonts w:cs="Tahoma"/>
                <w:i/>
                <w:sz w:val="20"/>
                <w:szCs w:val="20"/>
              </w:rPr>
              <w:softHyphen/>
              <w:t xml:space="preserve">– w tym nabycie </w:t>
            </w:r>
            <w:r>
              <w:rPr>
                <w:rFonts w:cs="Tahoma"/>
                <w:i/>
                <w:sz w:val="20"/>
                <w:szCs w:val="20"/>
              </w:rPr>
              <w:t>aktywów</w:t>
            </w:r>
            <w:r w:rsidRPr="00821AF6">
              <w:rPr>
                <w:rFonts w:cs="Tahoma"/>
                <w:i/>
                <w:sz w:val="20"/>
                <w:szCs w:val="20"/>
              </w:rPr>
              <w:t xml:space="preserve"> trwałych</w:t>
            </w:r>
          </w:p>
        </w:tc>
        <w:tc>
          <w:tcPr>
            <w:tcW w:w="1276" w:type="dxa"/>
            <w:tcBorders>
              <w:top w:val="dotted" w:sz="4" w:space="0" w:color="auto"/>
              <w:left w:val="single" w:sz="4" w:space="0" w:color="auto"/>
              <w:bottom w:val="single" w:sz="4" w:space="0" w:color="auto"/>
              <w:right w:val="single" w:sz="4" w:space="0" w:color="auto"/>
            </w:tcBorders>
            <w:vAlign w:val="center"/>
          </w:tcPr>
          <w:p w14:paraId="58BD14E0" w14:textId="7071F6FC" w:rsidR="003F027D" w:rsidRPr="00821AF6" w:rsidRDefault="00FE1E87" w:rsidP="00D1104A">
            <w:pPr>
              <w:spacing w:before="60" w:after="20" w:line="288" w:lineRule="auto"/>
              <w:ind w:firstLine="0"/>
              <w:jc w:val="right"/>
              <w:rPr>
                <w:rFonts w:cs="Tahoma"/>
                <w:i/>
                <w:sz w:val="20"/>
                <w:szCs w:val="20"/>
              </w:rPr>
            </w:pPr>
            <w:r>
              <w:rPr>
                <w:rFonts w:cs="Tahoma"/>
                <w:i/>
                <w:sz w:val="20"/>
                <w:szCs w:val="20"/>
              </w:rPr>
              <w:t>1 214,2</w:t>
            </w:r>
          </w:p>
        </w:tc>
        <w:tc>
          <w:tcPr>
            <w:tcW w:w="1276" w:type="dxa"/>
            <w:tcBorders>
              <w:top w:val="dotted" w:sz="4" w:space="0" w:color="auto"/>
              <w:left w:val="single" w:sz="4" w:space="0" w:color="auto"/>
              <w:bottom w:val="single" w:sz="4" w:space="0" w:color="auto"/>
              <w:right w:val="single" w:sz="4" w:space="0" w:color="auto"/>
            </w:tcBorders>
            <w:vAlign w:val="center"/>
          </w:tcPr>
          <w:p w14:paraId="68D6BC66" w14:textId="216BE399" w:rsidR="003F027D" w:rsidRPr="00821AF6" w:rsidRDefault="00FE1E87" w:rsidP="00D1104A">
            <w:pPr>
              <w:spacing w:before="60" w:after="20" w:line="288" w:lineRule="auto"/>
              <w:ind w:firstLine="0"/>
              <w:jc w:val="right"/>
              <w:rPr>
                <w:rFonts w:cs="Tahoma"/>
                <w:i/>
                <w:sz w:val="20"/>
                <w:szCs w:val="20"/>
              </w:rPr>
            </w:pPr>
            <w:r>
              <w:rPr>
                <w:rFonts w:cs="Tahoma"/>
                <w:i/>
                <w:sz w:val="20"/>
                <w:szCs w:val="20"/>
              </w:rPr>
              <w:t>3 784,5</w:t>
            </w:r>
          </w:p>
        </w:tc>
        <w:tc>
          <w:tcPr>
            <w:tcW w:w="1283" w:type="dxa"/>
            <w:tcBorders>
              <w:top w:val="dotted" w:sz="4" w:space="0" w:color="auto"/>
              <w:left w:val="single" w:sz="4" w:space="0" w:color="auto"/>
              <w:bottom w:val="single" w:sz="4" w:space="0" w:color="auto"/>
              <w:right w:val="single" w:sz="4" w:space="0" w:color="auto"/>
            </w:tcBorders>
            <w:vAlign w:val="center"/>
          </w:tcPr>
          <w:p w14:paraId="11068BE5" w14:textId="54915C93" w:rsidR="003F027D" w:rsidRPr="00821AF6" w:rsidRDefault="00FE1E87" w:rsidP="00D1104A">
            <w:pPr>
              <w:spacing w:before="60" w:after="20" w:line="288" w:lineRule="auto"/>
              <w:ind w:firstLine="0"/>
              <w:jc w:val="right"/>
              <w:rPr>
                <w:rFonts w:cs="Tahoma"/>
                <w:i/>
                <w:sz w:val="20"/>
                <w:szCs w:val="20"/>
              </w:rPr>
            </w:pPr>
            <w:r>
              <w:rPr>
                <w:rFonts w:cs="Tahoma"/>
                <w:i/>
                <w:sz w:val="20"/>
                <w:szCs w:val="20"/>
              </w:rPr>
              <w:t>1 978,8</w:t>
            </w:r>
          </w:p>
        </w:tc>
      </w:tr>
      <w:tr w:rsidR="003F027D" w:rsidRPr="00821AF6" w14:paraId="53E25A6E"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5E0DC35C" w14:textId="77777777" w:rsidR="003F027D" w:rsidRPr="00821AF6" w:rsidRDefault="003F027D" w:rsidP="00D1104A">
            <w:pPr>
              <w:spacing w:before="60" w:after="20" w:line="288" w:lineRule="auto"/>
              <w:ind w:firstLine="0"/>
              <w:jc w:val="center"/>
              <w:rPr>
                <w:rFonts w:cs="Tahoma"/>
                <w:b/>
                <w:sz w:val="20"/>
                <w:szCs w:val="20"/>
              </w:rPr>
            </w:pPr>
            <w:r w:rsidRPr="00821AF6">
              <w:rPr>
                <w:rFonts w:cs="Tahoma"/>
                <w:b/>
                <w:sz w:val="20"/>
                <w:szCs w:val="20"/>
              </w:rPr>
              <w:t>III</w:t>
            </w:r>
          </w:p>
        </w:tc>
        <w:tc>
          <w:tcPr>
            <w:tcW w:w="4598" w:type="dxa"/>
            <w:tcBorders>
              <w:top w:val="single" w:sz="4" w:space="0" w:color="auto"/>
              <w:left w:val="single" w:sz="4" w:space="0" w:color="auto"/>
              <w:bottom w:val="single" w:sz="4" w:space="0" w:color="auto"/>
              <w:right w:val="single" w:sz="4" w:space="0" w:color="auto"/>
            </w:tcBorders>
            <w:vAlign w:val="center"/>
          </w:tcPr>
          <w:p w14:paraId="510C8C8B" w14:textId="77777777" w:rsidR="003F027D" w:rsidRPr="00821AF6" w:rsidRDefault="003F027D" w:rsidP="00D1104A">
            <w:pPr>
              <w:spacing w:before="60" w:after="20" w:line="288" w:lineRule="auto"/>
              <w:ind w:firstLine="0"/>
              <w:jc w:val="left"/>
              <w:rPr>
                <w:rFonts w:cs="Tahoma"/>
                <w:b/>
                <w:sz w:val="20"/>
                <w:szCs w:val="20"/>
              </w:rPr>
            </w:pPr>
            <w:r w:rsidRPr="00821AF6">
              <w:rPr>
                <w:rFonts w:cs="Tahoma"/>
                <w:b/>
                <w:sz w:val="20"/>
                <w:szCs w:val="20"/>
              </w:rPr>
              <w:t>Przepływy pieniężne netto z działalności</w:t>
            </w:r>
            <w:r w:rsidRPr="00821AF6">
              <w:rPr>
                <w:rFonts w:cs="Tahoma"/>
                <w:b/>
                <w:sz w:val="20"/>
                <w:szCs w:val="20"/>
              </w:rPr>
              <w:br/>
              <w:t>inwestycyjnej</w:t>
            </w:r>
          </w:p>
        </w:tc>
        <w:tc>
          <w:tcPr>
            <w:tcW w:w="1276" w:type="dxa"/>
            <w:tcBorders>
              <w:top w:val="single" w:sz="4" w:space="0" w:color="auto"/>
              <w:left w:val="single" w:sz="4" w:space="0" w:color="auto"/>
              <w:bottom w:val="single" w:sz="4" w:space="0" w:color="auto"/>
              <w:right w:val="single" w:sz="4" w:space="0" w:color="auto"/>
            </w:tcBorders>
            <w:vAlign w:val="center"/>
          </w:tcPr>
          <w:p w14:paraId="69788E74" w14:textId="00FA421D" w:rsidR="003F027D" w:rsidRPr="00821AF6" w:rsidRDefault="00FE1E87" w:rsidP="00D1104A">
            <w:pPr>
              <w:spacing w:before="60" w:after="20" w:line="288" w:lineRule="auto"/>
              <w:ind w:firstLine="0"/>
              <w:jc w:val="right"/>
              <w:rPr>
                <w:rFonts w:cs="Tahoma"/>
                <w:b/>
                <w:sz w:val="20"/>
                <w:szCs w:val="20"/>
              </w:rPr>
            </w:pPr>
            <w:r>
              <w:rPr>
                <w:rFonts w:cs="Tahoma"/>
                <w:b/>
                <w:sz w:val="20"/>
                <w:szCs w:val="20"/>
              </w:rPr>
              <w:t>-1 117,0</w:t>
            </w:r>
          </w:p>
        </w:tc>
        <w:tc>
          <w:tcPr>
            <w:tcW w:w="1276" w:type="dxa"/>
            <w:tcBorders>
              <w:top w:val="single" w:sz="4" w:space="0" w:color="auto"/>
              <w:left w:val="single" w:sz="4" w:space="0" w:color="auto"/>
              <w:bottom w:val="single" w:sz="4" w:space="0" w:color="auto"/>
              <w:right w:val="single" w:sz="4" w:space="0" w:color="auto"/>
            </w:tcBorders>
            <w:vAlign w:val="center"/>
          </w:tcPr>
          <w:p w14:paraId="50FDEFCD" w14:textId="2BA4B9F0" w:rsidR="003F027D" w:rsidRPr="00821AF6" w:rsidRDefault="00FE1E87" w:rsidP="00D1104A">
            <w:pPr>
              <w:spacing w:before="60" w:after="20" w:line="288" w:lineRule="auto"/>
              <w:ind w:firstLine="0"/>
              <w:jc w:val="right"/>
              <w:rPr>
                <w:rFonts w:cs="Tahoma"/>
                <w:b/>
                <w:sz w:val="20"/>
                <w:szCs w:val="20"/>
              </w:rPr>
            </w:pPr>
            <w:r>
              <w:rPr>
                <w:rFonts w:cs="Tahoma"/>
                <w:b/>
                <w:sz w:val="20"/>
                <w:szCs w:val="20"/>
              </w:rPr>
              <w:t>-3 764,7</w:t>
            </w:r>
          </w:p>
        </w:tc>
        <w:tc>
          <w:tcPr>
            <w:tcW w:w="1283" w:type="dxa"/>
            <w:tcBorders>
              <w:top w:val="single" w:sz="4" w:space="0" w:color="auto"/>
              <w:left w:val="single" w:sz="4" w:space="0" w:color="auto"/>
              <w:bottom w:val="single" w:sz="4" w:space="0" w:color="auto"/>
              <w:right w:val="single" w:sz="4" w:space="0" w:color="auto"/>
            </w:tcBorders>
            <w:vAlign w:val="center"/>
          </w:tcPr>
          <w:p w14:paraId="38E56862" w14:textId="65933629" w:rsidR="003F027D" w:rsidRPr="00821AF6" w:rsidRDefault="00FE1E87" w:rsidP="00D1104A">
            <w:pPr>
              <w:spacing w:before="60" w:after="20" w:line="288" w:lineRule="auto"/>
              <w:ind w:firstLine="0"/>
              <w:jc w:val="right"/>
              <w:rPr>
                <w:rFonts w:cs="Tahoma"/>
                <w:b/>
                <w:sz w:val="20"/>
                <w:szCs w:val="20"/>
              </w:rPr>
            </w:pPr>
            <w:r>
              <w:rPr>
                <w:rFonts w:cs="Tahoma"/>
                <w:b/>
                <w:sz w:val="20"/>
                <w:szCs w:val="20"/>
              </w:rPr>
              <w:t>-1 845,2</w:t>
            </w:r>
          </w:p>
        </w:tc>
      </w:tr>
      <w:tr w:rsidR="003F027D" w:rsidRPr="00821AF6" w14:paraId="4121B324" w14:textId="77777777" w:rsidTr="003F027D">
        <w:trPr>
          <w:cantSplit/>
          <w:jc w:val="center"/>
        </w:trPr>
        <w:tc>
          <w:tcPr>
            <w:tcW w:w="639" w:type="dxa"/>
            <w:tcBorders>
              <w:top w:val="single" w:sz="6" w:space="0" w:color="auto"/>
              <w:left w:val="single" w:sz="4" w:space="0" w:color="auto"/>
              <w:bottom w:val="dotted" w:sz="4" w:space="0" w:color="auto"/>
              <w:right w:val="single" w:sz="4" w:space="0" w:color="auto"/>
            </w:tcBorders>
            <w:shd w:val="clear" w:color="auto" w:fill="FBE4D5" w:themeFill="accent2" w:themeFillTint="33"/>
            <w:vAlign w:val="center"/>
          </w:tcPr>
          <w:p w14:paraId="2DB41E34" w14:textId="77777777" w:rsidR="003F027D" w:rsidRPr="00821AF6" w:rsidRDefault="003F027D" w:rsidP="00D1104A">
            <w:pPr>
              <w:keepNext/>
              <w:spacing w:before="60" w:after="20" w:line="288" w:lineRule="auto"/>
              <w:ind w:firstLine="0"/>
              <w:jc w:val="center"/>
              <w:rPr>
                <w:rFonts w:cs="Tahoma"/>
                <w:b/>
                <w:sz w:val="20"/>
                <w:szCs w:val="20"/>
              </w:rPr>
            </w:pPr>
            <w:r w:rsidRPr="00821AF6">
              <w:rPr>
                <w:rFonts w:cs="Tahoma"/>
                <w:b/>
                <w:sz w:val="20"/>
                <w:szCs w:val="20"/>
              </w:rPr>
              <w:t>C</w:t>
            </w:r>
          </w:p>
        </w:tc>
        <w:tc>
          <w:tcPr>
            <w:tcW w:w="8433" w:type="dxa"/>
            <w:gridSpan w:val="4"/>
            <w:tcBorders>
              <w:top w:val="single" w:sz="6" w:space="0" w:color="auto"/>
              <w:left w:val="single" w:sz="4" w:space="0" w:color="auto"/>
              <w:bottom w:val="dotted" w:sz="4" w:space="0" w:color="auto"/>
              <w:right w:val="single" w:sz="4" w:space="0" w:color="auto"/>
            </w:tcBorders>
            <w:shd w:val="clear" w:color="auto" w:fill="FBE4D5" w:themeFill="accent2" w:themeFillTint="33"/>
            <w:vAlign w:val="center"/>
          </w:tcPr>
          <w:p w14:paraId="71F78E79" w14:textId="77777777" w:rsidR="003F027D" w:rsidRPr="00821AF6" w:rsidRDefault="003F027D" w:rsidP="00D1104A">
            <w:pPr>
              <w:keepNext/>
              <w:spacing w:before="60" w:after="20" w:line="288" w:lineRule="auto"/>
              <w:ind w:firstLine="0"/>
              <w:jc w:val="left"/>
              <w:rPr>
                <w:rFonts w:cs="Tahoma"/>
                <w:b/>
                <w:sz w:val="20"/>
                <w:szCs w:val="20"/>
              </w:rPr>
            </w:pPr>
            <w:r w:rsidRPr="00821AF6">
              <w:rPr>
                <w:rFonts w:cs="Tahoma"/>
                <w:b/>
                <w:sz w:val="20"/>
                <w:szCs w:val="20"/>
              </w:rPr>
              <w:t>Przepływy środków pieniężnych z działalności finansowej</w:t>
            </w:r>
          </w:p>
        </w:tc>
      </w:tr>
      <w:tr w:rsidR="003F027D" w:rsidRPr="00821AF6" w14:paraId="109E09E7"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44E2373B" w14:textId="77777777" w:rsidR="003F027D" w:rsidRPr="00821AF6" w:rsidRDefault="003F027D" w:rsidP="00D1104A">
            <w:pPr>
              <w:spacing w:before="60" w:after="20" w:line="288" w:lineRule="auto"/>
              <w:ind w:firstLine="0"/>
              <w:jc w:val="center"/>
              <w:rPr>
                <w:rFonts w:cs="Tahoma"/>
                <w:b/>
                <w:sz w:val="20"/>
                <w:szCs w:val="20"/>
              </w:rPr>
            </w:pPr>
            <w:r w:rsidRPr="00821AF6">
              <w:rPr>
                <w:rFonts w:cs="Tahoma"/>
                <w:b/>
                <w:sz w:val="20"/>
                <w:szCs w:val="20"/>
              </w:rPr>
              <w:t>I</w:t>
            </w:r>
          </w:p>
        </w:tc>
        <w:tc>
          <w:tcPr>
            <w:tcW w:w="4598" w:type="dxa"/>
            <w:tcBorders>
              <w:top w:val="single" w:sz="4" w:space="0" w:color="auto"/>
              <w:left w:val="single" w:sz="4" w:space="0" w:color="auto"/>
              <w:bottom w:val="single" w:sz="4" w:space="0" w:color="auto"/>
              <w:right w:val="single" w:sz="4" w:space="0" w:color="auto"/>
            </w:tcBorders>
            <w:vAlign w:val="center"/>
          </w:tcPr>
          <w:p w14:paraId="356DB364" w14:textId="77777777" w:rsidR="003F027D" w:rsidRPr="00821AF6" w:rsidRDefault="003F027D" w:rsidP="00D1104A">
            <w:pPr>
              <w:spacing w:before="60" w:after="20" w:line="288" w:lineRule="auto"/>
              <w:ind w:firstLine="0"/>
              <w:jc w:val="left"/>
              <w:rPr>
                <w:rFonts w:cs="Tahoma"/>
                <w:b/>
                <w:sz w:val="20"/>
                <w:szCs w:val="20"/>
              </w:rPr>
            </w:pPr>
            <w:r w:rsidRPr="00821AF6">
              <w:rPr>
                <w:rFonts w:cs="Tahoma"/>
                <w:b/>
                <w:sz w:val="20"/>
                <w:szCs w:val="20"/>
              </w:rPr>
              <w:t>Wpływy</w:t>
            </w:r>
          </w:p>
        </w:tc>
        <w:tc>
          <w:tcPr>
            <w:tcW w:w="1276" w:type="dxa"/>
            <w:tcBorders>
              <w:top w:val="single" w:sz="4" w:space="0" w:color="auto"/>
              <w:left w:val="single" w:sz="4" w:space="0" w:color="auto"/>
              <w:bottom w:val="single" w:sz="4" w:space="0" w:color="auto"/>
              <w:right w:val="single" w:sz="4" w:space="0" w:color="auto"/>
            </w:tcBorders>
            <w:vAlign w:val="center"/>
          </w:tcPr>
          <w:p w14:paraId="4C87DED1" w14:textId="5B91A13A" w:rsidR="003F027D" w:rsidRPr="00821AF6" w:rsidRDefault="00FE1E87" w:rsidP="00D1104A">
            <w:pPr>
              <w:spacing w:before="60" w:after="20" w:line="288" w:lineRule="auto"/>
              <w:ind w:firstLine="0"/>
              <w:jc w:val="right"/>
              <w:rPr>
                <w:rFonts w:cs="Tahoma"/>
                <w:b/>
                <w:sz w:val="20"/>
                <w:szCs w:val="20"/>
              </w:rPr>
            </w:pPr>
            <w:r>
              <w:rPr>
                <w:rFonts w:cs="Tahoma"/>
                <w:b/>
                <w:sz w:val="20"/>
                <w:szCs w:val="20"/>
              </w:rPr>
              <w:t>173,2</w:t>
            </w:r>
          </w:p>
        </w:tc>
        <w:tc>
          <w:tcPr>
            <w:tcW w:w="1276" w:type="dxa"/>
            <w:tcBorders>
              <w:top w:val="single" w:sz="4" w:space="0" w:color="auto"/>
              <w:left w:val="single" w:sz="4" w:space="0" w:color="auto"/>
              <w:bottom w:val="single" w:sz="4" w:space="0" w:color="auto"/>
              <w:right w:val="single" w:sz="4" w:space="0" w:color="auto"/>
            </w:tcBorders>
            <w:vAlign w:val="center"/>
          </w:tcPr>
          <w:p w14:paraId="137BC973" w14:textId="7CE32235" w:rsidR="003F027D" w:rsidRPr="00821AF6" w:rsidRDefault="00FE1E87" w:rsidP="00D1104A">
            <w:pPr>
              <w:spacing w:before="60" w:after="20" w:line="288" w:lineRule="auto"/>
              <w:ind w:firstLine="0"/>
              <w:jc w:val="right"/>
              <w:rPr>
                <w:rFonts w:cs="Tahoma"/>
                <w:b/>
                <w:sz w:val="20"/>
                <w:szCs w:val="20"/>
              </w:rPr>
            </w:pPr>
            <w:r>
              <w:rPr>
                <w:rFonts w:cs="Tahoma"/>
                <w:b/>
                <w:sz w:val="20"/>
                <w:szCs w:val="20"/>
              </w:rPr>
              <w:t>146,6</w:t>
            </w:r>
          </w:p>
        </w:tc>
        <w:tc>
          <w:tcPr>
            <w:tcW w:w="1283" w:type="dxa"/>
            <w:tcBorders>
              <w:top w:val="single" w:sz="4" w:space="0" w:color="auto"/>
              <w:left w:val="single" w:sz="4" w:space="0" w:color="auto"/>
              <w:bottom w:val="single" w:sz="4" w:space="0" w:color="auto"/>
              <w:right w:val="single" w:sz="4" w:space="0" w:color="auto"/>
            </w:tcBorders>
            <w:vAlign w:val="center"/>
          </w:tcPr>
          <w:p w14:paraId="0EEC0C3C" w14:textId="30A439ED" w:rsidR="003F027D" w:rsidRPr="00821AF6" w:rsidRDefault="00FE1E87" w:rsidP="00D1104A">
            <w:pPr>
              <w:spacing w:before="60" w:after="20" w:line="288" w:lineRule="auto"/>
              <w:ind w:firstLine="0"/>
              <w:jc w:val="right"/>
              <w:rPr>
                <w:rFonts w:cs="Tahoma"/>
                <w:b/>
                <w:sz w:val="20"/>
                <w:szCs w:val="20"/>
              </w:rPr>
            </w:pPr>
            <w:r>
              <w:rPr>
                <w:rFonts w:cs="Tahoma"/>
                <w:b/>
                <w:sz w:val="20"/>
                <w:szCs w:val="20"/>
              </w:rPr>
              <w:t>368,9</w:t>
            </w:r>
          </w:p>
        </w:tc>
      </w:tr>
      <w:tr w:rsidR="003F027D" w:rsidRPr="00821AF6" w14:paraId="2F09D72C"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19EEADED" w14:textId="77777777" w:rsidR="003F027D" w:rsidRPr="00821AF6" w:rsidRDefault="003F027D" w:rsidP="00D1104A">
            <w:pPr>
              <w:spacing w:before="60" w:after="20" w:line="288" w:lineRule="auto"/>
              <w:ind w:firstLine="0"/>
              <w:jc w:val="center"/>
              <w:rPr>
                <w:rFonts w:cs="Tahoma"/>
                <w:i/>
                <w:sz w:val="20"/>
                <w:szCs w:val="20"/>
              </w:rPr>
            </w:pPr>
            <w:proofErr w:type="spellStart"/>
            <w:r w:rsidRPr="00821AF6">
              <w:rPr>
                <w:rFonts w:cs="Tahoma"/>
                <w:i/>
                <w:sz w:val="20"/>
                <w:szCs w:val="20"/>
              </w:rPr>
              <w:t>Ia</w:t>
            </w:r>
            <w:proofErr w:type="spellEnd"/>
          </w:p>
        </w:tc>
        <w:tc>
          <w:tcPr>
            <w:tcW w:w="4598" w:type="dxa"/>
            <w:tcBorders>
              <w:top w:val="single" w:sz="4" w:space="0" w:color="auto"/>
              <w:left w:val="single" w:sz="4" w:space="0" w:color="auto"/>
              <w:bottom w:val="single" w:sz="4" w:space="0" w:color="auto"/>
              <w:right w:val="single" w:sz="4" w:space="0" w:color="auto"/>
            </w:tcBorders>
            <w:vAlign w:val="center"/>
          </w:tcPr>
          <w:p w14:paraId="749309C1" w14:textId="77777777" w:rsidR="003F027D" w:rsidRPr="00821AF6" w:rsidRDefault="003F027D" w:rsidP="00D1104A">
            <w:pPr>
              <w:spacing w:before="60" w:after="20" w:line="288" w:lineRule="auto"/>
              <w:ind w:firstLine="0"/>
              <w:jc w:val="left"/>
              <w:rPr>
                <w:rFonts w:cs="Tahoma"/>
                <w:i/>
                <w:sz w:val="20"/>
                <w:szCs w:val="20"/>
              </w:rPr>
            </w:pPr>
            <w:r w:rsidRPr="00821AF6">
              <w:rPr>
                <w:rFonts w:cs="Tahoma"/>
                <w:i/>
                <w:sz w:val="20"/>
                <w:szCs w:val="20"/>
              </w:rPr>
              <w:softHyphen/>
              <w:t xml:space="preserve">– w tym </w:t>
            </w:r>
            <w:r>
              <w:rPr>
                <w:rFonts w:cs="Tahoma"/>
                <w:i/>
                <w:sz w:val="20"/>
                <w:szCs w:val="20"/>
              </w:rPr>
              <w:t>zaciągnięcie kredytów</w:t>
            </w:r>
          </w:p>
        </w:tc>
        <w:tc>
          <w:tcPr>
            <w:tcW w:w="1276" w:type="dxa"/>
            <w:tcBorders>
              <w:top w:val="single" w:sz="4" w:space="0" w:color="auto"/>
              <w:left w:val="single" w:sz="4" w:space="0" w:color="auto"/>
              <w:bottom w:val="single" w:sz="4" w:space="0" w:color="auto"/>
              <w:right w:val="single" w:sz="4" w:space="0" w:color="auto"/>
            </w:tcBorders>
            <w:vAlign w:val="center"/>
          </w:tcPr>
          <w:p w14:paraId="47EA14D8" w14:textId="274EF784" w:rsidR="003F027D" w:rsidRPr="00821AF6" w:rsidRDefault="00FE1E87" w:rsidP="00D1104A">
            <w:pPr>
              <w:spacing w:before="60" w:after="20" w:line="288" w:lineRule="auto"/>
              <w:ind w:firstLine="0"/>
              <w:jc w:val="right"/>
              <w:rPr>
                <w:rFonts w:cs="Tahoma"/>
                <w:i/>
                <w:sz w:val="20"/>
                <w:szCs w:val="20"/>
              </w:rPr>
            </w:pPr>
            <w:r>
              <w:rPr>
                <w:rFonts w:cs="Tahoma"/>
                <w:i/>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A2E7350" w14:textId="1B7A4232" w:rsidR="003F027D" w:rsidRPr="00821AF6" w:rsidRDefault="00FE1E87" w:rsidP="00D1104A">
            <w:pPr>
              <w:spacing w:before="60" w:after="20" w:line="288" w:lineRule="auto"/>
              <w:ind w:firstLine="0"/>
              <w:jc w:val="right"/>
              <w:rPr>
                <w:rFonts w:cs="Tahoma"/>
                <w:i/>
                <w:sz w:val="20"/>
                <w:szCs w:val="20"/>
              </w:rPr>
            </w:pPr>
            <w:r>
              <w:rPr>
                <w:rFonts w:cs="Tahoma"/>
                <w:i/>
                <w:sz w:val="20"/>
                <w:szCs w:val="20"/>
              </w:rPr>
              <w:t>0,0</w:t>
            </w:r>
          </w:p>
        </w:tc>
        <w:tc>
          <w:tcPr>
            <w:tcW w:w="1283" w:type="dxa"/>
            <w:tcBorders>
              <w:top w:val="single" w:sz="4" w:space="0" w:color="auto"/>
              <w:left w:val="single" w:sz="4" w:space="0" w:color="auto"/>
              <w:bottom w:val="single" w:sz="4" w:space="0" w:color="auto"/>
              <w:right w:val="single" w:sz="4" w:space="0" w:color="auto"/>
            </w:tcBorders>
            <w:vAlign w:val="center"/>
          </w:tcPr>
          <w:p w14:paraId="630AC3E3" w14:textId="3C4A3754" w:rsidR="003F027D" w:rsidRPr="00821AF6" w:rsidRDefault="00FE1E87" w:rsidP="00D1104A">
            <w:pPr>
              <w:spacing w:before="60" w:after="20" w:line="288" w:lineRule="auto"/>
              <w:ind w:firstLine="0"/>
              <w:jc w:val="right"/>
              <w:rPr>
                <w:rFonts w:cs="Tahoma"/>
                <w:i/>
                <w:sz w:val="20"/>
                <w:szCs w:val="20"/>
              </w:rPr>
            </w:pPr>
            <w:r>
              <w:rPr>
                <w:rFonts w:cs="Tahoma"/>
                <w:i/>
                <w:sz w:val="20"/>
                <w:szCs w:val="20"/>
              </w:rPr>
              <w:t>0,0</w:t>
            </w:r>
          </w:p>
        </w:tc>
      </w:tr>
      <w:tr w:rsidR="003F027D" w:rsidRPr="00821AF6" w14:paraId="38664BC3"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615C700C" w14:textId="77777777" w:rsidR="003F027D" w:rsidRPr="00821AF6" w:rsidRDefault="003F027D" w:rsidP="00D1104A">
            <w:pPr>
              <w:spacing w:before="60" w:after="20" w:line="288" w:lineRule="auto"/>
              <w:ind w:firstLine="0"/>
              <w:jc w:val="center"/>
              <w:rPr>
                <w:rFonts w:cs="Tahoma"/>
                <w:b/>
                <w:sz w:val="20"/>
                <w:szCs w:val="20"/>
              </w:rPr>
            </w:pPr>
            <w:r w:rsidRPr="00821AF6">
              <w:rPr>
                <w:rFonts w:cs="Tahoma"/>
                <w:b/>
                <w:sz w:val="20"/>
                <w:szCs w:val="20"/>
              </w:rPr>
              <w:t>II</w:t>
            </w:r>
          </w:p>
        </w:tc>
        <w:tc>
          <w:tcPr>
            <w:tcW w:w="4598" w:type="dxa"/>
            <w:tcBorders>
              <w:top w:val="single" w:sz="4" w:space="0" w:color="auto"/>
              <w:left w:val="single" w:sz="4" w:space="0" w:color="auto"/>
              <w:bottom w:val="single" w:sz="4" w:space="0" w:color="auto"/>
              <w:right w:val="single" w:sz="4" w:space="0" w:color="auto"/>
            </w:tcBorders>
            <w:vAlign w:val="center"/>
          </w:tcPr>
          <w:p w14:paraId="32435719" w14:textId="77777777" w:rsidR="003F027D" w:rsidRPr="00821AF6" w:rsidRDefault="003F027D" w:rsidP="00D1104A">
            <w:pPr>
              <w:spacing w:before="60" w:after="20" w:line="288" w:lineRule="auto"/>
              <w:ind w:firstLine="0"/>
              <w:jc w:val="left"/>
              <w:rPr>
                <w:rFonts w:cs="Tahoma"/>
                <w:b/>
                <w:sz w:val="20"/>
                <w:szCs w:val="20"/>
              </w:rPr>
            </w:pPr>
            <w:r w:rsidRPr="00821AF6">
              <w:rPr>
                <w:rFonts w:cs="Tahoma"/>
                <w:b/>
                <w:sz w:val="20"/>
                <w:szCs w:val="20"/>
              </w:rPr>
              <w:t>Wydatki</w:t>
            </w:r>
          </w:p>
        </w:tc>
        <w:tc>
          <w:tcPr>
            <w:tcW w:w="1276" w:type="dxa"/>
            <w:tcBorders>
              <w:top w:val="single" w:sz="4" w:space="0" w:color="auto"/>
              <w:left w:val="single" w:sz="4" w:space="0" w:color="auto"/>
              <w:bottom w:val="single" w:sz="4" w:space="0" w:color="auto"/>
              <w:right w:val="single" w:sz="4" w:space="0" w:color="auto"/>
            </w:tcBorders>
            <w:vAlign w:val="center"/>
          </w:tcPr>
          <w:p w14:paraId="5C7132A5" w14:textId="60F42926" w:rsidR="003F027D" w:rsidRPr="00821AF6" w:rsidRDefault="00FE1E87" w:rsidP="00D1104A">
            <w:pPr>
              <w:spacing w:before="60" w:after="20" w:line="288" w:lineRule="auto"/>
              <w:ind w:firstLine="0"/>
              <w:jc w:val="right"/>
              <w:rPr>
                <w:rFonts w:cs="Tahoma"/>
                <w:b/>
                <w:sz w:val="20"/>
                <w:szCs w:val="20"/>
              </w:rPr>
            </w:pPr>
            <w:r>
              <w:rPr>
                <w:rFonts w:cs="Tahoma"/>
                <w:b/>
                <w:sz w:val="20"/>
                <w:szCs w:val="20"/>
              </w:rPr>
              <w:t>9,5</w:t>
            </w:r>
          </w:p>
        </w:tc>
        <w:tc>
          <w:tcPr>
            <w:tcW w:w="1276" w:type="dxa"/>
            <w:tcBorders>
              <w:top w:val="single" w:sz="4" w:space="0" w:color="auto"/>
              <w:left w:val="single" w:sz="4" w:space="0" w:color="auto"/>
              <w:bottom w:val="single" w:sz="4" w:space="0" w:color="auto"/>
              <w:right w:val="single" w:sz="4" w:space="0" w:color="auto"/>
            </w:tcBorders>
            <w:vAlign w:val="center"/>
          </w:tcPr>
          <w:p w14:paraId="7DB0D89A" w14:textId="11DB913E" w:rsidR="003F027D" w:rsidRPr="00821AF6" w:rsidRDefault="00FE1E87" w:rsidP="00D1104A">
            <w:pPr>
              <w:spacing w:before="60" w:after="20" w:line="288" w:lineRule="auto"/>
              <w:ind w:firstLine="0"/>
              <w:jc w:val="right"/>
              <w:rPr>
                <w:rFonts w:cs="Tahoma"/>
                <w:b/>
                <w:sz w:val="20"/>
                <w:szCs w:val="20"/>
              </w:rPr>
            </w:pPr>
            <w:r>
              <w:rPr>
                <w:rFonts w:cs="Tahoma"/>
                <w:b/>
                <w:sz w:val="20"/>
                <w:szCs w:val="20"/>
              </w:rPr>
              <w:t>0,3</w:t>
            </w:r>
          </w:p>
        </w:tc>
        <w:tc>
          <w:tcPr>
            <w:tcW w:w="1283" w:type="dxa"/>
            <w:tcBorders>
              <w:top w:val="single" w:sz="4" w:space="0" w:color="auto"/>
              <w:left w:val="single" w:sz="4" w:space="0" w:color="auto"/>
              <w:bottom w:val="single" w:sz="4" w:space="0" w:color="auto"/>
              <w:right w:val="single" w:sz="4" w:space="0" w:color="auto"/>
            </w:tcBorders>
            <w:vAlign w:val="center"/>
          </w:tcPr>
          <w:p w14:paraId="04728509" w14:textId="2F5FA35C" w:rsidR="003F027D" w:rsidRPr="00821AF6" w:rsidRDefault="00FE1E87" w:rsidP="00D1104A">
            <w:pPr>
              <w:spacing w:before="60" w:after="20" w:line="288" w:lineRule="auto"/>
              <w:ind w:firstLine="0"/>
              <w:jc w:val="right"/>
              <w:rPr>
                <w:rFonts w:cs="Tahoma"/>
                <w:b/>
                <w:sz w:val="20"/>
                <w:szCs w:val="20"/>
              </w:rPr>
            </w:pPr>
            <w:r>
              <w:rPr>
                <w:rFonts w:cs="Tahoma"/>
                <w:b/>
                <w:sz w:val="20"/>
                <w:szCs w:val="20"/>
              </w:rPr>
              <w:t>0,2</w:t>
            </w:r>
          </w:p>
        </w:tc>
      </w:tr>
      <w:tr w:rsidR="003F027D" w:rsidRPr="00821AF6" w14:paraId="5EC43AD4"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47755919" w14:textId="77777777" w:rsidR="003F027D" w:rsidRPr="00821AF6" w:rsidRDefault="003F027D" w:rsidP="00D1104A">
            <w:pPr>
              <w:spacing w:before="60" w:after="20" w:line="288" w:lineRule="auto"/>
              <w:ind w:firstLine="0"/>
              <w:jc w:val="center"/>
              <w:rPr>
                <w:rFonts w:cs="Tahoma"/>
                <w:i/>
                <w:sz w:val="20"/>
                <w:szCs w:val="20"/>
              </w:rPr>
            </w:pPr>
            <w:proofErr w:type="spellStart"/>
            <w:r w:rsidRPr="00821AF6">
              <w:rPr>
                <w:rFonts w:cs="Tahoma"/>
                <w:i/>
                <w:sz w:val="20"/>
                <w:szCs w:val="20"/>
              </w:rPr>
              <w:t>I</w:t>
            </w:r>
            <w:r>
              <w:rPr>
                <w:rFonts w:cs="Tahoma"/>
                <w:i/>
                <w:sz w:val="20"/>
                <w:szCs w:val="20"/>
              </w:rPr>
              <w:t>I</w:t>
            </w:r>
            <w:r w:rsidRPr="00821AF6">
              <w:rPr>
                <w:rFonts w:cs="Tahoma"/>
                <w:i/>
                <w:sz w:val="20"/>
                <w:szCs w:val="20"/>
              </w:rPr>
              <w:t>a</w:t>
            </w:r>
            <w:proofErr w:type="spellEnd"/>
          </w:p>
        </w:tc>
        <w:tc>
          <w:tcPr>
            <w:tcW w:w="4598" w:type="dxa"/>
            <w:tcBorders>
              <w:top w:val="single" w:sz="4" w:space="0" w:color="auto"/>
              <w:left w:val="single" w:sz="4" w:space="0" w:color="auto"/>
              <w:bottom w:val="single" w:sz="4" w:space="0" w:color="auto"/>
              <w:right w:val="single" w:sz="4" w:space="0" w:color="auto"/>
            </w:tcBorders>
            <w:vAlign w:val="center"/>
          </w:tcPr>
          <w:p w14:paraId="7BE7E514" w14:textId="77777777" w:rsidR="003F027D" w:rsidRPr="00821AF6" w:rsidRDefault="003F027D" w:rsidP="00D1104A">
            <w:pPr>
              <w:spacing w:before="60" w:after="20" w:line="288" w:lineRule="auto"/>
              <w:ind w:firstLine="0"/>
              <w:jc w:val="left"/>
              <w:rPr>
                <w:rFonts w:cs="Tahoma"/>
                <w:i/>
                <w:sz w:val="20"/>
                <w:szCs w:val="20"/>
              </w:rPr>
            </w:pPr>
            <w:r w:rsidRPr="00821AF6">
              <w:rPr>
                <w:rFonts w:cs="Tahoma"/>
                <w:i/>
                <w:sz w:val="20"/>
                <w:szCs w:val="20"/>
              </w:rPr>
              <w:softHyphen/>
              <w:t xml:space="preserve">– w tym </w:t>
            </w:r>
            <w:r>
              <w:rPr>
                <w:rFonts w:cs="Tahoma"/>
                <w:i/>
                <w:sz w:val="20"/>
                <w:szCs w:val="20"/>
              </w:rPr>
              <w:t>spłata kredytów</w:t>
            </w:r>
          </w:p>
        </w:tc>
        <w:tc>
          <w:tcPr>
            <w:tcW w:w="1276" w:type="dxa"/>
            <w:tcBorders>
              <w:top w:val="single" w:sz="4" w:space="0" w:color="auto"/>
              <w:left w:val="single" w:sz="4" w:space="0" w:color="auto"/>
              <w:bottom w:val="single" w:sz="4" w:space="0" w:color="auto"/>
              <w:right w:val="single" w:sz="4" w:space="0" w:color="auto"/>
            </w:tcBorders>
            <w:vAlign w:val="center"/>
          </w:tcPr>
          <w:p w14:paraId="0A4C17AC" w14:textId="030ABDDE" w:rsidR="003F027D" w:rsidRPr="00821AF6" w:rsidRDefault="00FE1E87" w:rsidP="00D1104A">
            <w:pPr>
              <w:spacing w:before="60" w:after="20" w:line="288" w:lineRule="auto"/>
              <w:ind w:firstLine="0"/>
              <w:jc w:val="right"/>
              <w:rPr>
                <w:rFonts w:cs="Tahoma"/>
                <w:i/>
                <w:sz w:val="20"/>
                <w:szCs w:val="20"/>
              </w:rPr>
            </w:pPr>
            <w:r>
              <w:rPr>
                <w:rFonts w:cs="Tahoma"/>
                <w:i/>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2434C813" w14:textId="4E229F07" w:rsidR="003F027D" w:rsidRPr="00821AF6" w:rsidRDefault="00FE1E87" w:rsidP="00D1104A">
            <w:pPr>
              <w:spacing w:before="60" w:after="20" w:line="288" w:lineRule="auto"/>
              <w:ind w:firstLine="0"/>
              <w:jc w:val="right"/>
              <w:rPr>
                <w:rFonts w:cs="Tahoma"/>
                <w:i/>
                <w:sz w:val="20"/>
                <w:szCs w:val="20"/>
              </w:rPr>
            </w:pPr>
            <w:r>
              <w:rPr>
                <w:rFonts w:cs="Tahoma"/>
                <w:i/>
                <w:sz w:val="20"/>
                <w:szCs w:val="20"/>
              </w:rPr>
              <w:t>0,0</w:t>
            </w:r>
          </w:p>
        </w:tc>
        <w:tc>
          <w:tcPr>
            <w:tcW w:w="1283" w:type="dxa"/>
            <w:tcBorders>
              <w:top w:val="single" w:sz="4" w:space="0" w:color="auto"/>
              <w:left w:val="single" w:sz="4" w:space="0" w:color="auto"/>
              <w:bottom w:val="single" w:sz="4" w:space="0" w:color="auto"/>
              <w:right w:val="single" w:sz="4" w:space="0" w:color="auto"/>
            </w:tcBorders>
            <w:vAlign w:val="center"/>
          </w:tcPr>
          <w:p w14:paraId="17EC4949" w14:textId="213B9DEC" w:rsidR="003F027D" w:rsidRPr="00821AF6" w:rsidRDefault="00FE1E87" w:rsidP="00D1104A">
            <w:pPr>
              <w:spacing w:before="60" w:after="20" w:line="288" w:lineRule="auto"/>
              <w:ind w:firstLine="0"/>
              <w:jc w:val="right"/>
              <w:rPr>
                <w:rFonts w:cs="Tahoma"/>
                <w:i/>
                <w:sz w:val="20"/>
                <w:szCs w:val="20"/>
              </w:rPr>
            </w:pPr>
            <w:r>
              <w:rPr>
                <w:rFonts w:cs="Tahoma"/>
                <w:i/>
                <w:sz w:val="20"/>
                <w:szCs w:val="20"/>
              </w:rPr>
              <w:t>0,0</w:t>
            </w:r>
          </w:p>
        </w:tc>
      </w:tr>
      <w:tr w:rsidR="003F027D" w:rsidRPr="00821AF6" w14:paraId="3C0FDDE9"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vAlign w:val="center"/>
          </w:tcPr>
          <w:p w14:paraId="2911B188" w14:textId="77777777" w:rsidR="003F027D" w:rsidRPr="00821AF6" w:rsidRDefault="003F027D" w:rsidP="00D1104A">
            <w:pPr>
              <w:spacing w:before="60" w:after="20" w:line="288" w:lineRule="auto"/>
              <w:ind w:firstLine="0"/>
              <w:jc w:val="center"/>
              <w:rPr>
                <w:rFonts w:cs="Tahoma"/>
                <w:b/>
                <w:sz w:val="20"/>
                <w:szCs w:val="20"/>
              </w:rPr>
            </w:pPr>
            <w:r w:rsidRPr="00821AF6">
              <w:rPr>
                <w:rFonts w:cs="Tahoma"/>
                <w:b/>
                <w:sz w:val="20"/>
                <w:szCs w:val="20"/>
              </w:rPr>
              <w:t>III</w:t>
            </w:r>
          </w:p>
        </w:tc>
        <w:tc>
          <w:tcPr>
            <w:tcW w:w="4598" w:type="dxa"/>
            <w:tcBorders>
              <w:top w:val="single" w:sz="4" w:space="0" w:color="auto"/>
              <w:left w:val="single" w:sz="4" w:space="0" w:color="auto"/>
              <w:bottom w:val="single" w:sz="4" w:space="0" w:color="auto"/>
              <w:right w:val="single" w:sz="4" w:space="0" w:color="auto"/>
            </w:tcBorders>
            <w:vAlign w:val="center"/>
          </w:tcPr>
          <w:p w14:paraId="26D47212" w14:textId="77777777" w:rsidR="003F027D" w:rsidRPr="00821AF6" w:rsidRDefault="003F027D" w:rsidP="00D1104A">
            <w:pPr>
              <w:spacing w:before="60" w:after="20" w:line="288" w:lineRule="auto"/>
              <w:ind w:firstLine="0"/>
              <w:jc w:val="left"/>
              <w:rPr>
                <w:rFonts w:cs="Tahoma"/>
                <w:b/>
                <w:sz w:val="20"/>
                <w:szCs w:val="20"/>
              </w:rPr>
            </w:pPr>
            <w:r w:rsidRPr="00821AF6">
              <w:rPr>
                <w:rFonts w:cs="Tahoma"/>
                <w:b/>
                <w:sz w:val="20"/>
                <w:szCs w:val="20"/>
              </w:rPr>
              <w:t>Przepływy pieniężne netto z działalności</w:t>
            </w:r>
            <w:r w:rsidRPr="00821AF6">
              <w:rPr>
                <w:rFonts w:cs="Tahoma"/>
                <w:b/>
                <w:sz w:val="20"/>
                <w:szCs w:val="20"/>
              </w:rPr>
              <w:br/>
              <w:t>finansowej</w:t>
            </w:r>
          </w:p>
        </w:tc>
        <w:tc>
          <w:tcPr>
            <w:tcW w:w="1276" w:type="dxa"/>
            <w:tcBorders>
              <w:top w:val="single" w:sz="4" w:space="0" w:color="auto"/>
              <w:left w:val="single" w:sz="4" w:space="0" w:color="auto"/>
              <w:bottom w:val="single" w:sz="4" w:space="0" w:color="auto"/>
              <w:right w:val="single" w:sz="4" w:space="0" w:color="auto"/>
            </w:tcBorders>
            <w:vAlign w:val="center"/>
          </w:tcPr>
          <w:p w14:paraId="3F28D0D7" w14:textId="07263111" w:rsidR="003F027D" w:rsidRPr="00821AF6" w:rsidRDefault="00FE1E87" w:rsidP="00D1104A">
            <w:pPr>
              <w:spacing w:before="60" w:after="20" w:line="288" w:lineRule="auto"/>
              <w:ind w:firstLine="0"/>
              <w:jc w:val="right"/>
              <w:rPr>
                <w:rFonts w:cs="Tahoma"/>
                <w:b/>
                <w:sz w:val="20"/>
                <w:szCs w:val="20"/>
              </w:rPr>
            </w:pPr>
            <w:r>
              <w:rPr>
                <w:rFonts w:cs="Tahoma"/>
                <w:b/>
                <w:sz w:val="20"/>
                <w:szCs w:val="20"/>
              </w:rPr>
              <w:t>163,7</w:t>
            </w:r>
          </w:p>
        </w:tc>
        <w:tc>
          <w:tcPr>
            <w:tcW w:w="1276" w:type="dxa"/>
            <w:tcBorders>
              <w:top w:val="single" w:sz="4" w:space="0" w:color="auto"/>
              <w:left w:val="single" w:sz="4" w:space="0" w:color="auto"/>
              <w:bottom w:val="single" w:sz="4" w:space="0" w:color="auto"/>
              <w:right w:val="single" w:sz="4" w:space="0" w:color="auto"/>
            </w:tcBorders>
            <w:vAlign w:val="center"/>
          </w:tcPr>
          <w:p w14:paraId="1BE099B4" w14:textId="5F3513D8" w:rsidR="003F027D" w:rsidRPr="00821AF6" w:rsidRDefault="00FE1E87" w:rsidP="00D1104A">
            <w:pPr>
              <w:spacing w:before="60" w:after="20" w:line="288" w:lineRule="auto"/>
              <w:ind w:firstLine="0"/>
              <w:jc w:val="right"/>
              <w:rPr>
                <w:rFonts w:cs="Tahoma"/>
                <w:b/>
                <w:sz w:val="20"/>
                <w:szCs w:val="20"/>
              </w:rPr>
            </w:pPr>
            <w:r>
              <w:rPr>
                <w:rFonts w:cs="Tahoma"/>
                <w:b/>
                <w:sz w:val="20"/>
                <w:szCs w:val="20"/>
              </w:rPr>
              <w:t>146,6</w:t>
            </w:r>
          </w:p>
        </w:tc>
        <w:tc>
          <w:tcPr>
            <w:tcW w:w="1283" w:type="dxa"/>
            <w:tcBorders>
              <w:top w:val="single" w:sz="4" w:space="0" w:color="auto"/>
              <w:left w:val="single" w:sz="4" w:space="0" w:color="auto"/>
              <w:bottom w:val="single" w:sz="4" w:space="0" w:color="auto"/>
              <w:right w:val="single" w:sz="4" w:space="0" w:color="auto"/>
            </w:tcBorders>
            <w:vAlign w:val="center"/>
          </w:tcPr>
          <w:p w14:paraId="127560D1" w14:textId="124727ED" w:rsidR="003F027D" w:rsidRPr="00821AF6" w:rsidRDefault="00FE1E87" w:rsidP="00D1104A">
            <w:pPr>
              <w:spacing w:before="60" w:after="20" w:line="288" w:lineRule="auto"/>
              <w:ind w:firstLine="0"/>
              <w:jc w:val="right"/>
              <w:rPr>
                <w:rFonts w:cs="Tahoma"/>
                <w:b/>
                <w:sz w:val="20"/>
                <w:szCs w:val="20"/>
              </w:rPr>
            </w:pPr>
            <w:r>
              <w:rPr>
                <w:rFonts w:cs="Tahoma"/>
                <w:b/>
                <w:sz w:val="20"/>
                <w:szCs w:val="20"/>
              </w:rPr>
              <w:t>368,6</w:t>
            </w:r>
          </w:p>
        </w:tc>
      </w:tr>
      <w:tr w:rsidR="003F027D" w:rsidRPr="00821AF6" w14:paraId="222C0FDD"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C0FF06" w14:textId="77777777" w:rsidR="003F027D" w:rsidRPr="00821AF6" w:rsidRDefault="003F027D" w:rsidP="00D1104A">
            <w:pPr>
              <w:spacing w:before="60" w:after="20" w:line="288" w:lineRule="auto"/>
              <w:ind w:firstLine="0"/>
              <w:jc w:val="center"/>
              <w:rPr>
                <w:rFonts w:cs="Tahoma"/>
                <w:b/>
                <w:sz w:val="20"/>
                <w:szCs w:val="20"/>
              </w:rPr>
            </w:pPr>
            <w:r w:rsidRPr="00821AF6">
              <w:rPr>
                <w:rFonts w:cs="Tahoma"/>
                <w:b/>
                <w:sz w:val="20"/>
                <w:szCs w:val="20"/>
              </w:rPr>
              <w:t>D</w:t>
            </w:r>
          </w:p>
        </w:tc>
        <w:tc>
          <w:tcPr>
            <w:tcW w:w="45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0458AE" w14:textId="77777777" w:rsidR="003F027D" w:rsidRPr="00821AF6" w:rsidRDefault="003F027D" w:rsidP="00D1104A">
            <w:pPr>
              <w:spacing w:before="60" w:after="20" w:line="288" w:lineRule="auto"/>
              <w:ind w:firstLine="0"/>
              <w:jc w:val="left"/>
              <w:rPr>
                <w:rFonts w:cs="Tahoma"/>
                <w:b/>
                <w:sz w:val="20"/>
                <w:szCs w:val="20"/>
              </w:rPr>
            </w:pPr>
            <w:r w:rsidRPr="00821AF6">
              <w:rPr>
                <w:rFonts w:cs="Tahoma"/>
                <w:b/>
                <w:sz w:val="20"/>
                <w:szCs w:val="20"/>
              </w:rPr>
              <w:t>Przepływy pieniężne netto</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CADA57" w14:textId="1D9E66A1" w:rsidR="003F027D" w:rsidRPr="00821AF6" w:rsidRDefault="00FE1E87" w:rsidP="00D1104A">
            <w:pPr>
              <w:spacing w:before="60" w:after="20" w:line="288" w:lineRule="auto"/>
              <w:ind w:firstLine="0"/>
              <w:jc w:val="right"/>
              <w:rPr>
                <w:rFonts w:cs="Tahoma"/>
                <w:b/>
                <w:sz w:val="20"/>
                <w:szCs w:val="20"/>
              </w:rPr>
            </w:pPr>
            <w:r>
              <w:rPr>
                <w:rFonts w:cs="Tahoma"/>
                <w:b/>
                <w:sz w:val="20"/>
                <w:szCs w:val="20"/>
              </w:rPr>
              <w:t>1 104,7</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26E7E4" w14:textId="60D40361" w:rsidR="003F027D" w:rsidRPr="00821AF6" w:rsidRDefault="00FE1E87" w:rsidP="00D1104A">
            <w:pPr>
              <w:spacing w:before="60" w:after="20" w:line="288" w:lineRule="auto"/>
              <w:ind w:firstLine="0"/>
              <w:jc w:val="right"/>
              <w:rPr>
                <w:rFonts w:cs="Tahoma"/>
                <w:b/>
                <w:sz w:val="20"/>
                <w:szCs w:val="20"/>
              </w:rPr>
            </w:pPr>
            <w:r>
              <w:rPr>
                <w:rFonts w:cs="Tahoma"/>
                <w:b/>
                <w:sz w:val="20"/>
                <w:szCs w:val="20"/>
              </w:rPr>
              <w:t>576,7</w:t>
            </w:r>
          </w:p>
        </w:tc>
        <w:tc>
          <w:tcPr>
            <w:tcW w:w="12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9AD6B7" w14:textId="5BD160EC" w:rsidR="003F027D" w:rsidRPr="00821AF6" w:rsidRDefault="00FE1E87" w:rsidP="00D1104A">
            <w:pPr>
              <w:spacing w:before="60" w:after="20" w:line="288" w:lineRule="auto"/>
              <w:ind w:firstLine="0"/>
              <w:jc w:val="right"/>
              <w:rPr>
                <w:rFonts w:cs="Tahoma"/>
                <w:b/>
                <w:sz w:val="20"/>
                <w:szCs w:val="20"/>
              </w:rPr>
            </w:pPr>
            <w:r>
              <w:rPr>
                <w:rFonts w:cs="Tahoma"/>
                <w:b/>
                <w:sz w:val="20"/>
                <w:szCs w:val="20"/>
              </w:rPr>
              <w:t>-1 318,4</w:t>
            </w:r>
          </w:p>
        </w:tc>
      </w:tr>
      <w:tr w:rsidR="003F027D" w:rsidRPr="00821AF6" w14:paraId="7BD5DCB9"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694A02" w14:textId="77777777" w:rsidR="003F027D" w:rsidRPr="00821AF6" w:rsidRDefault="003F027D" w:rsidP="00D1104A">
            <w:pPr>
              <w:spacing w:before="60" w:after="20" w:line="288" w:lineRule="auto"/>
              <w:ind w:firstLine="0"/>
              <w:jc w:val="center"/>
              <w:rPr>
                <w:rFonts w:cs="Tahoma"/>
                <w:b/>
                <w:sz w:val="20"/>
                <w:szCs w:val="20"/>
              </w:rPr>
            </w:pPr>
            <w:r w:rsidRPr="00821AF6">
              <w:rPr>
                <w:rFonts w:cs="Tahoma"/>
                <w:b/>
                <w:sz w:val="20"/>
                <w:szCs w:val="20"/>
              </w:rPr>
              <w:t>E</w:t>
            </w:r>
          </w:p>
        </w:tc>
        <w:tc>
          <w:tcPr>
            <w:tcW w:w="45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48F575" w14:textId="77777777" w:rsidR="003F027D" w:rsidRPr="00821AF6" w:rsidRDefault="003F027D" w:rsidP="00D1104A">
            <w:pPr>
              <w:spacing w:before="60" w:after="20" w:line="288" w:lineRule="auto"/>
              <w:ind w:firstLine="0"/>
              <w:jc w:val="left"/>
              <w:rPr>
                <w:rFonts w:cs="Tahoma"/>
                <w:b/>
                <w:sz w:val="20"/>
                <w:szCs w:val="20"/>
              </w:rPr>
            </w:pPr>
            <w:r w:rsidRPr="00821AF6">
              <w:rPr>
                <w:rFonts w:cs="Tahoma"/>
                <w:b/>
                <w:sz w:val="20"/>
                <w:szCs w:val="20"/>
              </w:rPr>
              <w:t>Środki pieniężne na początek okresu</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FD7553" w14:textId="03ABA2C0" w:rsidR="003F027D" w:rsidRPr="00821AF6" w:rsidRDefault="00FE1E87" w:rsidP="00D1104A">
            <w:pPr>
              <w:spacing w:before="60" w:after="20" w:line="288" w:lineRule="auto"/>
              <w:ind w:firstLine="0"/>
              <w:jc w:val="right"/>
              <w:rPr>
                <w:rFonts w:cs="Tahoma"/>
                <w:b/>
                <w:sz w:val="20"/>
                <w:szCs w:val="20"/>
              </w:rPr>
            </w:pPr>
            <w:r>
              <w:rPr>
                <w:rFonts w:cs="Tahoma"/>
                <w:b/>
                <w:sz w:val="20"/>
                <w:szCs w:val="20"/>
              </w:rPr>
              <w:t>5 038,7</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8AD99B" w14:textId="5487DDF2" w:rsidR="003F027D" w:rsidRPr="00821AF6" w:rsidRDefault="00FE1E87" w:rsidP="00D1104A">
            <w:pPr>
              <w:spacing w:before="60" w:after="20" w:line="288" w:lineRule="auto"/>
              <w:ind w:firstLine="0"/>
              <w:jc w:val="right"/>
              <w:rPr>
                <w:rFonts w:cs="Tahoma"/>
                <w:b/>
                <w:sz w:val="20"/>
                <w:szCs w:val="20"/>
              </w:rPr>
            </w:pPr>
            <w:r>
              <w:rPr>
                <w:rFonts w:cs="Tahoma"/>
                <w:b/>
                <w:sz w:val="20"/>
                <w:szCs w:val="20"/>
              </w:rPr>
              <w:t>6 143,4</w:t>
            </w:r>
          </w:p>
        </w:tc>
        <w:tc>
          <w:tcPr>
            <w:tcW w:w="12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CACAE1" w14:textId="493CB822" w:rsidR="003F027D" w:rsidRPr="00821AF6" w:rsidRDefault="00FE1E87" w:rsidP="00D1104A">
            <w:pPr>
              <w:spacing w:before="60" w:after="20" w:line="288" w:lineRule="auto"/>
              <w:ind w:firstLine="0"/>
              <w:jc w:val="right"/>
              <w:rPr>
                <w:rFonts w:cs="Tahoma"/>
                <w:b/>
                <w:sz w:val="20"/>
                <w:szCs w:val="20"/>
              </w:rPr>
            </w:pPr>
            <w:r>
              <w:rPr>
                <w:rFonts w:cs="Tahoma"/>
                <w:b/>
                <w:sz w:val="20"/>
                <w:szCs w:val="20"/>
              </w:rPr>
              <w:t>6 720,1</w:t>
            </w:r>
          </w:p>
        </w:tc>
      </w:tr>
      <w:tr w:rsidR="003F027D" w:rsidRPr="00821AF6" w14:paraId="786BFA1B" w14:textId="77777777" w:rsidTr="003F027D">
        <w:trPr>
          <w:cantSplit/>
          <w:jc w:val="center"/>
        </w:trPr>
        <w:tc>
          <w:tcPr>
            <w:tcW w:w="63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818DE1" w14:textId="77777777" w:rsidR="003F027D" w:rsidRPr="00821AF6" w:rsidRDefault="003F027D" w:rsidP="00D1104A">
            <w:pPr>
              <w:spacing w:before="60" w:after="20" w:line="288" w:lineRule="auto"/>
              <w:ind w:firstLine="0"/>
              <w:jc w:val="center"/>
              <w:rPr>
                <w:rFonts w:cs="Tahoma"/>
                <w:b/>
                <w:sz w:val="20"/>
                <w:szCs w:val="20"/>
              </w:rPr>
            </w:pPr>
            <w:r w:rsidRPr="00821AF6">
              <w:rPr>
                <w:rFonts w:cs="Tahoma"/>
                <w:b/>
                <w:sz w:val="20"/>
                <w:szCs w:val="20"/>
              </w:rPr>
              <w:t>F</w:t>
            </w:r>
          </w:p>
        </w:tc>
        <w:tc>
          <w:tcPr>
            <w:tcW w:w="45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2CE780" w14:textId="77777777" w:rsidR="003F027D" w:rsidRPr="00821AF6" w:rsidRDefault="003F027D" w:rsidP="00D1104A">
            <w:pPr>
              <w:spacing w:before="60" w:after="20" w:line="288" w:lineRule="auto"/>
              <w:ind w:firstLine="0"/>
              <w:jc w:val="left"/>
              <w:rPr>
                <w:rFonts w:cs="Tahoma"/>
                <w:b/>
                <w:sz w:val="20"/>
                <w:szCs w:val="20"/>
              </w:rPr>
            </w:pPr>
            <w:r w:rsidRPr="00821AF6">
              <w:rPr>
                <w:rFonts w:cs="Tahoma"/>
                <w:b/>
                <w:sz w:val="20"/>
                <w:szCs w:val="20"/>
              </w:rPr>
              <w:t>Środki pieniężne na koniec okresu</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B9EF85" w14:textId="747174F8" w:rsidR="003F027D" w:rsidRPr="00821AF6" w:rsidRDefault="00FE1E87" w:rsidP="00D1104A">
            <w:pPr>
              <w:spacing w:before="60" w:after="20" w:line="288" w:lineRule="auto"/>
              <w:ind w:firstLine="0"/>
              <w:jc w:val="right"/>
              <w:rPr>
                <w:rFonts w:cs="Tahoma"/>
                <w:b/>
                <w:sz w:val="20"/>
                <w:szCs w:val="20"/>
              </w:rPr>
            </w:pPr>
            <w:r>
              <w:rPr>
                <w:rFonts w:cs="Tahoma"/>
                <w:b/>
                <w:sz w:val="20"/>
                <w:szCs w:val="20"/>
              </w:rPr>
              <w:t>6 143,4</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2688DF" w14:textId="398B9EC8" w:rsidR="003F027D" w:rsidRPr="00821AF6" w:rsidRDefault="00FE1E87" w:rsidP="00D1104A">
            <w:pPr>
              <w:spacing w:before="60" w:after="20" w:line="288" w:lineRule="auto"/>
              <w:ind w:firstLine="0"/>
              <w:jc w:val="right"/>
              <w:rPr>
                <w:rFonts w:cs="Tahoma"/>
                <w:b/>
                <w:sz w:val="20"/>
                <w:szCs w:val="20"/>
              </w:rPr>
            </w:pPr>
            <w:r>
              <w:rPr>
                <w:rFonts w:cs="Tahoma"/>
                <w:b/>
                <w:sz w:val="20"/>
                <w:szCs w:val="20"/>
              </w:rPr>
              <w:t>6 720,1</w:t>
            </w:r>
          </w:p>
        </w:tc>
        <w:tc>
          <w:tcPr>
            <w:tcW w:w="12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5DBEC3" w14:textId="2020852E" w:rsidR="003F027D" w:rsidRPr="00821AF6" w:rsidRDefault="00FE1E87" w:rsidP="00D1104A">
            <w:pPr>
              <w:spacing w:before="60" w:after="20" w:line="288" w:lineRule="auto"/>
              <w:ind w:firstLine="0"/>
              <w:jc w:val="right"/>
              <w:rPr>
                <w:rFonts w:cs="Tahoma"/>
                <w:b/>
                <w:sz w:val="20"/>
                <w:szCs w:val="20"/>
              </w:rPr>
            </w:pPr>
            <w:r>
              <w:rPr>
                <w:rFonts w:cs="Tahoma"/>
                <w:b/>
                <w:sz w:val="20"/>
                <w:szCs w:val="20"/>
              </w:rPr>
              <w:t>5 401,7</w:t>
            </w:r>
          </w:p>
        </w:tc>
      </w:tr>
    </w:tbl>
    <w:p w14:paraId="6166D1A5" w14:textId="503F5C4D" w:rsidR="003F027D" w:rsidRPr="00821AF6" w:rsidRDefault="003F027D" w:rsidP="00D1104A">
      <w:pPr>
        <w:spacing w:before="120" w:after="240"/>
        <w:ind w:firstLine="0"/>
        <w:jc w:val="left"/>
        <w:rPr>
          <w:rFonts w:cs="Tahoma"/>
          <w:sz w:val="20"/>
          <w:szCs w:val="20"/>
        </w:rPr>
      </w:pPr>
      <w:r w:rsidRPr="00821AF6">
        <w:rPr>
          <w:rFonts w:cs="Tahoma"/>
          <w:sz w:val="20"/>
          <w:szCs w:val="20"/>
        </w:rPr>
        <w:t>Źródło</w:t>
      </w:r>
      <w:r w:rsidR="000024F4">
        <w:rPr>
          <w:rFonts w:cs="Tahoma"/>
          <w:sz w:val="20"/>
          <w:szCs w:val="20"/>
        </w:rPr>
        <w:t xml:space="preserve"> dan</w:t>
      </w:r>
      <w:r w:rsidR="00D1104A">
        <w:rPr>
          <w:rFonts w:cs="Tahoma"/>
          <w:sz w:val="20"/>
          <w:szCs w:val="20"/>
        </w:rPr>
        <w:t>e MPK-Rzeszów sp. z o.o.</w:t>
      </w:r>
    </w:p>
    <w:p w14:paraId="762DC583" w14:textId="526ADF38" w:rsidR="003F027D" w:rsidRPr="00821AF6" w:rsidRDefault="003F027D" w:rsidP="00FE1E87">
      <w:pPr>
        <w:rPr>
          <w:rFonts w:cs="Tahoma"/>
          <w:szCs w:val="22"/>
        </w:rPr>
      </w:pPr>
      <w:r w:rsidRPr="00821AF6">
        <w:rPr>
          <w:rFonts w:cs="Tahoma"/>
          <w:szCs w:val="22"/>
        </w:rPr>
        <w:t>W tabeli 2</w:t>
      </w:r>
      <w:r w:rsidR="00FC21AD">
        <w:rPr>
          <w:rFonts w:cs="Tahoma"/>
          <w:szCs w:val="22"/>
        </w:rPr>
        <w:t>3</w:t>
      </w:r>
      <w:r w:rsidRPr="00821AF6">
        <w:rPr>
          <w:rFonts w:cs="Tahoma"/>
          <w:szCs w:val="22"/>
        </w:rPr>
        <w:t xml:space="preserve"> przedstawiono podstawowe wskaźniki charakteryzujące sytuację finansową </w:t>
      </w:r>
      <w:r w:rsidR="00C73F5E">
        <w:rPr>
          <w:rFonts w:cs="Tahoma"/>
          <w:szCs w:val="22"/>
        </w:rPr>
        <w:t>MPK</w:t>
      </w:r>
      <w:r w:rsidR="00FE1E87">
        <w:rPr>
          <w:rFonts w:cs="Tahoma"/>
          <w:szCs w:val="22"/>
        </w:rPr>
        <w:t>-Rzeszów</w:t>
      </w:r>
      <w:r w:rsidR="00C73F5E">
        <w:rPr>
          <w:rFonts w:cs="Tahoma"/>
          <w:szCs w:val="22"/>
        </w:rPr>
        <w:t xml:space="preserve"> </w:t>
      </w:r>
      <w:r w:rsidRPr="00821AF6">
        <w:rPr>
          <w:rFonts w:cs="Tahoma"/>
          <w:szCs w:val="22"/>
        </w:rPr>
        <w:t xml:space="preserve">sp. z o.o. </w:t>
      </w:r>
    </w:p>
    <w:p w14:paraId="54FF2501" w14:textId="48032D14" w:rsidR="003F027D" w:rsidRPr="00821AF6" w:rsidRDefault="003F027D" w:rsidP="00FE1E87">
      <w:pPr>
        <w:pStyle w:val="Legenda"/>
        <w:keepNext/>
        <w:spacing w:before="240" w:after="0"/>
        <w:ind w:firstLine="0"/>
        <w:jc w:val="left"/>
        <w:rPr>
          <w:color w:val="000000"/>
          <w:sz w:val="22"/>
          <w:szCs w:val="22"/>
        </w:rPr>
      </w:pPr>
      <w:r w:rsidRPr="00821AF6">
        <w:rPr>
          <w:color w:val="000000"/>
          <w:sz w:val="22"/>
          <w:szCs w:val="22"/>
        </w:rPr>
        <w:t xml:space="preserve">Tab. </w:t>
      </w:r>
      <w:r w:rsidRPr="00821AF6">
        <w:rPr>
          <w:color w:val="000000"/>
          <w:sz w:val="22"/>
          <w:szCs w:val="22"/>
        </w:rPr>
        <w:fldChar w:fldCharType="begin"/>
      </w:r>
      <w:r w:rsidRPr="00821AF6">
        <w:rPr>
          <w:color w:val="000000"/>
          <w:sz w:val="22"/>
          <w:szCs w:val="22"/>
        </w:rPr>
        <w:instrText xml:space="preserve"> SEQ Tab. \* ARABIC </w:instrText>
      </w:r>
      <w:r w:rsidRPr="00821AF6">
        <w:rPr>
          <w:color w:val="000000"/>
          <w:sz w:val="22"/>
          <w:szCs w:val="22"/>
        </w:rPr>
        <w:fldChar w:fldCharType="separate"/>
      </w:r>
      <w:r w:rsidR="004605BC">
        <w:rPr>
          <w:noProof/>
          <w:color w:val="000000"/>
          <w:sz w:val="22"/>
          <w:szCs w:val="22"/>
        </w:rPr>
        <w:t>23</w:t>
      </w:r>
      <w:r w:rsidRPr="00821AF6">
        <w:rPr>
          <w:color w:val="000000"/>
          <w:sz w:val="22"/>
          <w:szCs w:val="22"/>
        </w:rPr>
        <w:fldChar w:fldCharType="end"/>
      </w:r>
      <w:r w:rsidRPr="00821AF6">
        <w:rPr>
          <w:color w:val="000000"/>
          <w:sz w:val="22"/>
          <w:szCs w:val="22"/>
        </w:rPr>
        <w:t xml:space="preserve">. Wskaźniki finansowe </w:t>
      </w:r>
      <w:r w:rsidR="00C73F5E">
        <w:rPr>
          <w:color w:val="000000"/>
          <w:sz w:val="22"/>
          <w:szCs w:val="22"/>
        </w:rPr>
        <w:t>MPK</w:t>
      </w:r>
      <w:r w:rsidR="00FE1E87">
        <w:rPr>
          <w:color w:val="000000"/>
          <w:sz w:val="22"/>
          <w:szCs w:val="22"/>
        </w:rPr>
        <w:t>-Rzeszów</w:t>
      </w:r>
      <w:r w:rsidR="00C73F5E">
        <w:rPr>
          <w:color w:val="000000"/>
          <w:sz w:val="22"/>
          <w:szCs w:val="22"/>
        </w:rPr>
        <w:t xml:space="preserve"> </w:t>
      </w:r>
      <w:r w:rsidRPr="00821AF6">
        <w:rPr>
          <w:color w:val="000000"/>
          <w:sz w:val="22"/>
          <w:szCs w:val="22"/>
        </w:rPr>
        <w:t>sp. z o.o. w latach 2018-2020</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59"/>
        <w:gridCol w:w="5103"/>
        <w:gridCol w:w="1134"/>
        <w:gridCol w:w="1134"/>
        <w:gridCol w:w="1142"/>
      </w:tblGrid>
      <w:tr w:rsidR="003F027D" w:rsidRPr="00821AF6" w14:paraId="38ADF7BD" w14:textId="77777777" w:rsidTr="003F027D">
        <w:trPr>
          <w:cantSplit/>
          <w:trHeight w:val="350"/>
          <w:tblHeader/>
          <w:jc w:val="center"/>
        </w:trPr>
        <w:tc>
          <w:tcPr>
            <w:tcW w:w="559" w:type="dxa"/>
            <w:vMerge w:val="restart"/>
            <w:shd w:val="clear" w:color="auto" w:fill="FFFF99"/>
            <w:vAlign w:val="center"/>
          </w:tcPr>
          <w:p w14:paraId="5B3B7F4A" w14:textId="77777777" w:rsidR="003F027D" w:rsidRPr="00821AF6" w:rsidRDefault="003F027D" w:rsidP="00FE1E87">
            <w:pPr>
              <w:keepNext/>
              <w:spacing w:before="60" w:after="20" w:line="288" w:lineRule="auto"/>
              <w:ind w:firstLine="0"/>
              <w:jc w:val="center"/>
              <w:rPr>
                <w:rFonts w:cs="Tahoma"/>
                <w:b/>
                <w:sz w:val="20"/>
                <w:szCs w:val="20"/>
              </w:rPr>
            </w:pPr>
            <w:r w:rsidRPr="00821AF6">
              <w:rPr>
                <w:rFonts w:cs="Tahoma"/>
                <w:b/>
                <w:sz w:val="20"/>
                <w:szCs w:val="20"/>
              </w:rPr>
              <w:t>Lp.</w:t>
            </w:r>
          </w:p>
        </w:tc>
        <w:tc>
          <w:tcPr>
            <w:tcW w:w="5103" w:type="dxa"/>
            <w:vMerge w:val="restart"/>
            <w:shd w:val="clear" w:color="auto" w:fill="FFFF99"/>
            <w:vAlign w:val="center"/>
          </w:tcPr>
          <w:p w14:paraId="148F1141" w14:textId="77777777" w:rsidR="003F027D" w:rsidRPr="00821AF6" w:rsidRDefault="003F027D" w:rsidP="00FE1E87">
            <w:pPr>
              <w:keepNext/>
              <w:spacing w:before="60" w:after="20" w:line="288" w:lineRule="auto"/>
              <w:ind w:firstLine="0"/>
              <w:jc w:val="center"/>
              <w:rPr>
                <w:rFonts w:cs="Tahoma"/>
                <w:b/>
                <w:sz w:val="20"/>
                <w:szCs w:val="20"/>
              </w:rPr>
            </w:pPr>
            <w:r w:rsidRPr="00821AF6">
              <w:rPr>
                <w:rFonts w:cs="Tahoma"/>
                <w:b/>
                <w:sz w:val="20"/>
                <w:szCs w:val="20"/>
              </w:rPr>
              <w:t>Wyszczególnienie</w:t>
            </w:r>
          </w:p>
        </w:tc>
        <w:tc>
          <w:tcPr>
            <w:tcW w:w="3410" w:type="dxa"/>
            <w:gridSpan w:val="3"/>
            <w:tcBorders>
              <w:bottom w:val="single" w:sz="6" w:space="0" w:color="auto"/>
            </w:tcBorders>
            <w:shd w:val="clear" w:color="auto" w:fill="FFFF99"/>
            <w:vAlign w:val="center"/>
          </w:tcPr>
          <w:p w14:paraId="4F959625" w14:textId="77777777" w:rsidR="003F027D" w:rsidRPr="00821AF6" w:rsidRDefault="003F027D" w:rsidP="00FE1E87">
            <w:pPr>
              <w:keepNext/>
              <w:spacing w:before="60" w:after="20" w:line="288" w:lineRule="auto"/>
              <w:ind w:firstLine="0"/>
              <w:jc w:val="center"/>
              <w:rPr>
                <w:rFonts w:cs="Tahoma"/>
                <w:b/>
                <w:sz w:val="20"/>
                <w:szCs w:val="20"/>
              </w:rPr>
            </w:pPr>
            <w:r w:rsidRPr="00821AF6">
              <w:rPr>
                <w:rFonts w:cs="Tahoma"/>
                <w:b/>
                <w:sz w:val="20"/>
                <w:szCs w:val="20"/>
              </w:rPr>
              <w:t>Wskaźniki w latach</w:t>
            </w:r>
          </w:p>
        </w:tc>
      </w:tr>
      <w:tr w:rsidR="003F027D" w:rsidRPr="00821AF6" w14:paraId="3301A472" w14:textId="77777777" w:rsidTr="003F027D">
        <w:trPr>
          <w:cantSplit/>
          <w:trHeight w:val="349"/>
          <w:tblHeader/>
          <w:jc w:val="center"/>
        </w:trPr>
        <w:tc>
          <w:tcPr>
            <w:tcW w:w="559" w:type="dxa"/>
            <w:vMerge/>
            <w:tcBorders>
              <w:bottom w:val="single" w:sz="6" w:space="0" w:color="auto"/>
            </w:tcBorders>
            <w:shd w:val="clear" w:color="auto" w:fill="FFFF99"/>
            <w:vAlign w:val="center"/>
          </w:tcPr>
          <w:p w14:paraId="0505CF87" w14:textId="77777777" w:rsidR="003F027D" w:rsidRPr="00821AF6" w:rsidRDefault="003F027D" w:rsidP="00FE1E87">
            <w:pPr>
              <w:keepNext/>
              <w:spacing w:before="60" w:after="20" w:line="288" w:lineRule="auto"/>
              <w:ind w:firstLine="0"/>
              <w:jc w:val="center"/>
              <w:rPr>
                <w:rFonts w:cs="Tahoma"/>
                <w:b/>
                <w:sz w:val="20"/>
                <w:szCs w:val="20"/>
              </w:rPr>
            </w:pPr>
          </w:p>
        </w:tc>
        <w:tc>
          <w:tcPr>
            <w:tcW w:w="5103" w:type="dxa"/>
            <w:vMerge/>
            <w:tcBorders>
              <w:bottom w:val="single" w:sz="6" w:space="0" w:color="auto"/>
            </w:tcBorders>
            <w:shd w:val="clear" w:color="auto" w:fill="FFFF99"/>
            <w:vAlign w:val="center"/>
          </w:tcPr>
          <w:p w14:paraId="4AF7148E" w14:textId="77777777" w:rsidR="003F027D" w:rsidRPr="00821AF6" w:rsidRDefault="003F027D" w:rsidP="00FE1E87">
            <w:pPr>
              <w:keepNext/>
              <w:spacing w:before="60" w:after="20" w:line="288" w:lineRule="auto"/>
              <w:ind w:firstLine="0"/>
              <w:jc w:val="center"/>
              <w:rPr>
                <w:rFonts w:cs="Tahoma"/>
                <w:b/>
                <w:sz w:val="20"/>
                <w:szCs w:val="20"/>
              </w:rPr>
            </w:pPr>
          </w:p>
        </w:tc>
        <w:tc>
          <w:tcPr>
            <w:tcW w:w="1134" w:type="dxa"/>
            <w:tcBorders>
              <w:bottom w:val="single" w:sz="6" w:space="0" w:color="auto"/>
            </w:tcBorders>
            <w:shd w:val="clear" w:color="auto" w:fill="FFFF99"/>
            <w:vAlign w:val="center"/>
          </w:tcPr>
          <w:p w14:paraId="03DC735E" w14:textId="77777777" w:rsidR="003F027D" w:rsidRPr="00821AF6" w:rsidRDefault="003F027D" w:rsidP="00FE1E87">
            <w:pPr>
              <w:keepNext/>
              <w:spacing w:before="60" w:after="20" w:line="288" w:lineRule="auto"/>
              <w:ind w:firstLine="0"/>
              <w:jc w:val="center"/>
              <w:rPr>
                <w:rFonts w:cs="Tahoma"/>
                <w:b/>
                <w:sz w:val="20"/>
                <w:szCs w:val="20"/>
              </w:rPr>
            </w:pPr>
            <w:r w:rsidRPr="00821AF6">
              <w:rPr>
                <w:rFonts w:cs="Tahoma"/>
                <w:b/>
                <w:sz w:val="20"/>
                <w:szCs w:val="20"/>
              </w:rPr>
              <w:t>2018</w:t>
            </w:r>
          </w:p>
        </w:tc>
        <w:tc>
          <w:tcPr>
            <w:tcW w:w="1134" w:type="dxa"/>
            <w:tcBorders>
              <w:bottom w:val="single" w:sz="6" w:space="0" w:color="auto"/>
            </w:tcBorders>
            <w:shd w:val="clear" w:color="auto" w:fill="FFFF99"/>
            <w:vAlign w:val="center"/>
          </w:tcPr>
          <w:p w14:paraId="3B428037" w14:textId="77777777" w:rsidR="003F027D" w:rsidRPr="00821AF6" w:rsidRDefault="003F027D" w:rsidP="00FE1E87">
            <w:pPr>
              <w:keepNext/>
              <w:spacing w:before="60" w:after="20" w:line="288" w:lineRule="auto"/>
              <w:ind w:firstLine="0"/>
              <w:jc w:val="center"/>
              <w:rPr>
                <w:rFonts w:cs="Tahoma"/>
                <w:b/>
                <w:sz w:val="20"/>
                <w:szCs w:val="20"/>
              </w:rPr>
            </w:pPr>
            <w:r w:rsidRPr="00821AF6">
              <w:rPr>
                <w:rFonts w:cs="Tahoma"/>
                <w:b/>
                <w:sz w:val="20"/>
                <w:szCs w:val="20"/>
              </w:rPr>
              <w:t>2019</w:t>
            </w:r>
          </w:p>
        </w:tc>
        <w:tc>
          <w:tcPr>
            <w:tcW w:w="1142" w:type="dxa"/>
            <w:tcBorders>
              <w:bottom w:val="single" w:sz="6" w:space="0" w:color="auto"/>
            </w:tcBorders>
            <w:shd w:val="clear" w:color="auto" w:fill="FFFF99"/>
            <w:vAlign w:val="center"/>
          </w:tcPr>
          <w:p w14:paraId="013D9820" w14:textId="77777777" w:rsidR="003F027D" w:rsidRPr="00821AF6" w:rsidRDefault="003F027D" w:rsidP="00FE1E87">
            <w:pPr>
              <w:keepNext/>
              <w:spacing w:before="60" w:after="20" w:line="288" w:lineRule="auto"/>
              <w:ind w:firstLine="0"/>
              <w:jc w:val="center"/>
              <w:rPr>
                <w:rFonts w:cs="Tahoma"/>
                <w:b/>
                <w:sz w:val="20"/>
                <w:szCs w:val="20"/>
              </w:rPr>
            </w:pPr>
            <w:r w:rsidRPr="00821AF6">
              <w:rPr>
                <w:rFonts w:cs="Tahoma"/>
                <w:b/>
                <w:sz w:val="20"/>
                <w:szCs w:val="20"/>
              </w:rPr>
              <w:t>2020</w:t>
            </w:r>
          </w:p>
        </w:tc>
      </w:tr>
      <w:tr w:rsidR="003F027D" w:rsidRPr="00821AF6" w14:paraId="685396A9"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10E7252"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02448F05"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 xml:space="preserve">Wskaźnik płynności bieżącej </w:t>
            </w:r>
          </w:p>
        </w:tc>
        <w:tc>
          <w:tcPr>
            <w:tcW w:w="1134" w:type="dxa"/>
            <w:tcBorders>
              <w:top w:val="single" w:sz="4" w:space="0" w:color="auto"/>
              <w:left w:val="single" w:sz="4" w:space="0" w:color="auto"/>
              <w:bottom w:val="single" w:sz="4" w:space="0" w:color="auto"/>
              <w:right w:val="single" w:sz="4" w:space="0" w:color="auto"/>
            </w:tcBorders>
            <w:vAlign w:val="center"/>
          </w:tcPr>
          <w:p w14:paraId="1B2F58BC" w14:textId="235AEBBB" w:rsidR="003F027D" w:rsidRPr="00821AF6" w:rsidRDefault="00FE1E87" w:rsidP="00FE1E87">
            <w:pPr>
              <w:spacing w:before="60" w:after="20" w:line="288" w:lineRule="auto"/>
              <w:ind w:firstLine="0"/>
              <w:jc w:val="right"/>
              <w:rPr>
                <w:rFonts w:cs="Tahoma"/>
                <w:sz w:val="20"/>
                <w:szCs w:val="20"/>
              </w:rPr>
            </w:pPr>
            <w:r>
              <w:rPr>
                <w:rFonts w:cs="Tahoma"/>
                <w:sz w:val="20"/>
                <w:szCs w:val="20"/>
              </w:rPr>
              <w:t>1,17</w:t>
            </w:r>
          </w:p>
        </w:tc>
        <w:tc>
          <w:tcPr>
            <w:tcW w:w="1134" w:type="dxa"/>
            <w:tcBorders>
              <w:top w:val="single" w:sz="4" w:space="0" w:color="auto"/>
              <w:left w:val="single" w:sz="4" w:space="0" w:color="auto"/>
              <w:bottom w:val="single" w:sz="4" w:space="0" w:color="auto"/>
              <w:right w:val="single" w:sz="4" w:space="0" w:color="auto"/>
            </w:tcBorders>
            <w:vAlign w:val="center"/>
          </w:tcPr>
          <w:p w14:paraId="026BD455" w14:textId="72122AFD" w:rsidR="003F027D" w:rsidRPr="00821AF6" w:rsidRDefault="00FE1E87" w:rsidP="00FE1E87">
            <w:pPr>
              <w:spacing w:before="60" w:after="20" w:line="288" w:lineRule="auto"/>
              <w:ind w:firstLine="0"/>
              <w:jc w:val="right"/>
              <w:rPr>
                <w:rFonts w:cs="Tahoma"/>
                <w:sz w:val="20"/>
                <w:szCs w:val="20"/>
              </w:rPr>
            </w:pPr>
            <w:r>
              <w:rPr>
                <w:rFonts w:cs="Tahoma"/>
                <w:sz w:val="20"/>
                <w:szCs w:val="20"/>
              </w:rPr>
              <w:t>1,09</w:t>
            </w:r>
          </w:p>
        </w:tc>
        <w:tc>
          <w:tcPr>
            <w:tcW w:w="1142" w:type="dxa"/>
            <w:tcBorders>
              <w:top w:val="single" w:sz="4" w:space="0" w:color="auto"/>
              <w:left w:val="single" w:sz="4" w:space="0" w:color="auto"/>
              <w:bottom w:val="single" w:sz="4" w:space="0" w:color="auto"/>
              <w:right w:val="single" w:sz="4" w:space="0" w:color="auto"/>
            </w:tcBorders>
            <w:vAlign w:val="center"/>
          </w:tcPr>
          <w:p w14:paraId="7DBD758D" w14:textId="3E0825BE" w:rsidR="003F027D" w:rsidRPr="00821AF6" w:rsidRDefault="00FE1E87" w:rsidP="00FE1E87">
            <w:pPr>
              <w:spacing w:before="60" w:after="20" w:line="288" w:lineRule="auto"/>
              <w:ind w:firstLine="0"/>
              <w:jc w:val="right"/>
              <w:rPr>
                <w:rFonts w:cs="Tahoma"/>
                <w:sz w:val="20"/>
                <w:szCs w:val="20"/>
              </w:rPr>
            </w:pPr>
            <w:r>
              <w:rPr>
                <w:rFonts w:cs="Tahoma"/>
                <w:sz w:val="20"/>
                <w:szCs w:val="20"/>
              </w:rPr>
              <w:t>1,13</w:t>
            </w:r>
          </w:p>
        </w:tc>
      </w:tr>
      <w:tr w:rsidR="003F027D" w:rsidRPr="00821AF6" w14:paraId="2DE61BD3"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9C7CCA6"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tcPr>
          <w:p w14:paraId="3102F4CA"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Wskaźnik płynności szybkiej</w:t>
            </w:r>
          </w:p>
        </w:tc>
        <w:tc>
          <w:tcPr>
            <w:tcW w:w="1134" w:type="dxa"/>
            <w:tcBorders>
              <w:top w:val="single" w:sz="4" w:space="0" w:color="auto"/>
              <w:left w:val="single" w:sz="4" w:space="0" w:color="auto"/>
              <w:bottom w:val="single" w:sz="4" w:space="0" w:color="auto"/>
              <w:right w:val="single" w:sz="4" w:space="0" w:color="auto"/>
            </w:tcBorders>
            <w:vAlign w:val="center"/>
          </w:tcPr>
          <w:p w14:paraId="5975C638" w14:textId="599CD159" w:rsidR="003F027D" w:rsidRPr="00821AF6" w:rsidRDefault="00FE1E87" w:rsidP="00FE1E87">
            <w:pPr>
              <w:spacing w:before="60" w:after="20" w:line="288" w:lineRule="auto"/>
              <w:ind w:firstLine="0"/>
              <w:jc w:val="right"/>
              <w:rPr>
                <w:rFonts w:cs="Tahoma"/>
                <w:sz w:val="20"/>
                <w:szCs w:val="20"/>
              </w:rPr>
            </w:pPr>
            <w:r>
              <w:rPr>
                <w:rFonts w:cs="Tahoma"/>
                <w:sz w:val="20"/>
                <w:szCs w:val="20"/>
              </w:rPr>
              <w:t>1,01</w:t>
            </w:r>
          </w:p>
        </w:tc>
        <w:tc>
          <w:tcPr>
            <w:tcW w:w="1134" w:type="dxa"/>
            <w:tcBorders>
              <w:top w:val="single" w:sz="4" w:space="0" w:color="auto"/>
              <w:left w:val="single" w:sz="4" w:space="0" w:color="auto"/>
              <w:bottom w:val="single" w:sz="4" w:space="0" w:color="auto"/>
              <w:right w:val="single" w:sz="4" w:space="0" w:color="auto"/>
            </w:tcBorders>
            <w:vAlign w:val="center"/>
          </w:tcPr>
          <w:p w14:paraId="16422E35" w14:textId="70182FAD" w:rsidR="003F027D" w:rsidRPr="00821AF6" w:rsidRDefault="00FE1E87" w:rsidP="00FE1E87">
            <w:pPr>
              <w:spacing w:before="60" w:after="20" w:line="288" w:lineRule="auto"/>
              <w:ind w:firstLine="0"/>
              <w:jc w:val="right"/>
              <w:rPr>
                <w:rFonts w:cs="Tahoma"/>
                <w:sz w:val="20"/>
                <w:szCs w:val="20"/>
              </w:rPr>
            </w:pPr>
            <w:r>
              <w:rPr>
                <w:rFonts w:cs="Tahoma"/>
                <w:sz w:val="20"/>
                <w:szCs w:val="20"/>
              </w:rPr>
              <w:t>0,97</w:t>
            </w:r>
          </w:p>
        </w:tc>
        <w:tc>
          <w:tcPr>
            <w:tcW w:w="1142" w:type="dxa"/>
            <w:tcBorders>
              <w:top w:val="single" w:sz="4" w:space="0" w:color="auto"/>
              <w:left w:val="single" w:sz="4" w:space="0" w:color="auto"/>
              <w:bottom w:val="single" w:sz="4" w:space="0" w:color="auto"/>
              <w:right w:val="single" w:sz="4" w:space="0" w:color="auto"/>
            </w:tcBorders>
            <w:vAlign w:val="center"/>
          </w:tcPr>
          <w:p w14:paraId="03F37542" w14:textId="6AE9F2B6" w:rsidR="003F027D" w:rsidRPr="00821AF6" w:rsidRDefault="00FE1E87" w:rsidP="00FE1E87">
            <w:pPr>
              <w:spacing w:before="60" w:after="20" w:line="288" w:lineRule="auto"/>
              <w:ind w:firstLine="0"/>
              <w:jc w:val="right"/>
              <w:rPr>
                <w:rFonts w:cs="Tahoma"/>
                <w:sz w:val="20"/>
                <w:szCs w:val="20"/>
              </w:rPr>
            </w:pPr>
            <w:r>
              <w:rPr>
                <w:rFonts w:cs="Tahoma"/>
                <w:sz w:val="20"/>
                <w:szCs w:val="20"/>
              </w:rPr>
              <w:t>1,00</w:t>
            </w:r>
          </w:p>
        </w:tc>
      </w:tr>
      <w:tr w:rsidR="003F027D" w:rsidRPr="00821AF6" w14:paraId="68AC1301"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FC645FD"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lastRenderedPageBreak/>
              <w:t>3</w:t>
            </w:r>
          </w:p>
        </w:tc>
        <w:tc>
          <w:tcPr>
            <w:tcW w:w="5103" w:type="dxa"/>
            <w:tcBorders>
              <w:top w:val="single" w:sz="4" w:space="0" w:color="auto"/>
              <w:left w:val="single" w:sz="4" w:space="0" w:color="auto"/>
              <w:bottom w:val="single" w:sz="4" w:space="0" w:color="auto"/>
              <w:right w:val="single" w:sz="4" w:space="0" w:color="auto"/>
            </w:tcBorders>
            <w:vAlign w:val="center"/>
          </w:tcPr>
          <w:p w14:paraId="24780109"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Wskaźnik ogólnego zadłużenia</w:t>
            </w:r>
          </w:p>
        </w:tc>
        <w:tc>
          <w:tcPr>
            <w:tcW w:w="1134" w:type="dxa"/>
            <w:tcBorders>
              <w:top w:val="single" w:sz="4" w:space="0" w:color="auto"/>
              <w:left w:val="single" w:sz="4" w:space="0" w:color="auto"/>
              <w:bottom w:val="single" w:sz="4" w:space="0" w:color="auto"/>
              <w:right w:val="single" w:sz="4" w:space="0" w:color="auto"/>
            </w:tcBorders>
            <w:vAlign w:val="center"/>
          </w:tcPr>
          <w:p w14:paraId="2ACC6F24" w14:textId="2C111B7E" w:rsidR="003F027D" w:rsidRPr="00821AF6" w:rsidRDefault="00FE1E87" w:rsidP="00FE1E87">
            <w:pPr>
              <w:spacing w:before="60" w:after="20" w:line="288" w:lineRule="auto"/>
              <w:ind w:firstLine="0"/>
              <w:jc w:val="right"/>
              <w:rPr>
                <w:rFonts w:cs="Tahoma"/>
                <w:sz w:val="20"/>
                <w:szCs w:val="20"/>
              </w:rPr>
            </w:pPr>
            <w:r>
              <w:rPr>
                <w:rFonts w:cs="Tahoma"/>
                <w:sz w:val="20"/>
                <w:szCs w:val="20"/>
              </w:rPr>
              <w:t>0,41</w:t>
            </w:r>
          </w:p>
        </w:tc>
        <w:tc>
          <w:tcPr>
            <w:tcW w:w="1134" w:type="dxa"/>
            <w:tcBorders>
              <w:top w:val="single" w:sz="4" w:space="0" w:color="auto"/>
              <w:left w:val="single" w:sz="4" w:space="0" w:color="auto"/>
              <w:bottom w:val="single" w:sz="4" w:space="0" w:color="auto"/>
              <w:right w:val="single" w:sz="4" w:space="0" w:color="auto"/>
            </w:tcBorders>
            <w:vAlign w:val="center"/>
          </w:tcPr>
          <w:p w14:paraId="7FD08CBE" w14:textId="27586F7E" w:rsidR="003F027D" w:rsidRPr="00821AF6" w:rsidRDefault="00FE1E87" w:rsidP="00FE1E87">
            <w:pPr>
              <w:spacing w:before="60" w:after="20" w:line="288" w:lineRule="auto"/>
              <w:ind w:firstLine="0"/>
              <w:jc w:val="right"/>
              <w:rPr>
                <w:rFonts w:cs="Tahoma"/>
                <w:sz w:val="20"/>
                <w:szCs w:val="20"/>
              </w:rPr>
            </w:pPr>
            <w:r>
              <w:rPr>
                <w:rFonts w:cs="Tahoma"/>
                <w:sz w:val="20"/>
                <w:szCs w:val="20"/>
              </w:rPr>
              <w:t>0,43</w:t>
            </w:r>
          </w:p>
        </w:tc>
        <w:tc>
          <w:tcPr>
            <w:tcW w:w="1142" w:type="dxa"/>
            <w:tcBorders>
              <w:top w:val="single" w:sz="4" w:space="0" w:color="auto"/>
              <w:left w:val="single" w:sz="4" w:space="0" w:color="auto"/>
              <w:bottom w:val="single" w:sz="4" w:space="0" w:color="auto"/>
              <w:right w:val="single" w:sz="4" w:space="0" w:color="auto"/>
            </w:tcBorders>
            <w:vAlign w:val="center"/>
          </w:tcPr>
          <w:p w14:paraId="7EB45EF7" w14:textId="06B9E987" w:rsidR="003F027D" w:rsidRPr="00821AF6" w:rsidRDefault="00FE1E87" w:rsidP="00FE1E87">
            <w:pPr>
              <w:spacing w:before="60" w:after="20" w:line="288" w:lineRule="auto"/>
              <w:ind w:firstLine="0"/>
              <w:jc w:val="right"/>
              <w:rPr>
                <w:rFonts w:cs="Tahoma"/>
                <w:sz w:val="20"/>
                <w:szCs w:val="20"/>
              </w:rPr>
            </w:pPr>
            <w:r>
              <w:rPr>
                <w:rFonts w:cs="Tahoma"/>
                <w:sz w:val="20"/>
                <w:szCs w:val="20"/>
              </w:rPr>
              <w:t>0,41</w:t>
            </w:r>
          </w:p>
        </w:tc>
      </w:tr>
      <w:tr w:rsidR="003F027D" w:rsidRPr="00821AF6" w14:paraId="2D78E43B"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2C61EF25"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tcPr>
          <w:p w14:paraId="442039DB"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EBITDA [tys. zł]</w:t>
            </w:r>
          </w:p>
        </w:tc>
        <w:tc>
          <w:tcPr>
            <w:tcW w:w="1134" w:type="dxa"/>
            <w:tcBorders>
              <w:top w:val="single" w:sz="4" w:space="0" w:color="auto"/>
              <w:left w:val="single" w:sz="4" w:space="0" w:color="auto"/>
              <w:bottom w:val="single" w:sz="4" w:space="0" w:color="auto"/>
              <w:right w:val="single" w:sz="4" w:space="0" w:color="auto"/>
            </w:tcBorders>
            <w:vAlign w:val="center"/>
          </w:tcPr>
          <w:p w14:paraId="2358511D" w14:textId="033AF83A" w:rsidR="003F027D" w:rsidRPr="00821AF6" w:rsidRDefault="00FE1E87" w:rsidP="00FE1E87">
            <w:pPr>
              <w:spacing w:before="60" w:after="20" w:line="288" w:lineRule="auto"/>
              <w:ind w:firstLine="0"/>
              <w:jc w:val="right"/>
              <w:rPr>
                <w:rFonts w:cs="Tahoma"/>
                <w:sz w:val="20"/>
                <w:szCs w:val="20"/>
              </w:rPr>
            </w:pPr>
            <w:r>
              <w:rPr>
                <w:rFonts w:cs="Tahoma"/>
                <w:sz w:val="20"/>
                <w:szCs w:val="20"/>
              </w:rPr>
              <w:t>1 684,3</w:t>
            </w:r>
          </w:p>
        </w:tc>
        <w:tc>
          <w:tcPr>
            <w:tcW w:w="1134" w:type="dxa"/>
            <w:tcBorders>
              <w:top w:val="single" w:sz="4" w:space="0" w:color="auto"/>
              <w:left w:val="single" w:sz="4" w:space="0" w:color="auto"/>
              <w:bottom w:val="single" w:sz="4" w:space="0" w:color="auto"/>
              <w:right w:val="single" w:sz="4" w:space="0" w:color="auto"/>
            </w:tcBorders>
            <w:vAlign w:val="center"/>
          </w:tcPr>
          <w:p w14:paraId="0E2C951D" w14:textId="24C93386" w:rsidR="003F027D" w:rsidRPr="00821AF6" w:rsidRDefault="00FE1E87" w:rsidP="00FE1E87">
            <w:pPr>
              <w:spacing w:before="60" w:after="20" w:line="288" w:lineRule="auto"/>
              <w:ind w:firstLine="0"/>
              <w:jc w:val="right"/>
              <w:rPr>
                <w:rFonts w:cs="Tahoma"/>
                <w:sz w:val="20"/>
                <w:szCs w:val="20"/>
              </w:rPr>
            </w:pPr>
            <w:r>
              <w:rPr>
                <w:rFonts w:cs="Tahoma"/>
                <w:sz w:val="20"/>
                <w:szCs w:val="20"/>
              </w:rPr>
              <w:t>3 701,8</w:t>
            </w:r>
          </w:p>
        </w:tc>
        <w:tc>
          <w:tcPr>
            <w:tcW w:w="1142" w:type="dxa"/>
            <w:tcBorders>
              <w:top w:val="single" w:sz="4" w:space="0" w:color="auto"/>
              <w:left w:val="single" w:sz="4" w:space="0" w:color="auto"/>
              <w:bottom w:val="single" w:sz="4" w:space="0" w:color="auto"/>
              <w:right w:val="single" w:sz="4" w:space="0" w:color="auto"/>
            </w:tcBorders>
            <w:vAlign w:val="center"/>
          </w:tcPr>
          <w:p w14:paraId="5F612943" w14:textId="03B9836C" w:rsidR="003F027D" w:rsidRPr="00821AF6" w:rsidRDefault="00FE1E87" w:rsidP="00FE1E87">
            <w:pPr>
              <w:spacing w:before="60" w:after="20" w:line="288" w:lineRule="auto"/>
              <w:ind w:firstLine="0"/>
              <w:jc w:val="right"/>
              <w:rPr>
                <w:rFonts w:cs="Tahoma"/>
                <w:sz w:val="20"/>
                <w:szCs w:val="20"/>
              </w:rPr>
            </w:pPr>
            <w:r>
              <w:rPr>
                <w:rFonts w:cs="Tahoma"/>
                <w:sz w:val="20"/>
                <w:szCs w:val="20"/>
              </w:rPr>
              <w:t>1 412,4</w:t>
            </w:r>
          </w:p>
        </w:tc>
      </w:tr>
      <w:tr w:rsidR="003F027D" w:rsidRPr="00821AF6" w14:paraId="7D3D057E"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11D86CB3"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tcPr>
          <w:p w14:paraId="36CECA85"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ROE [%]</w:t>
            </w:r>
          </w:p>
        </w:tc>
        <w:tc>
          <w:tcPr>
            <w:tcW w:w="1134" w:type="dxa"/>
            <w:tcBorders>
              <w:top w:val="single" w:sz="4" w:space="0" w:color="auto"/>
              <w:left w:val="single" w:sz="4" w:space="0" w:color="auto"/>
              <w:bottom w:val="single" w:sz="4" w:space="0" w:color="auto"/>
              <w:right w:val="single" w:sz="4" w:space="0" w:color="auto"/>
            </w:tcBorders>
            <w:vAlign w:val="center"/>
          </w:tcPr>
          <w:p w14:paraId="363C32B3" w14:textId="7EF381CD" w:rsidR="003F027D" w:rsidRPr="00821AF6" w:rsidRDefault="00FE1E87" w:rsidP="00FE1E87">
            <w:pPr>
              <w:spacing w:before="60" w:after="20" w:line="288" w:lineRule="auto"/>
              <w:ind w:firstLine="0"/>
              <w:jc w:val="right"/>
              <w:rPr>
                <w:rFonts w:cs="Tahoma"/>
                <w:sz w:val="20"/>
                <w:szCs w:val="20"/>
              </w:rPr>
            </w:pPr>
            <w:r>
              <w:rPr>
                <w:rFonts w:cs="Tahoma"/>
                <w:sz w:val="20"/>
                <w:szCs w:val="20"/>
              </w:rPr>
              <w:t>1,36</w:t>
            </w:r>
          </w:p>
        </w:tc>
        <w:tc>
          <w:tcPr>
            <w:tcW w:w="1134" w:type="dxa"/>
            <w:tcBorders>
              <w:top w:val="single" w:sz="4" w:space="0" w:color="auto"/>
              <w:left w:val="single" w:sz="4" w:space="0" w:color="auto"/>
              <w:bottom w:val="single" w:sz="4" w:space="0" w:color="auto"/>
              <w:right w:val="single" w:sz="4" w:space="0" w:color="auto"/>
            </w:tcBorders>
            <w:vAlign w:val="center"/>
          </w:tcPr>
          <w:p w14:paraId="3E71C376" w14:textId="5EC77ED2" w:rsidR="003F027D" w:rsidRPr="00821AF6" w:rsidRDefault="00FE1E87" w:rsidP="00FE1E87">
            <w:pPr>
              <w:spacing w:before="60" w:after="20" w:line="288" w:lineRule="auto"/>
              <w:ind w:firstLine="0"/>
              <w:jc w:val="right"/>
              <w:rPr>
                <w:rFonts w:cs="Tahoma"/>
                <w:sz w:val="20"/>
                <w:szCs w:val="20"/>
              </w:rPr>
            </w:pPr>
            <w:r>
              <w:rPr>
                <w:rFonts w:cs="Tahoma"/>
                <w:sz w:val="20"/>
                <w:szCs w:val="20"/>
              </w:rPr>
              <w:t>10,30</w:t>
            </w:r>
          </w:p>
        </w:tc>
        <w:tc>
          <w:tcPr>
            <w:tcW w:w="1142" w:type="dxa"/>
            <w:tcBorders>
              <w:top w:val="single" w:sz="4" w:space="0" w:color="auto"/>
              <w:left w:val="single" w:sz="4" w:space="0" w:color="auto"/>
              <w:bottom w:val="single" w:sz="4" w:space="0" w:color="auto"/>
              <w:right w:val="single" w:sz="4" w:space="0" w:color="auto"/>
            </w:tcBorders>
            <w:vAlign w:val="center"/>
          </w:tcPr>
          <w:p w14:paraId="2D6455D1" w14:textId="2659271E" w:rsidR="003F027D" w:rsidRPr="00821AF6" w:rsidRDefault="00FE1E87" w:rsidP="00FE1E87">
            <w:pPr>
              <w:spacing w:before="60" w:after="20" w:line="288" w:lineRule="auto"/>
              <w:ind w:firstLine="0"/>
              <w:jc w:val="right"/>
              <w:rPr>
                <w:rFonts w:cs="Tahoma"/>
                <w:sz w:val="20"/>
                <w:szCs w:val="20"/>
              </w:rPr>
            </w:pPr>
            <w:r>
              <w:rPr>
                <w:rFonts w:cs="Tahoma"/>
                <w:sz w:val="20"/>
                <w:szCs w:val="20"/>
              </w:rPr>
              <w:t>1,35</w:t>
            </w:r>
          </w:p>
        </w:tc>
      </w:tr>
      <w:tr w:rsidR="003F027D" w:rsidRPr="00821AF6" w14:paraId="36C36FA5"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2908B96C"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tcPr>
          <w:p w14:paraId="4EBE2772"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ROA [%]</w:t>
            </w:r>
          </w:p>
        </w:tc>
        <w:tc>
          <w:tcPr>
            <w:tcW w:w="1134" w:type="dxa"/>
            <w:tcBorders>
              <w:top w:val="single" w:sz="4" w:space="0" w:color="auto"/>
              <w:left w:val="single" w:sz="4" w:space="0" w:color="auto"/>
              <w:bottom w:val="single" w:sz="4" w:space="0" w:color="auto"/>
              <w:right w:val="single" w:sz="4" w:space="0" w:color="auto"/>
            </w:tcBorders>
            <w:vAlign w:val="center"/>
          </w:tcPr>
          <w:p w14:paraId="6FFC17A1" w14:textId="453E61CC" w:rsidR="003F027D" w:rsidRPr="00821AF6" w:rsidRDefault="00FE1E87" w:rsidP="00FE1E87">
            <w:pPr>
              <w:spacing w:before="60" w:after="20" w:line="288" w:lineRule="auto"/>
              <w:ind w:firstLine="0"/>
              <w:jc w:val="right"/>
              <w:rPr>
                <w:rFonts w:cs="Tahoma"/>
                <w:sz w:val="20"/>
                <w:szCs w:val="20"/>
              </w:rPr>
            </w:pPr>
            <w:r>
              <w:rPr>
                <w:rFonts w:cs="Tahoma"/>
                <w:sz w:val="20"/>
                <w:szCs w:val="20"/>
              </w:rPr>
              <w:t>1,30</w:t>
            </w:r>
          </w:p>
        </w:tc>
        <w:tc>
          <w:tcPr>
            <w:tcW w:w="1134" w:type="dxa"/>
            <w:tcBorders>
              <w:top w:val="single" w:sz="4" w:space="0" w:color="auto"/>
              <w:left w:val="single" w:sz="4" w:space="0" w:color="auto"/>
              <w:bottom w:val="single" w:sz="4" w:space="0" w:color="auto"/>
              <w:right w:val="single" w:sz="4" w:space="0" w:color="auto"/>
            </w:tcBorders>
            <w:vAlign w:val="center"/>
          </w:tcPr>
          <w:p w14:paraId="352365D0" w14:textId="053A95EC" w:rsidR="003F027D" w:rsidRPr="00821AF6" w:rsidRDefault="00FE1E87" w:rsidP="00FE1E87">
            <w:pPr>
              <w:spacing w:before="60" w:after="20" w:line="288" w:lineRule="auto"/>
              <w:ind w:firstLine="0"/>
              <w:jc w:val="right"/>
              <w:rPr>
                <w:rFonts w:cs="Tahoma"/>
                <w:sz w:val="20"/>
                <w:szCs w:val="20"/>
              </w:rPr>
            </w:pPr>
            <w:r>
              <w:rPr>
                <w:rFonts w:cs="Tahoma"/>
                <w:sz w:val="20"/>
                <w:szCs w:val="20"/>
              </w:rPr>
              <w:t>9,64</w:t>
            </w:r>
          </w:p>
        </w:tc>
        <w:tc>
          <w:tcPr>
            <w:tcW w:w="1142" w:type="dxa"/>
            <w:tcBorders>
              <w:top w:val="single" w:sz="4" w:space="0" w:color="auto"/>
              <w:left w:val="single" w:sz="4" w:space="0" w:color="auto"/>
              <w:bottom w:val="single" w:sz="4" w:space="0" w:color="auto"/>
              <w:right w:val="single" w:sz="4" w:space="0" w:color="auto"/>
            </w:tcBorders>
            <w:vAlign w:val="center"/>
          </w:tcPr>
          <w:p w14:paraId="2A05ACD0" w14:textId="339624CD" w:rsidR="003F027D" w:rsidRPr="00821AF6" w:rsidRDefault="00FE1E87" w:rsidP="00FE1E87">
            <w:pPr>
              <w:spacing w:before="60" w:after="20" w:line="288" w:lineRule="auto"/>
              <w:ind w:firstLine="0"/>
              <w:jc w:val="right"/>
              <w:rPr>
                <w:rFonts w:cs="Tahoma"/>
                <w:sz w:val="20"/>
                <w:szCs w:val="20"/>
              </w:rPr>
            </w:pPr>
            <w:r>
              <w:rPr>
                <w:rFonts w:cs="Tahoma"/>
                <w:sz w:val="20"/>
                <w:szCs w:val="20"/>
              </w:rPr>
              <w:t>1,25</w:t>
            </w:r>
          </w:p>
        </w:tc>
      </w:tr>
      <w:tr w:rsidR="003F027D" w:rsidRPr="00821AF6" w14:paraId="78CC7321"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029EDCBE"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7</w:t>
            </w:r>
          </w:p>
        </w:tc>
        <w:tc>
          <w:tcPr>
            <w:tcW w:w="5103" w:type="dxa"/>
            <w:tcBorders>
              <w:top w:val="single" w:sz="4" w:space="0" w:color="auto"/>
              <w:left w:val="single" w:sz="4" w:space="0" w:color="auto"/>
              <w:bottom w:val="single" w:sz="4" w:space="0" w:color="auto"/>
              <w:right w:val="single" w:sz="4" w:space="0" w:color="auto"/>
            </w:tcBorders>
            <w:vAlign w:val="center"/>
          </w:tcPr>
          <w:p w14:paraId="238729A9"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Cykl regulowania należności [dni]</w:t>
            </w:r>
          </w:p>
        </w:tc>
        <w:tc>
          <w:tcPr>
            <w:tcW w:w="1134" w:type="dxa"/>
            <w:tcBorders>
              <w:top w:val="single" w:sz="4" w:space="0" w:color="auto"/>
              <w:left w:val="single" w:sz="4" w:space="0" w:color="auto"/>
              <w:bottom w:val="single" w:sz="4" w:space="0" w:color="auto"/>
              <w:right w:val="single" w:sz="4" w:space="0" w:color="auto"/>
            </w:tcBorders>
            <w:vAlign w:val="center"/>
          </w:tcPr>
          <w:p w14:paraId="1355FA90" w14:textId="220E8A71" w:rsidR="003F027D" w:rsidRPr="00821AF6" w:rsidRDefault="00FE1E87" w:rsidP="00FE1E87">
            <w:pPr>
              <w:spacing w:before="60" w:after="20" w:line="288" w:lineRule="auto"/>
              <w:ind w:firstLine="0"/>
              <w:jc w:val="right"/>
              <w:rPr>
                <w:rFonts w:cs="Tahoma"/>
                <w:sz w:val="20"/>
                <w:szCs w:val="20"/>
              </w:rPr>
            </w:pPr>
            <w:r>
              <w:rPr>
                <w:rFonts w:cs="Tahoma"/>
                <w:sz w:val="20"/>
                <w:szCs w:val="20"/>
              </w:rPr>
              <w:t>14,6</w:t>
            </w:r>
          </w:p>
        </w:tc>
        <w:tc>
          <w:tcPr>
            <w:tcW w:w="1134" w:type="dxa"/>
            <w:tcBorders>
              <w:top w:val="single" w:sz="4" w:space="0" w:color="auto"/>
              <w:left w:val="single" w:sz="4" w:space="0" w:color="auto"/>
              <w:bottom w:val="single" w:sz="4" w:space="0" w:color="auto"/>
              <w:right w:val="single" w:sz="4" w:space="0" w:color="auto"/>
            </w:tcBorders>
            <w:vAlign w:val="center"/>
          </w:tcPr>
          <w:p w14:paraId="647A1956" w14:textId="22E1CCD8" w:rsidR="003F027D" w:rsidRPr="00821AF6" w:rsidRDefault="00FE1E87" w:rsidP="00FE1E87">
            <w:pPr>
              <w:spacing w:before="60" w:after="20" w:line="288" w:lineRule="auto"/>
              <w:ind w:firstLine="0"/>
              <w:jc w:val="right"/>
              <w:rPr>
                <w:rFonts w:cs="Tahoma"/>
                <w:sz w:val="20"/>
                <w:szCs w:val="20"/>
              </w:rPr>
            </w:pPr>
            <w:r>
              <w:rPr>
                <w:rFonts w:cs="Tahoma"/>
                <w:sz w:val="20"/>
                <w:szCs w:val="20"/>
              </w:rPr>
              <w:t>15,1</w:t>
            </w:r>
          </w:p>
        </w:tc>
        <w:tc>
          <w:tcPr>
            <w:tcW w:w="1142" w:type="dxa"/>
            <w:tcBorders>
              <w:top w:val="single" w:sz="4" w:space="0" w:color="auto"/>
              <w:left w:val="single" w:sz="4" w:space="0" w:color="auto"/>
              <w:bottom w:val="single" w:sz="4" w:space="0" w:color="auto"/>
              <w:right w:val="single" w:sz="4" w:space="0" w:color="auto"/>
            </w:tcBorders>
            <w:vAlign w:val="center"/>
          </w:tcPr>
          <w:p w14:paraId="3B2AECD5" w14:textId="4B7C525C" w:rsidR="003F027D" w:rsidRPr="00821AF6" w:rsidRDefault="00FE1E87" w:rsidP="00FE1E87">
            <w:pPr>
              <w:spacing w:before="60" w:after="20" w:line="288" w:lineRule="auto"/>
              <w:ind w:firstLine="0"/>
              <w:jc w:val="right"/>
              <w:rPr>
                <w:rFonts w:cs="Tahoma"/>
                <w:sz w:val="20"/>
                <w:szCs w:val="20"/>
              </w:rPr>
            </w:pPr>
            <w:r>
              <w:rPr>
                <w:rFonts w:cs="Tahoma"/>
                <w:sz w:val="20"/>
                <w:szCs w:val="20"/>
              </w:rPr>
              <w:t>16,0</w:t>
            </w:r>
          </w:p>
        </w:tc>
      </w:tr>
      <w:tr w:rsidR="003F027D" w:rsidRPr="00821AF6" w14:paraId="0CE5B86B"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669AB54"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8</w:t>
            </w:r>
          </w:p>
        </w:tc>
        <w:tc>
          <w:tcPr>
            <w:tcW w:w="5103" w:type="dxa"/>
            <w:tcBorders>
              <w:top w:val="single" w:sz="4" w:space="0" w:color="auto"/>
              <w:left w:val="single" w:sz="4" w:space="0" w:color="auto"/>
              <w:bottom w:val="single" w:sz="4" w:space="0" w:color="auto"/>
              <w:right w:val="single" w:sz="4" w:space="0" w:color="auto"/>
            </w:tcBorders>
            <w:vAlign w:val="center"/>
          </w:tcPr>
          <w:p w14:paraId="2EDE968D"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Cykl regulowania zobowiązań [dni]</w:t>
            </w:r>
          </w:p>
        </w:tc>
        <w:tc>
          <w:tcPr>
            <w:tcW w:w="1134" w:type="dxa"/>
            <w:tcBorders>
              <w:top w:val="single" w:sz="4" w:space="0" w:color="auto"/>
              <w:left w:val="single" w:sz="4" w:space="0" w:color="auto"/>
              <w:bottom w:val="single" w:sz="4" w:space="0" w:color="auto"/>
              <w:right w:val="single" w:sz="4" w:space="0" w:color="auto"/>
            </w:tcBorders>
            <w:vAlign w:val="center"/>
          </w:tcPr>
          <w:p w14:paraId="2C425B51" w14:textId="7B706FBB" w:rsidR="003F027D" w:rsidRPr="00821AF6" w:rsidRDefault="00FE1E87" w:rsidP="00FE1E87">
            <w:pPr>
              <w:spacing w:before="60" w:after="20" w:line="288" w:lineRule="auto"/>
              <w:ind w:firstLine="0"/>
              <w:jc w:val="right"/>
              <w:rPr>
                <w:rFonts w:cs="Tahoma"/>
                <w:sz w:val="20"/>
                <w:szCs w:val="20"/>
              </w:rPr>
            </w:pPr>
            <w:r>
              <w:rPr>
                <w:rFonts w:cs="Tahoma"/>
                <w:sz w:val="20"/>
                <w:szCs w:val="20"/>
              </w:rPr>
              <w:t>39,7</w:t>
            </w:r>
          </w:p>
        </w:tc>
        <w:tc>
          <w:tcPr>
            <w:tcW w:w="1134" w:type="dxa"/>
            <w:tcBorders>
              <w:top w:val="single" w:sz="4" w:space="0" w:color="auto"/>
              <w:left w:val="single" w:sz="4" w:space="0" w:color="auto"/>
              <w:bottom w:val="single" w:sz="4" w:space="0" w:color="auto"/>
              <w:right w:val="single" w:sz="4" w:space="0" w:color="auto"/>
            </w:tcBorders>
            <w:vAlign w:val="center"/>
          </w:tcPr>
          <w:p w14:paraId="08B5FFD5" w14:textId="237B50BF" w:rsidR="003F027D" w:rsidRPr="00821AF6" w:rsidRDefault="00FE1E87" w:rsidP="00FE1E87">
            <w:pPr>
              <w:spacing w:before="60" w:after="20" w:line="288" w:lineRule="auto"/>
              <w:ind w:firstLine="0"/>
              <w:jc w:val="right"/>
              <w:rPr>
                <w:rFonts w:cs="Tahoma"/>
                <w:sz w:val="20"/>
                <w:szCs w:val="20"/>
              </w:rPr>
            </w:pPr>
            <w:r>
              <w:rPr>
                <w:rFonts w:cs="Tahoma"/>
                <w:sz w:val="20"/>
                <w:szCs w:val="20"/>
              </w:rPr>
              <w:t>40,1</w:t>
            </w:r>
          </w:p>
        </w:tc>
        <w:tc>
          <w:tcPr>
            <w:tcW w:w="1142" w:type="dxa"/>
            <w:tcBorders>
              <w:top w:val="single" w:sz="4" w:space="0" w:color="auto"/>
              <w:left w:val="single" w:sz="4" w:space="0" w:color="auto"/>
              <w:bottom w:val="single" w:sz="4" w:space="0" w:color="auto"/>
              <w:right w:val="single" w:sz="4" w:space="0" w:color="auto"/>
            </w:tcBorders>
            <w:vAlign w:val="center"/>
          </w:tcPr>
          <w:p w14:paraId="492433D8" w14:textId="4CD573F2" w:rsidR="003F027D" w:rsidRPr="00821AF6" w:rsidRDefault="00FE1E87" w:rsidP="00FE1E87">
            <w:pPr>
              <w:spacing w:before="60" w:after="20" w:line="288" w:lineRule="auto"/>
              <w:ind w:firstLine="0"/>
              <w:jc w:val="right"/>
              <w:rPr>
                <w:rFonts w:cs="Tahoma"/>
                <w:sz w:val="20"/>
                <w:szCs w:val="20"/>
              </w:rPr>
            </w:pPr>
            <w:r>
              <w:rPr>
                <w:rFonts w:cs="Tahoma"/>
                <w:sz w:val="20"/>
                <w:szCs w:val="20"/>
              </w:rPr>
              <w:t>36,1</w:t>
            </w:r>
          </w:p>
        </w:tc>
      </w:tr>
      <w:tr w:rsidR="003F027D" w:rsidRPr="00821AF6" w14:paraId="3648D8C0"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3E09744"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9</w:t>
            </w:r>
          </w:p>
        </w:tc>
        <w:tc>
          <w:tcPr>
            <w:tcW w:w="5103" w:type="dxa"/>
            <w:tcBorders>
              <w:top w:val="single" w:sz="4" w:space="0" w:color="auto"/>
              <w:left w:val="single" w:sz="4" w:space="0" w:color="auto"/>
              <w:bottom w:val="single" w:sz="4" w:space="0" w:color="auto"/>
              <w:right w:val="single" w:sz="4" w:space="0" w:color="auto"/>
            </w:tcBorders>
            <w:vAlign w:val="center"/>
          </w:tcPr>
          <w:p w14:paraId="3A1806F6"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Cykl rotacji zapasów [dni]</w:t>
            </w:r>
          </w:p>
        </w:tc>
        <w:tc>
          <w:tcPr>
            <w:tcW w:w="1134" w:type="dxa"/>
            <w:tcBorders>
              <w:top w:val="single" w:sz="4" w:space="0" w:color="auto"/>
              <w:left w:val="single" w:sz="4" w:space="0" w:color="auto"/>
              <w:bottom w:val="single" w:sz="4" w:space="0" w:color="auto"/>
              <w:right w:val="single" w:sz="4" w:space="0" w:color="auto"/>
            </w:tcBorders>
            <w:vAlign w:val="center"/>
          </w:tcPr>
          <w:p w14:paraId="46CFDD7D" w14:textId="33CDEC79" w:rsidR="003F027D" w:rsidRPr="00821AF6" w:rsidRDefault="00FE1E87" w:rsidP="00FE1E87">
            <w:pPr>
              <w:spacing w:before="60" w:after="20" w:line="288" w:lineRule="auto"/>
              <w:ind w:firstLine="0"/>
              <w:jc w:val="right"/>
              <w:rPr>
                <w:rFonts w:cs="Tahoma"/>
                <w:sz w:val="20"/>
                <w:szCs w:val="20"/>
              </w:rPr>
            </w:pPr>
            <w:r>
              <w:rPr>
                <w:rFonts w:cs="Tahoma"/>
                <w:sz w:val="20"/>
                <w:szCs w:val="20"/>
              </w:rPr>
              <w:t>4,6</w:t>
            </w:r>
          </w:p>
        </w:tc>
        <w:tc>
          <w:tcPr>
            <w:tcW w:w="1134" w:type="dxa"/>
            <w:tcBorders>
              <w:top w:val="single" w:sz="4" w:space="0" w:color="auto"/>
              <w:left w:val="single" w:sz="4" w:space="0" w:color="auto"/>
              <w:bottom w:val="single" w:sz="4" w:space="0" w:color="auto"/>
              <w:right w:val="single" w:sz="4" w:space="0" w:color="auto"/>
            </w:tcBorders>
            <w:vAlign w:val="center"/>
          </w:tcPr>
          <w:p w14:paraId="2F70E13F" w14:textId="7DF5A476" w:rsidR="003F027D" w:rsidRPr="00821AF6" w:rsidRDefault="00FE1E87" w:rsidP="00FE1E87">
            <w:pPr>
              <w:spacing w:before="60" w:after="20" w:line="288" w:lineRule="auto"/>
              <w:ind w:firstLine="0"/>
              <w:jc w:val="right"/>
              <w:rPr>
                <w:rFonts w:cs="Tahoma"/>
                <w:sz w:val="20"/>
                <w:szCs w:val="20"/>
              </w:rPr>
            </w:pPr>
            <w:r>
              <w:rPr>
                <w:rFonts w:cs="Tahoma"/>
                <w:sz w:val="20"/>
                <w:szCs w:val="20"/>
              </w:rPr>
              <w:t>4,8</w:t>
            </w:r>
          </w:p>
        </w:tc>
        <w:tc>
          <w:tcPr>
            <w:tcW w:w="1142" w:type="dxa"/>
            <w:tcBorders>
              <w:top w:val="single" w:sz="4" w:space="0" w:color="auto"/>
              <w:left w:val="single" w:sz="4" w:space="0" w:color="auto"/>
              <w:bottom w:val="single" w:sz="4" w:space="0" w:color="auto"/>
              <w:right w:val="single" w:sz="4" w:space="0" w:color="auto"/>
            </w:tcBorders>
            <w:vAlign w:val="center"/>
          </w:tcPr>
          <w:p w14:paraId="187E09C0" w14:textId="53B34025" w:rsidR="003F027D" w:rsidRPr="00821AF6" w:rsidRDefault="00FE1E87" w:rsidP="00FE1E87">
            <w:pPr>
              <w:spacing w:before="60" w:after="20" w:line="288" w:lineRule="auto"/>
              <w:ind w:firstLine="0"/>
              <w:jc w:val="right"/>
              <w:rPr>
                <w:rFonts w:cs="Tahoma"/>
                <w:sz w:val="20"/>
                <w:szCs w:val="20"/>
              </w:rPr>
            </w:pPr>
            <w:r>
              <w:rPr>
                <w:rFonts w:cs="Tahoma"/>
                <w:sz w:val="20"/>
                <w:szCs w:val="20"/>
              </w:rPr>
              <w:t>4,6</w:t>
            </w:r>
          </w:p>
        </w:tc>
      </w:tr>
      <w:tr w:rsidR="003F027D" w:rsidRPr="00821AF6" w14:paraId="52507296"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23B01AF6"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tcPr>
          <w:p w14:paraId="360727B5"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Rotacja aktywów</w:t>
            </w:r>
          </w:p>
        </w:tc>
        <w:tc>
          <w:tcPr>
            <w:tcW w:w="1134" w:type="dxa"/>
            <w:tcBorders>
              <w:top w:val="single" w:sz="4" w:space="0" w:color="auto"/>
              <w:left w:val="single" w:sz="4" w:space="0" w:color="auto"/>
              <w:bottom w:val="single" w:sz="4" w:space="0" w:color="auto"/>
              <w:right w:val="single" w:sz="4" w:space="0" w:color="auto"/>
            </w:tcBorders>
            <w:vAlign w:val="center"/>
          </w:tcPr>
          <w:p w14:paraId="4B8B2A83" w14:textId="1EB0C042" w:rsidR="003F027D" w:rsidRPr="00821AF6" w:rsidRDefault="00FE1E87" w:rsidP="00FE1E87">
            <w:pPr>
              <w:spacing w:before="60" w:after="20" w:line="288" w:lineRule="auto"/>
              <w:ind w:firstLine="0"/>
              <w:jc w:val="right"/>
              <w:rPr>
                <w:rFonts w:cs="Tahoma"/>
                <w:sz w:val="20"/>
                <w:szCs w:val="20"/>
              </w:rPr>
            </w:pPr>
            <w:r>
              <w:rPr>
                <w:rFonts w:cs="Tahoma"/>
                <w:sz w:val="20"/>
                <w:szCs w:val="20"/>
              </w:rPr>
              <w:t>3,05</w:t>
            </w:r>
          </w:p>
        </w:tc>
        <w:tc>
          <w:tcPr>
            <w:tcW w:w="1134" w:type="dxa"/>
            <w:tcBorders>
              <w:top w:val="single" w:sz="4" w:space="0" w:color="auto"/>
              <w:left w:val="single" w:sz="4" w:space="0" w:color="auto"/>
              <w:bottom w:val="single" w:sz="4" w:space="0" w:color="auto"/>
              <w:right w:val="single" w:sz="4" w:space="0" w:color="auto"/>
            </w:tcBorders>
            <w:vAlign w:val="center"/>
          </w:tcPr>
          <w:p w14:paraId="34EAC2AD" w14:textId="7DCC5E44" w:rsidR="003F027D" w:rsidRPr="00821AF6" w:rsidRDefault="00FE1E87" w:rsidP="00FE1E87">
            <w:pPr>
              <w:spacing w:before="60" w:after="20" w:line="288" w:lineRule="auto"/>
              <w:ind w:firstLine="0"/>
              <w:jc w:val="right"/>
              <w:rPr>
                <w:rFonts w:cs="Tahoma"/>
                <w:sz w:val="20"/>
                <w:szCs w:val="20"/>
              </w:rPr>
            </w:pPr>
            <w:r>
              <w:rPr>
                <w:rFonts w:cs="Tahoma"/>
                <w:sz w:val="20"/>
                <w:szCs w:val="20"/>
              </w:rPr>
              <w:t>3,15</w:t>
            </w:r>
          </w:p>
        </w:tc>
        <w:tc>
          <w:tcPr>
            <w:tcW w:w="1142" w:type="dxa"/>
            <w:tcBorders>
              <w:top w:val="single" w:sz="4" w:space="0" w:color="auto"/>
              <w:left w:val="single" w:sz="4" w:space="0" w:color="auto"/>
              <w:bottom w:val="single" w:sz="4" w:space="0" w:color="auto"/>
              <w:right w:val="single" w:sz="4" w:space="0" w:color="auto"/>
            </w:tcBorders>
            <w:vAlign w:val="center"/>
          </w:tcPr>
          <w:p w14:paraId="2D3B2D95" w14:textId="2449630C" w:rsidR="003F027D" w:rsidRPr="00821AF6" w:rsidRDefault="00FE1E87" w:rsidP="00FE1E87">
            <w:pPr>
              <w:spacing w:before="60" w:after="20" w:line="288" w:lineRule="auto"/>
              <w:ind w:firstLine="0"/>
              <w:jc w:val="right"/>
              <w:rPr>
                <w:rFonts w:cs="Tahoma"/>
                <w:sz w:val="20"/>
                <w:szCs w:val="20"/>
              </w:rPr>
            </w:pPr>
            <w:r>
              <w:rPr>
                <w:rFonts w:cs="Tahoma"/>
                <w:sz w:val="20"/>
                <w:szCs w:val="20"/>
              </w:rPr>
              <w:t>3,06</w:t>
            </w:r>
          </w:p>
        </w:tc>
      </w:tr>
      <w:tr w:rsidR="003F027D" w:rsidRPr="00821AF6" w14:paraId="1F71DCA8" w14:textId="77777777" w:rsidTr="003F027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348CCF0" w14:textId="77777777" w:rsidR="003F027D" w:rsidRPr="00821AF6" w:rsidRDefault="003F027D" w:rsidP="00FE1E87">
            <w:pPr>
              <w:spacing w:before="60" w:after="20" w:line="288" w:lineRule="auto"/>
              <w:ind w:firstLine="0"/>
              <w:jc w:val="center"/>
              <w:rPr>
                <w:rFonts w:cs="Tahoma"/>
                <w:sz w:val="20"/>
                <w:szCs w:val="20"/>
              </w:rPr>
            </w:pPr>
            <w:r w:rsidRPr="00821AF6">
              <w:rPr>
                <w:rFonts w:cs="Tahoma"/>
                <w:sz w:val="20"/>
                <w:szCs w:val="20"/>
              </w:rPr>
              <w:t>11</w:t>
            </w:r>
          </w:p>
        </w:tc>
        <w:tc>
          <w:tcPr>
            <w:tcW w:w="5103" w:type="dxa"/>
            <w:tcBorders>
              <w:top w:val="single" w:sz="4" w:space="0" w:color="auto"/>
              <w:left w:val="single" w:sz="4" w:space="0" w:color="auto"/>
              <w:bottom w:val="single" w:sz="4" w:space="0" w:color="auto"/>
              <w:right w:val="single" w:sz="4" w:space="0" w:color="auto"/>
            </w:tcBorders>
            <w:vAlign w:val="center"/>
          </w:tcPr>
          <w:p w14:paraId="4AEB1B55" w14:textId="77777777" w:rsidR="003F027D" w:rsidRPr="00821AF6" w:rsidRDefault="003F027D" w:rsidP="00FE1E87">
            <w:pPr>
              <w:spacing w:before="60" w:after="20" w:line="288" w:lineRule="auto"/>
              <w:ind w:firstLine="0"/>
              <w:jc w:val="left"/>
              <w:rPr>
                <w:rFonts w:cs="Tahoma"/>
                <w:sz w:val="20"/>
                <w:szCs w:val="20"/>
              </w:rPr>
            </w:pPr>
            <w:r w:rsidRPr="00821AF6">
              <w:rPr>
                <w:rFonts w:cs="Tahoma"/>
                <w:sz w:val="20"/>
                <w:szCs w:val="20"/>
              </w:rPr>
              <w:t>Rotacja środków trwałych</w:t>
            </w:r>
          </w:p>
        </w:tc>
        <w:tc>
          <w:tcPr>
            <w:tcW w:w="1134" w:type="dxa"/>
            <w:tcBorders>
              <w:top w:val="single" w:sz="4" w:space="0" w:color="auto"/>
              <w:left w:val="single" w:sz="4" w:space="0" w:color="auto"/>
              <w:bottom w:val="single" w:sz="4" w:space="0" w:color="auto"/>
              <w:right w:val="single" w:sz="4" w:space="0" w:color="auto"/>
            </w:tcBorders>
            <w:vAlign w:val="center"/>
          </w:tcPr>
          <w:p w14:paraId="3884675E" w14:textId="2E697F14" w:rsidR="003F027D" w:rsidRPr="00821AF6" w:rsidRDefault="00FE1E87" w:rsidP="00FE1E87">
            <w:pPr>
              <w:spacing w:before="60" w:after="20" w:line="288" w:lineRule="auto"/>
              <w:ind w:firstLine="0"/>
              <w:jc w:val="right"/>
              <w:rPr>
                <w:rFonts w:cs="Tahoma"/>
                <w:sz w:val="20"/>
                <w:szCs w:val="20"/>
              </w:rPr>
            </w:pPr>
            <w:r>
              <w:rPr>
                <w:rFonts w:cs="Tahoma"/>
                <w:sz w:val="20"/>
                <w:szCs w:val="20"/>
              </w:rPr>
              <w:t>4,98</w:t>
            </w:r>
          </w:p>
        </w:tc>
        <w:tc>
          <w:tcPr>
            <w:tcW w:w="1134" w:type="dxa"/>
            <w:tcBorders>
              <w:top w:val="single" w:sz="4" w:space="0" w:color="auto"/>
              <w:left w:val="single" w:sz="4" w:space="0" w:color="auto"/>
              <w:bottom w:val="single" w:sz="4" w:space="0" w:color="auto"/>
              <w:right w:val="single" w:sz="4" w:space="0" w:color="auto"/>
            </w:tcBorders>
            <w:vAlign w:val="center"/>
          </w:tcPr>
          <w:p w14:paraId="4A7E52AC" w14:textId="203CF331" w:rsidR="003F027D" w:rsidRPr="00821AF6" w:rsidRDefault="00FE1E87" w:rsidP="00FE1E87">
            <w:pPr>
              <w:spacing w:before="60" w:after="20" w:line="288" w:lineRule="auto"/>
              <w:ind w:firstLine="0"/>
              <w:jc w:val="right"/>
              <w:rPr>
                <w:rFonts w:cs="Tahoma"/>
                <w:sz w:val="20"/>
                <w:szCs w:val="20"/>
              </w:rPr>
            </w:pPr>
            <w:r>
              <w:rPr>
                <w:rFonts w:cs="Tahoma"/>
                <w:sz w:val="20"/>
                <w:szCs w:val="20"/>
              </w:rPr>
              <w:t>5,14</w:t>
            </w:r>
          </w:p>
        </w:tc>
        <w:tc>
          <w:tcPr>
            <w:tcW w:w="1142" w:type="dxa"/>
            <w:tcBorders>
              <w:top w:val="single" w:sz="4" w:space="0" w:color="auto"/>
              <w:left w:val="single" w:sz="4" w:space="0" w:color="auto"/>
              <w:bottom w:val="single" w:sz="4" w:space="0" w:color="auto"/>
              <w:right w:val="single" w:sz="4" w:space="0" w:color="auto"/>
            </w:tcBorders>
            <w:vAlign w:val="center"/>
          </w:tcPr>
          <w:p w14:paraId="6B365BEF" w14:textId="5D4A58DE" w:rsidR="003F027D" w:rsidRPr="00821AF6" w:rsidRDefault="00FE1E87" w:rsidP="00FE1E87">
            <w:pPr>
              <w:spacing w:before="60" w:after="20" w:line="288" w:lineRule="auto"/>
              <w:ind w:firstLine="0"/>
              <w:jc w:val="right"/>
              <w:rPr>
                <w:rFonts w:cs="Tahoma"/>
                <w:sz w:val="20"/>
                <w:szCs w:val="20"/>
              </w:rPr>
            </w:pPr>
            <w:r>
              <w:rPr>
                <w:rFonts w:cs="Tahoma"/>
                <w:sz w:val="20"/>
                <w:szCs w:val="20"/>
              </w:rPr>
              <w:t>4,76</w:t>
            </w:r>
          </w:p>
        </w:tc>
      </w:tr>
    </w:tbl>
    <w:p w14:paraId="6E2AE42F" w14:textId="77777777" w:rsidR="003F027D" w:rsidRPr="00821AF6" w:rsidRDefault="003F027D" w:rsidP="00FE1E87">
      <w:pPr>
        <w:spacing w:before="120" w:after="240"/>
        <w:ind w:firstLine="0"/>
        <w:jc w:val="left"/>
        <w:rPr>
          <w:rFonts w:cs="Tahoma"/>
          <w:sz w:val="20"/>
          <w:szCs w:val="20"/>
        </w:rPr>
      </w:pPr>
      <w:r w:rsidRPr="00821AF6">
        <w:rPr>
          <w:rFonts w:cs="Tahoma"/>
          <w:sz w:val="20"/>
          <w:szCs w:val="20"/>
        </w:rPr>
        <w:t>Źródło: opracowanie własne.</w:t>
      </w:r>
    </w:p>
    <w:p w14:paraId="4BE13B9C" w14:textId="34CD3112" w:rsidR="000024F4" w:rsidRDefault="003F027D" w:rsidP="00FE1E87">
      <w:pPr>
        <w:rPr>
          <w:rFonts w:cs="Tahoma"/>
          <w:szCs w:val="22"/>
        </w:rPr>
      </w:pPr>
      <w:r w:rsidRPr="00821AF6">
        <w:rPr>
          <w:rFonts w:cs="Tahoma"/>
          <w:szCs w:val="22"/>
        </w:rPr>
        <w:t xml:space="preserve">Sytuację finansową </w:t>
      </w:r>
      <w:r w:rsidR="00C73F5E">
        <w:rPr>
          <w:rFonts w:cs="Tahoma"/>
          <w:szCs w:val="22"/>
        </w:rPr>
        <w:t xml:space="preserve">MPK </w:t>
      </w:r>
      <w:r w:rsidRPr="00821AF6">
        <w:rPr>
          <w:rFonts w:cs="Tahoma"/>
          <w:szCs w:val="22"/>
        </w:rPr>
        <w:t>s</w:t>
      </w:r>
      <w:r>
        <w:rPr>
          <w:rFonts w:cs="Tahoma"/>
          <w:szCs w:val="22"/>
        </w:rPr>
        <w:t>p. z o.o. w latach 2018-2020</w:t>
      </w:r>
      <w:r w:rsidRPr="00821AF6">
        <w:rPr>
          <w:rFonts w:cs="Tahoma"/>
          <w:szCs w:val="22"/>
        </w:rPr>
        <w:t xml:space="preserve"> należy uznać za </w:t>
      </w:r>
      <w:r w:rsidR="00FE1E87">
        <w:rPr>
          <w:rFonts w:cs="Tahoma"/>
          <w:szCs w:val="22"/>
        </w:rPr>
        <w:t>bardzo dobrą. Spółka stale osiąga dodatnie wyniki finansowe, nie posiada także nierozliczonych strat z lat ubiegłych, co w innych przedsiębiorstwach działalności przewozowej w komunikacji miejskiej jest częstym przypadkiem</w:t>
      </w:r>
      <w:r w:rsidR="000024F4">
        <w:rPr>
          <w:rFonts w:cs="Tahoma"/>
          <w:szCs w:val="22"/>
        </w:rPr>
        <w:t>.</w:t>
      </w:r>
      <w:r w:rsidR="00FE1E87">
        <w:rPr>
          <w:rFonts w:cs="Tahoma"/>
          <w:szCs w:val="22"/>
        </w:rPr>
        <w:t xml:space="preserve"> MPK-Rzeszów sp. z o.o. nie korzysta także z zewnętrznych źródeł finansowania.</w:t>
      </w:r>
    </w:p>
    <w:p w14:paraId="0B79D1E2" w14:textId="1878B942" w:rsidR="008C763F" w:rsidRDefault="00FE1E87" w:rsidP="00FE1E87">
      <w:pPr>
        <w:rPr>
          <w:rFonts w:cs="Tahoma"/>
          <w:szCs w:val="22"/>
        </w:rPr>
      </w:pPr>
      <w:r>
        <w:rPr>
          <w:rFonts w:cs="Tahoma"/>
          <w:szCs w:val="22"/>
        </w:rPr>
        <w:t>Jednak</w:t>
      </w:r>
      <w:r w:rsidR="008C763F">
        <w:rPr>
          <w:rFonts w:cs="Tahoma"/>
          <w:szCs w:val="22"/>
        </w:rPr>
        <w:t xml:space="preserve"> osiągan</w:t>
      </w:r>
      <w:r>
        <w:rPr>
          <w:rFonts w:cs="Tahoma"/>
          <w:szCs w:val="22"/>
        </w:rPr>
        <w:t>i</w:t>
      </w:r>
      <w:r w:rsidR="008C763F">
        <w:rPr>
          <w:rFonts w:cs="Tahoma"/>
          <w:szCs w:val="22"/>
        </w:rPr>
        <w:t xml:space="preserve"> dodatniego</w:t>
      </w:r>
      <w:r>
        <w:rPr>
          <w:rFonts w:cs="Tahoma"/>
          <w:szCs w:val="22"/>
        </w:rPr>
        <w:t>, ale niskiego</w:t>
      </w:r>
      <w:r w:rsidR="008C763F">
        <w:rPr>
          <w:rFonts w:cs="Tahoma"/>
          <w:szCs w:val="22"/>
        </w:rPr>
        <w:t xml:space="preserve"> wyniku finansowego oraz </w:t>
      </w:r>
      <w:r>
        <w:rPr>
          <w:rFonts w:cs="Tahoma"/>
          <w:szCs w:val="22"/>
        </w:rPr>
        <w:t xml:space="preserve">stosunkowo </w:t>
      </w:r>
      <w:r w:rsidR="008C763F">
        <w:rPr>
          <w:rFonts w:cs="Tahoma"/>
          <w:szCs w:val="22"/>
        </w:rPr>
        <w:t>niski poziom amortyzacji w skali całej firmy</w:t>
      </w:r>
      <w:r w:rsidR="00123F7E">
        <w:rPr>
          <w:rFonts w:cs="Tahoma"/>
          <w:szCs w:val="22"/>
        </w:rPr>
        <w:t xml:space="preserve">, </w:t>
      </w:r>
      <w:r w:rsidR="008C763F">
        <w:rPr>
          <w:rFonts w:cs="Tahoma"/>
          <w:szCs w:val="22"/>
        </w:rPr>
        <w:t>uniem</w:t>
      </w:r>
      <w:r w:rsidR="003F027D">
        <w:rPr>
          <w:rFonts w:cs="Tahoma"/>
          <w:szCs w:val="22"/>
        </w:rPr>
        <w:t>ożliwia realizację</w:t>
      </w:r>
      <w:r w:rsidR="003F027D" w:rsidRPr="00821AF6">
        <w:rPr>
          <w:rFonts w:cs="Tahoma"/>
          <w:szCs w:val="22"/>
        </w:rPr>
        <w:t xml:space="preserve"> </w:t>
      </w:r>
      <w:r w:rsidR="008C763F">
        <w:rPr>
          <w:rFonts w:cs="Tahoma"/>
          <w:szCs w:val="22"/>
        </w:rPr>
        <w:t xml:space="preserve">przez Spółkę </w:t>
      </w:r>
      <w:r w:rsidR="003F027D" w:rsidRPr="00821AF6">
        <w:rPr>
          <w:rFonts w:cs="Tahoma"/>
          <w:szCs w:val="22"/>
        </w:rPr>
        <w:t>procesu odnowy taboru</w:t>
      </w:r>
      <w:r w:rsidR="003F027D">
        <w:rPr>
          <w:rFonts w:cs="Tahoma"/>
          <w:szCs w:val="22"/>
        </w:rPr>
        <w:t xml:space="preserve"> </w:t>
      </w:r>
      <w:r>
        <w:rPr>
          <w:rFonts w:cs="Tahoma"/>
          <w:szCs w:val="22"/>
        </w:rPr>
        <w:t xml:space="preserve">w pełnym zakresie, </w:t>
      </w:r>
      <w:r w:rsidR="003F027D">
        <w:rPr>
          <w:rFonts w:cs="Tahoma"/>
          <w:szCs w:val="22"/>
        </w:rPr>
        <w:t>w każdym z wariantów</w:t>
      </w:r>
      <w:r>
        <w:rPr>
          <w:rFonts w:cs="Tahoma"/>
          <w:szCs w:val="22"/>
        </w:rPr>
        <w:t xml:space="preserve"> inwestycyjnych</w:t>
      </w:r>
      <w:r w:rsidR="003F027D" w:rsidRPr="00821AF6">
        <w:rPr>
          <w:rFonts w:cs="Tahoma"/>
          <w:szCs w:val="22"/>
        </w:rPr>
        <w:t xml:space="preserve">. </w:t>
      </w:r>
      <w:r w:rsidR="00C73F5E">
        <w:rPr>
          <w:rFonts w:cs="Tahoma"/>
          <w:szCs w:val="22"/>
        </w:rPr>
        <w:t>MPK</w:t>
      </w:r>
      <w:r>
        <w:rPr>
          <w:rFonts w:cs="Tahoma"/>
          <w:szCs w:val="22"/>
        </w:rPr>
        <w:t>-Rzeszów</w:t>
      </w:r>
      <w:r w:rsidR="00C73F5E">
        <w:rPr>
          <w:rFonts w:cs="Tahoma"/>
          <w:szCs w:val="22"/>
        </w:rPr>
        <w:t xml:space="preserve"> </w:t>
      </w:r>
      <w:r w:rsidR="003F027D">
        <w:rPr>
          <w:rFonts w:cs="Tahoma"/>
          <w:szCs w:val="22"/>
        </w:rPr>
        <w:t xml:space="preserve">sp. z o.o. posiada </w:t>
      </w:r>
      <w:r w:rsidR="008C763F">
        <w:rPr>
          <w:rFonts w:cs="Tahoma"/>
          <w:szCs w:val="22"/>
        </w:rPr>
        <w:t xml:space="preserve">niewielkie </w:t>
      </w:r>
      <w:r w:rsidR="003F027D">
        <w:rPr>
          <w:rFonts w:cs="Tahoma"/>
          <w:szCs w:val="22"/>
        </w:rPr>
        <w:t xml:space="preserve">nadwyżki finansowe pozwalające na zrealizowanie </w:t>
      </w:r>
      <w:r w:rsidR="008C763F">
        <w:rPr>
          <w:rFonts w:cs="Tahoma"/>
          <w:szCs w:val="22"/>
        </w:rPr>
        <w:t>ograniczonych</w:t>
      </w:r>
      <w:r w:rsidR="003F027D">
        <w:rPr>
          <w:rFonts w:cs="Tahoma"/>
          <w:szCs w:val="22"/>
        </w:rPr>
        <w:t xml:space="preserve"> inwestycji, </w:t>
      </w:r>
      <w:r w:rsidR="008C763F">
        <w:rPr>
          <w:rFonts w:cs="Tahoma"/>
          <w:szCs w:val="22"/>
        </w:rPr>
        <w:t xml:space="preserve">lecz </w:t>
      </w:r>
      <w:r>
        <w:rPr>
          <w:rFonts w:cs="Tahoma"/>
          <w:szCs w:val="22"/>
        </w:rPr>
        <w:t>może dokonywać odnowy taboru w niewielkim zakresie</w:t>
      </w:r>
      <w:r w:rsidR="008C763F">
        <w:rPr>
          <w:rFonts w:cs="Tahoma"/>
          <w:szCs w:val="22"/>
        </w:rPr>
        <w:t>.</w:t>
      </w:r>
      <w:r w:rsidR="003F027D">
        <w:rPr>
          <w:rFonts w:cs="Tahoma"/>
          <w:szCs w:val="22"/>
        </w:rPr>
        <w:t xml:space="preserve"> Spółka </w:t>
      </w:r>
      <w:r w:rsidR="008C763F">
        <w:rPr>
          <w:rFonts w:cs="Tahoma"/>
          <w:szCs w:val="22"/>
        </w:rPr>
        <w:t xml:space="preserve">może </w:t>
      </w:r>
      <w:r>
        <w:rPr>
          <w:rFonts w:cs="Tahoma"/>
          <w:szCs w:val="22"/>
        </w:rPr>
        <w:t xml:space="preserve">natomiast </w:t>
      </w:r>
      <w:r w:rsidR="008C763F">
        <w:rPr>
          <w:rFonts w:cs="Tahoma"/>
          <w:szCs w:val="22"/>
        </w:rPr>
        <w:t>w</w:t>
      </w:r>
      <w:r w:rsidR="007F019A">
        <w:rPr>
          <w:rFonts w:cs="Tahoma"/>
          <w:szCs w:val="22"/>
        </w:rPr>
        <w:t> </w:t>
      </w:r>
      <w:r>
        <w:rPr>
          <w:rFonts w:cs="Tahoma"/>
          <w:szCs w:val="22"/>
        </w:rPr>
        <w:t>szerokim</w:t>
      </w:r>
      <w:r w:rsidR="008C763F">
        <w:rPr>
          <w:rFonts w:cs="Tahoma"/>
          <w:szCs w:val="22"/>
        </w:rPr>
        <w:t xml:space="preserve"> zakresie korzystać z </w:t>
      </w:r>
      <w:r w:rsidR="003F027D">
        <w:rPr>
          <w:rFonts w:cs="Tahoma"/>
          <w:szCs w:val="22"/>
        </w:rPr>
        <w:t>zewnętrzn</w:t>
      </w:r>
      <w:r w:rsidR="008C763F">
        <w:rPr>
          <w:rFonts w:cs="Tahoma"/>
          <w:szCs w:val="22"/>
        </w:rPr>
        <w:t xml:space="preserve">ego finansowania, np. w formie leasingu, jednak powiększone wówczas koszty funkcjonowania komunikacji miejskiej i tak obciążą budżet Miasta </w:t>
      </w:r>
      <w:r w:rsidR="00123F7E">
        <w:rPr>
          <w:rFonts w:cs="Tahoma"/>
          <w:szCs w:val="22"/>
        </w:rPr>
        <w:t xml:space="preserve">– </w:t>
      </w:r>
      <w:r w:rsidR="008C763F">
        <w:rPr>
          <w:rFonts w:cs="Tahoma"/>
          <w:szCs w:val="22"/>
        </w:rPr>
        <w:t>poprzez zwiększony poziom rekompensaty.</w:t>
      </w:r>
      <w:r w:rsidR="003F027D">
        <w:rPr>
          <w:rFonts w:cs="Tahoma"/>
          <w:szCs w:val="22"/>
        </w:rPr>
        <w:t xml:space="preserve"> </w:t>
      </w:r>
      <w:r w:rsidR="008C763F">
        <w:rPr>
          <w:rFonts w:cs="Tahoma"/>
          <w:szCs w:val="22"/>
        </w:rPr>
        <w:t xml:space="preserve">Spółka korzystając jedynie z własnych środków, może realizować zakupy </w:t>
      </w:r>
      <w:r w:rsidR="00123F7E">
        <w:rPr>
          <w:rFonts w:cs="Tahoma"/>
          <w:szCs w:val="22"/>
        </w:rPr>
        <w:t xml:space="preserve">wyłącznie </w:t>
      </w:r>
      <w:r w:rsidR="008C763F">
        <w:rPr>
          <w:rFonts w:cs="Tahoma"/>
          <w:szCs w:val="22"/>
        </w:rPr>
        <w:t>jednostek taborowych używanych, według scenariusza bazowego</w:t>
      </w:r>
      <w:r>
        <w:rPr>
          <w:rFonts w:cs="Tahoma"/>
          <w:szCs w:val="22"/>
        </w:rPr>
        <w:t>, korzystając przy tym ze wsparcia kredytowego lub leasingowego</w:t>
      </w:r>
      <w:r w:rsidR="008C763F">
        <w:rPr>
          <w:rFonts w:cs="Tahoma"/>
          <w:szCs w:val="22"/>
        </w:rPr>
        <w:t>.</w:t>
      </w:r>
      <w:r w:rsidR="008C763F" w:rsidRPr="008C763F">
        <w:rPr>
          <w:rFonts w:cs="Tahoma"/>
          <w:szCs w:val="22"/>
        </w:rPr>
        <w:t xml:space="preserve"> </w:t>
      </w:r>
      <w:r w:rsidR="008C763F" w:rsidRPr="00821AF6">
        <w:rPr>
          <w:rFonts w:cs="Tahoma"/>
          <w:szCs w:val="22"/>
        </w:rPr>
        <w:t>Wykonanie całego programu inwestycyjnego przedstawionego w analizie</w:t>
      </w:r>
      <w:r w:rsidR="00123F7E">
        <w:rPr>
          <w:rFonts w:cs="Tahoma"/>
          <w:szCs w:val="22"/>
        </w:rPr>
        <w:t>,</w:t>
      </w:r>
      <w:r w:rsidR="008C763F" w:rsidRPr="00821AF6">
        <w:rPr>
          <w:rFonts w:cs="Tahoma"/>
          <w:szCs w:val="22"/>
        </w:rPr>
        <w:t xml:space="preserve"> wymagałoby pozyskania przez </w:t>
      </w:r>
      <w:r w:rsidR="00C73F5E">
        <w:rPr>
          <w:rFonts w:cs="Tahoma"/>
          <w:szCs w:val="22"/>
        </w:rPr>
        <w:t>MPK</w:t>
      </w:r>
      <w:r>
        <w:rPr>
          <w:rFonts w:cs="Tahoma"/>
          <w:szCs w:val="22"/>
        </w:rPr>
        <w:t>-Rzeszów</w:t>
      </w:r>
      <w:r w:rsidR="00C73F5E">
        <w:rPr>
          <w:rFonts w:cs="Tahoma"/>
          <w:szCs w:val="22"/>
        </w:rPr>
        <w:t xml:space="preserve"> </w:t>
      </w:r>
      <w:r w:rsidR="008C763F" w:rsidRPr="00821AF6">
        <w:rPr>
          <w:rFonts w:cs="Tahoma"/>
          <w:szCs w:val="22"/>
        </w:rPr>
        <w:t>sp. z o.o. dodatkowego</w:t>
      </w:r>
      <w:r>
        <w:rPr>
          <w:rFonts w:cs="Tahoma"/>
          <w:szCs w:val="22"/>
        </w:rPr>
        <w:t>, bardzo znacznego</w:t>
      </w:r>
      <w:r w:rsidR="008C763F" w:rsidRPr="00821AF6">
        <w:rPr>
          <w:rFonts w:cs="Tahoma"/>
          <w:szCs w:val="22"/>
        </w:rPr>
        <w:t xml:space="preserve"> wsparcia </w:t>
      </w:r>
      <w:r w:rsidR="008C763F">
        <w:rPr>
          <w:rFonts w:cs="Tahoma"/>
          <w:szCs w:val="22"/>
        </w:rPr>
        <w:t xml:space="preserve">finansowego </w:t>
      </w:r>
      <w:r w:rsidR="008C763F" w:rsidRPr="00821AF6">
        <w:rPr>
          <w:rFonts w:cs="Tahoma"/>
          <w:szCs w:val="22"/>
        </w:rPr>
        <w:t>ze strony Miasta</w:t>
      </w:r>
      <w:r w:rsidR="008C763F">
        <w:rPr>
          <w:rFonts w:cs="Tahoma"/>
          <w:szCs w:val="22"/>
        </w:rPr>
        <w:t xml:space="preserve">. </w:t>
      </w:r>
    </w:p>
    <w:p w14:paraId="2C53CE8C" w14:textId="658C942A" w:rsidR="003F027D" w:rsidRPr="00821AF6" w:rsidRDefault="008C763F" w:rsidP="00FE1E87">
      <w:pPr>
        <w:rPr>
          <w:rFonts w:cs="Tahoma"/>
          <w:szCs w:val="22"/>
        </w:rPr>
      </w:pPr>
      <w:r>
        <w:rPr>
          <w:rFonts w:cs="Tahoma"/>
          <w:szCs w:val="22"/>
        </w:rPr>
        <w:t xml:space="preserve">Realizację procesu odnowy taboru powinno więc </w:t>
      </w:r>
      <w:r w:rsidR="00FE1E87">
        <w:rPr>
          <w:rFonts w:cs="Tahoma"/>
          <w:szCs w:val="22"/>
        </w:rPr>
        <w:t xml:space="preserve">nadal </w:t>
      </w:r>
      <w:r>
        <w:rPr>
          <w:rFonts w:cs="Tahoma"/>
          <w:szCs w:val="22"/>
        </w:rPr>
        <w:t xml:space="preserve">prowadzić Miasto, z wykorzystaniem dostępnych środków pomocowych krajowych i </w:t>
      </w:r>
      <w:r w:rsidR="00D77FEC">
        <w:rPr>
          <w:rFonts w:cs="Tahoma"/>
          <w:szCs w:val="22"/>
        </w:rPr>
        <w:t>europejskich,</w:t>
      </w:r>
      <w:r>
        <w:rPr>
          <w:rFonts w:cs="Tahoma"/>
          <w:szCs w:val="22"/>
        </w:rPr>
        <w:t xml:space="preserve"> </w:t>
      </w:r>
      <w:r w:rsidR="00D77FEC" w:rsidRPr="00821AF6">
        <w:rPr>
          <w:rFonts w:cs="Tahoma"/>
          <w:szCs w:val="22"/>
        </w:rPr>
        <w:t>a następnie udostępni</w:t>
      </w:r>
      <w:r w:rsidR="00D77FEC">
        <w:rPr>
          <w:rFonts w:cs="Tahoma"/>
          <w:szCs w:val="22"/>
        </w:rPr>
        <w:t xml:space="preserve">ć nabyty tabor i wybudowane urządzenia </w:t>
      </w:r>
      <w:r w:rsidR="00D77FEC" w:rsidRPr="00821AF6">
        <w:rPr>
          <w:rFonts w:cs="Tahoma"/>
          <w:szCs w:val="22"/>
        </w:rPr>
        <w:t>operatorowi</w:t>
      </w:r>
      <w:r w:rsidR="00D77FEC">
        <w:rPr>
          <w:rFonts w:cs="Tahoma"/>
          <w:szCs w:val="22"/>
        </w:rPr>
        <w:t xml:space="preserve"> do eksploatacji.</w:t>
      </w:r>
    </w:p>
    <w:p w14:paraId="26278A08" w14:textId="2B940A62" w:rsidR="003F027D" w:rsidRDefault="003F027D" w:rsidP="00FE1E87">
      <w:pPr>
        <w:rPr>
          <w:rFonts w:cs="Tahoma"/>
          <w:szCs w:val="22"/>
        </w:rPr>
      </w:pPr>
      <w:r w:rsidRPr="00821AF6">
        <w:rPr>
          <w:rFonts w:cs="Tahoma"/>
          <w:szCs w:val="22"/>
        </w:rPr>
        <w:t>Zrealizowanie inwestycji przewidzianych w warian</w:t>
      </w:r>
      <w:r>
        <w:rPr>
          <w:rFonts w:cs="Tahoma"/>
          <w:szCs w:val="22"/>
        </w:rPr>
        <w:t>ta</w:t>
      </w:r>
      <w:r w:rsidR="00FE1E87">
        <w:rPr>
          <w:rFonts w:cs="Tahoma"/>
          <w:szCs w:val="22"/>
        </w:rPr>
        <w:t>ch</w:t>
      </w:r>
      <w:r w:rsidRPr="00821AF6">
        <w:rPr>
          <w:rFonts w:cs="Tahoma"/>
          <w:szCs w:val="22"/>
        </w:rPr>
        <w:t xml:space="preserve"> elektryczny</w:t>
      </w:r>
      <w:r w:rsidR="00FE1E87">
        <w:rPr>
          <w:rFonts w:cs="Tahoma"/>
          <w:szCs w:val="22"/>
        </w:rPr>
        <w:t>m</w:t>
      </w:r>
      <w:r>
        <w:rPr>
          <w:rFonts w:cs="Tahoma"/>
          <w:szCs w:val="22"/>
        </w:rPr>
        <w:t xml:space="preserve"> </w:t>
      </w:r>
      <w:r w:rsidR="00FE1E87">
        <w:rPr>
          <w:rFonts w:cs="Tahoma"/>
          <w:szCs w:val="22"/>
        </w:rPr>
        <w:t>i wodorowym</w:t>
      </w:r>
      <w:r w:rsidRPr="00821AF6">
        <w:rPr>
          <w:rFonts w:cs="Tahoma"/>
          <w:szCs w:val="22"/>
        </w:rPr>
        <w:t xml:space="preserve">, nawet z aplikowaniem o dodatkowe środki pomocowe, wymaga </w:t>
      </w:r>
      <w:r w:rsidR="008C763F">
        <w:rPr>
          <w:rFonts w:cs="Tahoma"/>
          <w:szCs w:val="22"/>
        </w:rPr>
        <w:t xml:space="preserve">znacznego </w:t>
      </w:r>
      <w:r w:rsidRPr="00821AF6">
        <w:rPr>
          <w:rFonts w:cs="Tahoma"/>
          <w:szCs w:val="22"/>
        </w:rPr>
        <w:t>zaang</w:t>
      </w:r>
      <w:r w:rsidR="008C763F">
        <w:rPr>
          <w:rFonts w:cs="Tahoma"/>
          <w:szCs w:val="22"/>
        </w:rPr>
        <w:t xml:space="preserve">ażowania się </w:t>
      </w:r>
      <w:r w:rsidR="008C763F">
        <w:rPr>
          <w:rFonts w:cs="Tahoma"/>
          <w:szCs w:val="22"/>
        </w:rPr>
        <w:lastRenderedPageBreak/>
        <w:t>finansowego Miasta. Nakłady rzeczywiście do poniesienia mogą mieć wyższy poziom,</w:t>
      </w:r>
      <w:r w:rsidRPr="00821AF6">
        <w:rPr>
          <w:rFonts w:cs="Tahoma"/>
          <w:szCs w:val="22"/>
        </w:rPr>
        <w:t xml:space="preserve"> np. </w:t>
      </w:r>
      <w:r w:rsidR="008C763F">
        <w:rPr>
          <w:rFonts w:cs="Tahoma"/>
          <w:szCs w:val="22"/>
        </w:rPr>
        <w:t>z</w:t>
      </w:r>
      <w:r w:rsidR="007F019A">
        <w:rPr>
          <w:rFonts w:cs="Tahoma"/>
          <w:szCs w:val="22"/>
        </w:rPr>
        <w:t> </w:t>
      </w:r>
      <w:r w:rsidR="008C763F">
        <w:rPr>
          <w:rFonts w:cs="Tahoma"/>
          <w:szCs w:val="22"/>
        </w:rPr>
        <w:t>powodu konieczności</w:t>
      </w:r>
      <w:r w:rsidRPr="00821AF6">
        <w:rPr>
          <w:rFonts w:cs="Tahoma"/>
          <w:szCs w:val="22"/>
        </w:rPr>
        <w:t xml:space="preserve"> </w:t>
      </w:r>
      <w:r w:rsidR="008C763F">
        <w:rPr>
          <w:rFonts w:cs="Tahoma"/>
          <w:szCs w:val="22"/>
        </w:rPr>
        <w:t>zrealizowania</w:t>
      </w:r>
      <w:r>
        <w:rPr>
          <w:rFonts w:cs="Tahoma"/>
          <w:szCs w:val="22"/>
        </w:rPr>
        <w:t xml:space="preserve"> przez Miasto </w:t>
      </w:r>
      <w:r w:rsidR="008C763F">
        <w:rPr>
          <w:rFonts w:cs="Tahoma"/>
          <w:szCs w:val="22"/>
        </w:rPr>
        <w:t xml:space="preserve">towarzyszących </w:t>
      </w:r>
      <w:r>
        <w:rPr>
          <w:rFonts w:cs="Tahoma"/>
          <w:szCs w:val="22"/>
        </w:rPr>
        <w:t>inwestycji infrastrukturalno-drogowych</w:t>
      </w:r>
      <w:r w:rsidRPr="00821AF6">
        <w:rPr>
          <w:rFonts w:cs="Tahoma"/>
          <w:szCs w:val="22"/>
        </w:rPr>
        <w:t>.</w:t>
      </w:r>
    </w:p>
    <w:p w14:paraId="13CA2A06" w14:textId="00100263" w:rsidR="00D77FEC" w:rsidRPr="00821AF6" w:rsidRDefault="00D77FEC" w:rsidP="00FE1E87">
      <w:pPr>
        <w:rPr>
          <w:rFonts w:cs="Tahoma"/>
          <w:szCs w:val="22"/>
        </w:rPr>
      </w:pPr>
      <w:r>
        <w:rPr>
          <w:rFonts w:cs="Tahoma"/>
          <w:szCs w:val="22"/>
        </w:rPr>
        <w:t>W niniejszej analizie z</w:t>
      </w:r>
      <w:r w:rsidRPr="00821AF6">
        <w:rPr>
          <w:rFonts w:cs="Tahoma"/>
          <w:szCs w:val="22"/>
        </w:rPr>
        <w:t xml:space="preserve">ałożono, że Miasto będzie przekazywało </w:t>
      </w:r>
      <w:r w:rsidR="00C73F5E">
        <w:rPr>
          <w:rFonts w:cs="Tahoma"/>
          <w:szCs w:val="22"/>
        </w:rPr>
        <w:t>MPK</w:t>
      </w:r>
      <w:r w:rsidRPr="00821AF6">
        <w:rPr>
          <w:rFonts w:cs="Tahoma"/>
          <w:szCs w:val="22"/>
        </w:rPr>
        <w:t xml:space="preserve"> środki finansowe w</w:t>
      </w:r>
      <w:r w:rsidR="007F019A">
        <w:rPr>
          <w:rFonts w:cs="Tahoma"/>
          <w:szCs w:val="22"/>
        </w:rPr>
        <w:t> </w:t>
      </w:r>
      <w:r w:rsidRPr="00821AF6">
        <w:rPr>
          <w:rFonts w:cs="Tahoma"/>
          <w:szCs w:val="22"/>
        </w:rPr>
        <w:t>formie należnej rekompensaty w wysokości</w:t>
      </w:r>
      <w:r>
        <w:rPr>
          <w:rFonts w:cs="Tahoma"/>
          <w:szCs w:val="22"/>
        </w:rPr>
        <w:t xml:space="preserve"> określonej przepisami krajowymi i europejskimi</w:t>
      </w:r>
      <w:r w:rsidRPr="00821AF6">
        <w:rPr>
          <w:rFonts w:cs="Tahoma"/>
          <w:szCs w:val="22"/>
        </w:rPr>
        <w:t>.</w:t>
      </w:r>
    </w:p>
    <w:p w14:paraId="3A5796FF" w14:textId="77777777" w:rsidR="000C512A" w:rsidRPr="00821AF6" w:rsidRDefault="000C512A" w:rsidP="00C96610">
      <w:pPr>
        <w:pStyle w:val="Nagwek2"/>
        <w:tabs>
          <w:tab w:val="left" w:pos="539"/>
        </w:tabs>
        <w:spacing w:before="120"/>
        <w:ind w:left="567"/>
        <w:jc w:val="center"/>
        <w:rPr>
          <w:color w:val="000000"/>
        </w:rPr>
      </w:pPr>
      <w:bookmarkStart w:id="98" w:name="_Toc524602378"/>
      <w:bookmarkStart w:id="99" w:name="_Toc89417681"/>
      <w:r w:rsidRPr="00821AF6">
        <w:rPr>
          <w:color w:val="000000"/>
        </w:rPr>
        <w:t>Analiza wrażliwości i ryzyka</w:t>
      </w:r>
      <w:bookmarkEnd w:id="98"/>
      <w:bookmarkEnd w:id="99"/>
    </w:p>
    <w:p w14:paraId="4D487992" w14:textId="6409A45F" w:rsidR="000C512A" w:rsidRPr="00821AF6" w:rsidRDefault="000C512A" w:rsidP="00C96610">
      <w:pPr>
        <w:rPr>
          <w:rFonts w:cs="Tahoma"/>
          <w:color w:val="000000"/>
        </w:rPr>
      </w:pPr>
      <w:r w:rsidRPr="00821AF6">
        <w:rPr>
          <w:rFonts w:cs="Tahoma"/>
          <w:color w:val="000000"/>
        </w:rPr>
        <w:t xml:space="preserve">Dla przyjętych założeń wykazano brak korzyści z wykorzystywania autobusów zeroemisyjnych w </w:t>
      </w:r>
      <w:r w:rsidR="00C73F5E">
        <w:rPr>
          <w:rFonts w:cs="Tahoma"/>
          <w:color w:val="000000"/>
        </w:rPr>
        <w:t>rzeszowskie</w:t>
      </w:r>
      <w:r w:rsidR="00AE0C28">
        <w:rPr>
          <w:rFonts w:cs="Tahoma"/>
          <w:color w:val="000000"/>
        </w:rPr>
        <w:t>j</w:t>
      </w:r>
      <w:r w:rsidR="003D6E0C">
        <w:rPr>
          <w:rFonts w:cs="Tahoma"/>
          <w:color w:val="000000"/>
        </w:rPr>
        <w:t xml:space="preserve"> </w:t>
      </w:r>
      <w:r w:rsidRPr="00821AF6">
        <w:rPr>
          <w:rFonts w:cs="Tahoma"/>
          <w:color w:val="000000"/>
        </w:rPr>
        <w:t xml:space="preserve">komunikacji miejskiej. </w:t>
      </w:r>
      <w:r w:rsidR="00D77FEC">
        <w:rPr>
          <w:rFonts w:cs="Tahoma"/>
          <w:color w:val="000000"/>
        </w:rPr>
        <w:t>B</w:t>
      </w:r>
      <w:r w:rsidRPr="00821AF6">
        <w:rPr>
          <w:rFonts w:cs="Tahoma"/>
          <w:color w:val="000000"/>
        </w:rPr>
        <w:t xml:space="preserve">rak korzyści </w:t>
      </w:r>
      <w:r w:rsidR="00D629D5" w:rsidRPr="00821AF6">
        <w:rPr>
          <w:rFonts w:cs="Tahoma"/>
          <w:color w:val="000000"/>
        </w:rPr>
        <w:t xml:space="preserve">społeczno-ekonomicznych </w:t>
      </w:r>
      <w:r w:rsidRPr="00821AF6">
        <w:rPr>
          <w:rFonts w:cs="Tahoma"/>
          <w:color w:val="000000"/>
        </w:rPr>
        <w:t>zdeterminowała wysoka cena zakupu autobusów wraz z</w:t>
      </w:r>
      <w:r w:rsidR="00DA7B77" w:rsidRPr="00821AF6">
        <w:rPr>
          <w:rFonts w:cs="Tahoma"/>
          <w:color w:val="000000"/>
        </w:rPr>
        <w:t> </w:t>
      </w:r>
      <w:r w:rsidRPr="00821AF6">
        <w:rPr>
          <w:rFonts w:cs="Tahoma"/>
          <w:color w:val="000000"/>
        </w:rPr>
        <w:t>infrastrukturą zasilającą.</w:t>
      </w:r>
    </w:p>
    <w:p w14:paraId="0588C563" w14:textId="3297C9DF" w:rsidR="00D8598B" w:rsidRPr="00821AF6" w:rsidRDefault="00D8598B" w:rsidP="00501F0E">
      <w:pPr>
        <w:rPr>
          <w:rFonts w:cs="Tahoma"/>
          <w:szCs w:val="22"/>
        </w:rPr>
      </w:pPr>
      <w:r w:rsidRPr="00821AF6">
        <w:rPr>
          <w:rFonts w:cs="Tahoma"/>
          <w:color w:val="000000"/>
        </w:rPr>
        <w:t>Strukturę użytkowanego taboru determinować będą w</w:t>
      </w:r>
      <w:r w:rsidR="00915C9A">
        <w:rPr>
          <w:rFonts w:cs="Tahoma"/>
          <w:color w:val="000000"/>
        </w:rPr>
        <w:t>ięc w</w:t>
      </w:r>
      <w:r w:rsidRPr="00821AF6">
        <w:rPr>
          <w:rFonts w:cs="Tahoma"/>
          <w:color w:val="000000"/>
        </w:rPr>
        <w:t xml:space="preserve"> najbliższych latach decyzje</w:t>
      </w:r>
      <w:r w:rsidR="00915C9A">
        <w:rPr>
          <w:rFonts w:cs="Tahoma"/>
          <w:color w:val="000000"/>
        </w:rPr>
        <w:t xml:space="preserve"> –</w:t>
      </w:r>
      <w:r w:rsidRPr="00821AF6">
        <w:rPr>
          <w:rFonts w:cs="Tahoma"/>
          <w:color w:val="000000"/>
        </w:rPr>
        <w:t xml:space="preserve"> pozytywne lub negatywne</w:t>
      </w:r>
      <w:r w:rsidR="00915C9A">
        <w:rPr>
          <w:rFonts w:cs="Tahoma"/>
          <w:color w:val="000000"/>
        </w:rPr>
        <w:t xml:space="preserve"> –</w:t>
      </w:r>
      <w:r w:rsidRPr="00821AF6">
        <w:rPr>
          <w:rFonts w:cs="Tahoma"/>
          <w:color w:val="000000"/>
        </w:rPr>
        <w:t xml:space="preserve"> o dofinansowaniu ze środków pomocowych zakupu autobusów zeroemisyjnych wraz z infrastrukturą zasilającą w ramach programów pomocowych </w:t>
      </w:r>
      <w:r w:rsidR="003D6E0C">
        <w:rPr>
          <w:rFonts w:cs="Tahoma"/>
          <w:color w:val="000000"/>
        </w:rPr>
        <w:t xml:space="preserve">krajowych oraz </w:t>
      </w:r>
      <w:r w:rsidRPr="00821AF6">
        <w:rPr>
          <w:rFonts w:cs="Tahoma"/>
          <w:color w:val="000000"/>
        </w:rPr>
        <w:t xml:space="preserve">Unii Europejskiej. W ramach tych programów flota autobusów zeroemisyjnych w </w:t>
      </w:r>
      <w:r w:rsidR="00C73F5E">
        <w:rPr>
          <w:rFonts w:cs="Tahoma"/>
          <w:color w:val="000000"/>
        </w:rPr>
        <w:t>rzeszowskie</w:t>
      </w:r>
      <w:r w:rsidR="00AE0C28">
        <w:rPr>
          <w:rFonts w:cs="Tahoma"/>
          <w:color w:val="000000"/>
        </w:rPr>
        <w:t>j</w:t>
      </w:r>
      <w:r w:rsidR="00D77FEC">
        <w:rPr>
          <w:rFonts w:cs="Tahoma"/>
          <w:color w:val="000000"/>
        </w:rPr>
        <w:t xml:space="preserve"> </w:t>
      </w:r>
      <w:r w:rsidRPr="00821AF6">
        <w:rPr>
          <w:rFonts w:cs="Tahoma"/>
          <w:color w:val="000000"/>
        </w:rPr>
        <w:t xml:space="preserve">komunikacji miejskiej może osiągnąć poziom </w:t>
      </w:r>
      <w:r w:rsidR="00D77FEC">
        <w:rPr>
          <w:rFonts w:cs="Tahoma"/>
          <w:color w:val="000000"/>
        </w:rPr>
        <w:t xml:space="preserve">nawet </w:t>
      </w:r>
      <w:r w:rsidR="00501F0E">
        <w:rPr>
          <w:rFonts w:cs="Tahoma"/>
          <w:color w:val="000000"/>
        </w:rPr>
        <w:t>69</w:t>
      </w:r>
      <w:r w:rsidRPr="00821AF6">
        <w:rPr>
          <w:rFonts w:cs="Tahoma"/>
          <w:color w:val="000000"/>
        </w:rPr>
        <w:t xml:space="preserve"> pojazdów. W przypadku braku uczestnictwa lub braku pozyskania dofinansowania dla takich</w:t>
      </w:r>
      <w:r w:rsidR="003D6E0C">
        <w:rPr>
          <w:rFonts w:cs="Tahoma"/>
          <w:color w:val="000000"/>
        </w:rPr>
        <w:t xml:space="preserve"> projektów, spełnienie warunku 3</w:t>
      </w:r>
      <w:r w:rsidRPr="00821AF6">
        <w:rPr>
          <w:rFonts w:cs="Tahoma"/>
          <w:color w:val="000000"/>
        </w:rPr>
        <w:t xml:space="preserve">0% udziału taboru zeroemisyjnego we flocie pojazdów, którymi świadczone są usługi komunikacji miejskiej w </w:t>
      </w:r>
      <w:r w:rsidR="00F1258F">
        <w:rPr>
          <w:rFonts w:cs="Tahoma"/>
          <w:color w:val="000000"/>
        </w:rPr>
        <w:t>Rzeszowie</w:t>
      </w:r>
      <w:r w:rsidRPr="00821AF6">
        <w:rPr>
          <w:rFonts w:cs="Tahoma"/>
          <w:color w:val="000000"/>
        </w:rPr>
        <w:t xml:space="preserve">, </w:t>
      </w:r>
      <w:r w:rsidR="00475614">
        <w:rPr>
          <w:rFonts w:cs="Tahoma"/>
          <w:color w:val="000000"/>
        </w:rPr>
        <w:t>wymaganego na 1 stycznia 2028</w:t>
      </w:r>
      <w:r w:rsidR="00DA3EBD" w:rsidRPr="00821AF6">
        <w:rPr>
          <w:rFonts w:cs="Tahoma"/>
          <w:color w:val="000000"/>
        </w:rPr>
        <w:t xml:space="preserve"> r., </w:t>
      </w:r>
      <w:r w:rsidRPr="00821AF6">
        <w:rPr>
          <w:rFonts w:cs="Tahoma"/>
          <w:color w:val="000000"/>
        </w:rPr>
        <w:t xml:space="preserve">będzie </w:t>
      </w:r>
      <w:r w:rsidR="005252E1">
        <w:rPr>
          <w:rFonts w:cs="Tahoma"/>
          <w:color w:val="000000"/>
        </w:rPr>
        <w:t>znacznie trudniejsze</w:t>
      </w:r>
      <w:r w:rsidRPr="00821AF6">
        <w:rPr>
          <w:rFonts w:cs="Tahoma"/>
          <w:color w:val="000000"/>
        </w:rPr>
        <w:t>.</w:t>
      </w:r>
    </w:p>
    <w:p w14:paraId="788CDA54" w14:textId="0EF70301" w:rsidR="00915C9A" w:rsidRDefault="00130FBE" w:rsidP="00501F0E">
      <w:pPr>
        <w:rPr>
          <w:rFonts w:cs="Tahoma"/>
          <w:b/>
          <w:color w:val="000000"/>
        </w:rPr>
      </w:pPr>
      <w:r w:rsidRPr="00821AF6">
        <w:rPr>
          <w:rFonts w:cs="Tahoma"/>
          <w:b/>
          <w:color w:val="000000"/>
        </w:rPr>
        <w:t>Zakup autobusów zeroemisyj</w:t>
      </w:r>
      <w:r w:rsidR="00501F0E">
        <w:rPr>
          <w:rFonts w:cs="Tahoma"/>
          <w:b/>
          <w:color w:val="000000"/>
        </w:rPr>
        <w:t xml:space="preserve">nych wiąże się z poniesieniem </w:t>
      </w:r>
      <w:r w:rsidRPr="00821AF6">
        <w:rPr>
          <w:rFonts w:cs="Tahoma"/>
          <w:b/>
          <w:color w:val="000000"/>
        </w:rPr>
        <w:t xml:space="preserve">2,5-krotnie wyższych jednostkowych nakładów inwestycyjnych </w:t>
      </w:r>
      <w:r w:rsidR="00D8598B" w:rsidRPr="00821AF6">
        <w:rPr>
          <w:rFonts w:cs="Tahoma"/>
          <w:b/>
          <w:color w:val="000000"/>
        </w:rPr>
        <w:t xml:space="preserve">dla autobusów elektrycznych </w:t>
      </w:r>
      <w:r w:rsidR="00501F0E">
        <w:rPr>
          <w:rFonts w:cs="Tahoma"/>
          <w:b/>
          <w:color w:val="000000"/>
        </w:rPr>
        <w:t>z doładowaniem baterii na trasie oraz 3,5-krotnie dla autobusów z ogniwami paliwowymi</w:t>
      </w:r>
      <w:r w:rsidR="00D8598B" w:rsidRPr="00821AF6">
        <w:rPr>
          <w:rFonts w:cs="Tahoma"/>
          <w:b/>
          <w:color w:val="000000"/>
        </w:rPr>
        <w:t xml:space="preserve">, </w:t>
      </w:r>
      <w:r w:rsidRPr="00821AF6">
        <w:rPr>
          <w:rFonts w:cs="Tahoma"/>
          <w:b/>
          <w:color w:val="000000"/>
        </w:rPr>
        <w:t xml:space="preserve">niż przy zakupie analogicznego taboru z napędem Diesla. </w:t>
      </w:r>
    </w:p>
    <w:p w14:paraId="3D536DCD" w14:textId="35980E88" w:rsidR="00130FBE" w:rsidRDefault="00130FBE" w:rsidP="00501F0E">
      <w:pPr>
        <w:rPr>
          <w:rFonts w:cs="Tahoma"/>
          <w:b/>
          <w:color w:val="000000"/>
        </w:rPr>
      </w:pPr>
      <w:r w:rsidRPr="00821AF6">
        <w:rPr>
          <w:rFonts w:cs="Tahoma"/>
          <w:b/>
          <w:color w:val="000000"/>
        </w:rPr>
        <w:t xml:space="preserve">Nie istnieje </w:t>
      </w:r>
      <w:r w:rsidR="00915C9A">
        <w:rPr>
          <w:rFonts w:cs="Tahoma"/>
          <w:b/>
          <w:color w:val="000000"/>
        </w:rPr>
        <w:t xml:space="preserve">przy tym </w:t>
      </w:r>
      <w:r w:rsidRPr="00821AF6">
        <w:rPr>
          <w:rFonts w:cs="Tahoma"/>
          <w:b/>
          <w:color w:val="000000"/>
        </w:rPr>
        <w:t>jeszcze rynek używanych autobusów zeroemisyjnych</w:t>
      </w:r>
      <w:r w:rsidR="00613C84" w:rsidRPr="00821AF6">
        <w:rPr>
          <w:rFonts w:cs="Tahoma"/>
          <w:b/>
          <w:color w:val="000000"/>
        </w:rPr>
        <w:t xml:space="preserve"> –</w:t>
      </w:r>
      <w:r w:rsidRPr="00821AF6">
        <w:rPr>
          <w:rFonts w:cs="Tahoma"/>
          <w:b/>
          <w:color w:val="000000"/>
        </w:rPr>
        <w:t xml:space="preserve"> nie można więc nabyć tańszego pojazdu używanego.</w:t>
      </w:r>
    </w:p>
    <w:p w14:paraId="2A50D5D7" w14:textId="2A00E99D" w:rsidR="00803AF9" w:rsidRPr="00821AF6" w:rsidRDefault="00803AF9" w:rsidP="00501F0E">
      <w:pPr>
        <w:rPr>
          <w:rFonts w:cs="Tahoma"/>
          <w:b/>
          <w:color w:val="000000"/>
        </w:rPr>
      </w:pPr>
      <w:r w:rsidRPr="00821AF6">
        <w:rPr>
          <w:rFonts w:cs="Tahoma"/>
          <w:b/>
          <w:color w:val="000000"/>
        </w:rPr>
        <w:t xml:space="preserve">Niezwykle wysokie wydatki na zakup taboru zeroemisyjnego ponoszone w całości ze środków własnych </w:t>
      </w:r>
      <w:r>
        <w:rPr>
          <w:rFonts w:cs="Tahoma"/>
          <w:b/>
          <w:color w:val="000000"/>
        </w:rPr>
        <w:t>Miasta i operato</w:t>
      </w:r>
      <w:r w:rsidR="00D0135C">
        <w:rPr>
          <w:rFonts w:cs="Tahoma"/>
          <w:b/>
          <w:color w:val="000000"/>
        </w:rPr>
        <w:t xml:space="preserve">ra, </w:t>
      </w:r>
      <w:r>
        <w:rPr>
          <w:rFonts w:cs="Tahoma"/>
          <w:b/>
          <w:color w:val="000000"/>
        </w:rPr>
        <w:t>oznaczałoby w efekcie rezygnację</w:t>
      </w:r>
      <w:r w:rsidRPr="00821AF6">
        <w:rPr>
          <w:rFonts w:cs="Tahoma"/>
          <w:b/>
          <w:color w:val="000000"/>
        </w:rPr>
        <w:t xml:space="preserve"> przez </w:t>
      </w:r>
      <w:r>
        <w:rPr>
          <w:rFonts w:cs="Tahoma"/>
          <w:b/>
          <w:color w:val="000000"/>
        </w:rPr>
        <w:t xml:space="preserve">Miasto </w:t>
      </w:r>
      <w:r w:rsidRPr="00821AF6">
        <w:rPr>
          <w:rFonts w:cs="Tahoma"/>
          <w:b/>
          <w:color w:val="000000"/>
        </w:rPr>
        <w:t>z</w:t>
      </w:r>
      <w:r>
        <w:rPr>
          <w:rFonts w:cs="Tahoma"/>
          <w:b/>
          <w:color w:val="000000"/>
        </w:rPr>
        <w:t> </w:t>
      </w:r>
      <w:r w:rsidRPr="00821AF6">
        <w:rPr>
          <w:rFonts w:cs="Tahoma"/>
          <w:b/>
          <w:color w:val="000000"/>
        </w:rPr>
        <w:t>wielu innych przedsięwzięć inwestycyjnych. Uznaje się więc,</w:t>
      </w:r>
      <w:r>
        <w:rPr>
          <w:rFonts w:cs="Tahoma"/>
          <w:b/>
          <w:color w:val="000000"/>
        </w:rPr>
        <w:t xml:space="preserve"> że</w:t>
      </w:r>
      <w:r w:rsidR="00D0135C">
        <w:rPr>
          <w:rFonts w:cs="Tahoma"/>
          <w:b/>
          <w:color w:val="000000"/>
        </w:rPr>
        <w:t> </w:t>
      </w:r>
      <w:r>
        <w:rPr>
          <w:rFonts w:cs="Tahoma"/>
          <w:b/>
          <w:color w:val="000000"/>
        </w:rPr>
        <w:t>decyzja o wdrożeniu wariantów elektryczn</w:t>
      </w:r>
      <w:r w:rsidR="00501F0E">
        <w:rPr>
          <w:rFonts w:cs="Tahoma"/>
          <w:b/>
          <w:color w:val="000000"/>
        </w:rPr>
        <w:t>ego lub wodorowego</w:t>
      </w:r>
      <w:r>
        <w:rPr>
          <w:rFonts w:cs="Tahoma"/>
          <w:b/>
          <w:color w:val="000000"/>
        </w:rPr>
        <w:t>,</w:t>
      </w:r>
      <w:r w:rsidRPr="00821AF6">
        <w:rPr>
          <w:rFonts w:cs="Tahoma"/>
          <w:b/>
          <w:color w:val="000000"/>
        </w:rPr>
        <w:t xml:space="preserve"> z zakupem pojazdów zeroemisy</w:t>
      </w:r>
      <w:r>
        <w:rPr>
          <w:rFonts w:cs="Tahoma"/>
          <w:b/>
          <w:color w:val="000000"/>
        </w:rPr>
        <w:t>jnych, może być podjęta tylko w </w:t>
      </w:r>
      <w:r w:rsidRPr="00821AF6">
        <w:rPr>
          <w:rFonts w:cs="Tahoma"/>
          <w:b/>
          <w:color w:val="000000"/>
        </w:rPr>
        <w:t>przypadku uzyskania dodatkowego dofinansowania zwiększonych wydatków z krajowych lub europejskich środków pomocowych.</w:t>
      </w:r>
    </w:p>
    <w:p w14:paraId="7A286AB3" w14:textId="77777777" w:rsidR="00803AF9" w:rsidRPr="00821AF6" w:rsidRDefault="00803AF9" w:rsidP="00501F0E">
      <w:pPr>
        <w:rPr>
          <w:rFonts w:cs="Tahoma"/>
          <w:color w:val="000000"/>
        </w:rPr>
      </w:pPr>
      <w:r w:rsidRPr="00821AF6">
        <w:rPr>
          <w:rFonts w:cs="Tahoma"/>
          <w:color w:val="000000"/>
        </w:rPr>
        <w:t xml:space="preserve">Za największe ryzyko dalszej realizacji obydwu wariantów należy uznać brak możliwości </w:t>
      </w:r>
      <w:r>
        <w:rPr>
          <w:rFonts w:cs="Tahoma"/>
          <w:color w:val="000000"/>
        </w:rPr>
        <w:t>sfinansowania</w:t>
      </w:r>
      <w:r w:rsidRPr="00821AF6">
        <w:rPr>
          <w:rFonts w:cs="Tahoma"/>
          <w:color w:val="000000"/>
        </w:rPr>
        <w:t xml:space="preserve"> przez Miasto</w:t>
      </w:r>
      <w:r>
        <w:rPr>
          <w:rFonts w:cs="Tahoma"/>
          <w:color w:val="000000"/>
        </w:rPr>
        <w:t xml:space="preserve"> zwiększonych wydatków na bieżące funkcjonowanie komunikacji miejskiej,</w:t>
      </w:r>
      <w:r w:rsidRPr="00821AF6">
        <w:rPr>
          <w:rFonts w:cs="Tahoma"/>
          <w:color w:val="000000"/>
        </w:rPr>
        <w:t xml:space="preserve"> </w:t>
      </w:r>
      <w:r>
        <w:rPr>
          <w:rFonts w:cs="Tahoma"/>
          <w:color w:val="000000"/>
        </w:rPr>
        <w:t xml:space="preserve">co stwarza ryzyko braku </w:t>
      </w:r>
      <w:r w:rsidRPr="00821AF6">
        <w:rPr>
          <w:rFonts w:cs="Tahoma"/>
          <w:color w:val="000000"/>
        </w:rPr>
        <w:t>pełnego programu odnowy taboru, np. wskutek braku lub zbyt małego dofinansowania ze środków pomocowych.</w:t>
      </w:r>
    </w:p>
    <w:p w14:paraId="7B924DCF" w14:textId="01EF540B" w:rsidR="00803AF9" w:rsidRDefault="00803AF9" w:rsidP="0087459C">
      <w:pPr>
        <w:rPr>
          <w:rFonts w:cs="Tahoma"/>
          <w:color w:val="000000"/>
        </w:rPr>
      </w:pPr>
      <w:r w:rsidRPr="00821AF6">
        <w:rPr>
          <w:rFonts w:cs="Tahoma"/>
          <w:color w:val="000000"/>
        </w:rPr>
        <w:lastRenderedPageBreak/>
        <w:t xml:space="preserve">Z punktu widzenia jednostki samorządu terytorialnego, efektywność zastosowania autobusów zeroemisyjnych znacznie by wzrosła, gdyby ceny takich pojazdów były znacznie niższe. W </w:t>
      </w:r>
      <w:r w:rsidRPr="00D77FEC">
        <w:rPr>
          <w:rFonts w:cs="Tahoma"/>
          <w:color w:val="000000"/>
        </w:rPr>
        <w:t>tabeli 24 przedstawiono</w:t>
      </w:r>
      <w:r w:rsidRPr="00821AF6">
        <w:rPr>
          <w:rFonts w:cs="Tahoma"/>
          <w:color w:val="000000"/>
        </w:rPr>
        <w:t xml:space="preserve"> zmiany efektywności finansowej i ekonomicznej przyjętych do analizy wariantów – przy zmniejszeniu kosztu nabywanego autobusu zeroemisyjnego</w:t>
      </w:r>
      <w:r w:rsidR="0087459C">
        <w:rPr>
          <w:rFonts w:cs="Tahoma"/>
          <w:color w:val="000000"/>
        </w:rPr>
        <w:t xml:space="preserve">, zarówno doładowywaniem baterii na trasie, jak i z ogniwami paliwowymi, </w:t>
      </w:r>
      <w:r w:rsidRPr="00821AF6">
        <w:rPr>
          <w:rFonts w:cs="Tahoma"/>
          <w:color w:val="000000"/>
        </w:rPr>
        <w:t>odpowiednio o 10</w:t>
      </w:r>
      <w:r>
        <w:rPr>
          <w:rFonts w:cs="Tahoma"/>
          <w:color w:val="000000"/>
        </w:rPr>
        <w:t>,</w:t>
      </w:r>
      <w:r w:rsidR="0087459C">
        <w:rPr>
          <w:rFonts w:cs="Tahoma"/>
          <w:color w:val="000000"/>
        </w:rPr>
        <w:t xml:space="preserve"> 20 i 3</w:t>
      </w:r>
      <w:r>
        <w:rPr>
          <w:rFonts w:cs="Tahoma"/>
          <w:color w:val="000000"/>
        </w:rPr>
        <w:t>0</w:t>
      </w:r>
      <w:r w:rsidRPr="00821AF6">
        <w:rPr>
          <w:rFonts w:cs="Tahoma"/>
          <w:color w:val="000000"/>
        </w:rPr>
        <w:t xml:space="preserve">%. </w:t>
      </w:r>
    </w:p>
    <w:p w14:paraId="50D29148" w14:textId="309276A5" w:rsidR="00BA4E62" w:rsidRDefault="00BA4E62" w:rsidP="0087459C">
      <w:pPr>
        <w:pStyle w:val="Legenda"/>
        <w:keepNext/>
        <w:spacing w:before="240" w:after="0"/>
        <w:ind w:firstLine="0"/>
        <w:jc w:val="left"/>
        <w:rPr>
          <w:color w:val="000000"/>
          <w:sz w:val="22"/>
          <w:szCs w:val="22"/>
        </w:rPr>
      </w:pPr>
      <w:r w:rsidRPr="00821AF6">
        <w:rPr>
          <w:color w:val="000000"/>
          <w:sz w:val="22"/>
          <w:szCs w:val="22"/>
        </w:rPr>
        <w:t xml:space="preserve">Tab. </w:t>
      </w:r>
      <w:r w:rsidRPr="00821AF6">
        <w:rPr>
          <w:color w:val="000000"/>
          <w:sz w:val="22"/>
          <w:szCs w:val="22"/>
        </w:rPr>
        <w:fldChar w:fldCharType="begin"/>
      </w:r>
      <w:r w:rsidRPr="00821AF6">
        <w:rPr>
          <w:color w:val="000000"/>
          <w:sz w:val="22"/>
          <w:szCs w:val="22"/>
        </w:rPr>
        <w:instrText xml:space="preserve"> SEQ Tab. \* ARABIC </w:instrText>
      </w:r>
      <w:r w:rsidRPr="00821AF6">
        <w:rPr>
          <w:color w:val="000000"/>
          <w:sz w:val="22"/>
          <w:szCs w:val="22"/>
        </w:rPr>
        <w:fldChar w:fldCharType="separate"/>
      </w:r>
      <w:r w:rsidR="004605BC">
        <w:rPr>
          <w:noProof/>
          <w:color w:val="000000"/>
          <w:sz w:val="22"/>
          <w:szCs w:val="22"/>
        </w:rPr>
        <w:t>24</w:t>
      </w:r>
      <w:r w:rsidRPr="00821AF6">
        <w:rPr>
          <w:color w:val="000000"/>
          <w:sz w:val="22"/>
          <w:szCs w:val="22"/>
        </w:rPr>
        <w:fldChar w:fldCharType="end"/>
      </w:r>
      <w:r w:rsidRPr="00821AF6">
        <w:rPr>
          <w:color w:val="000000"/>
          <w:sz w:val="22"/>
          <w:szCs w:val="22"/>
        </w:rPr>
        <w:t>. Zmiany efektywności finansowej wariantów elektryczn</w:t>
      </w:r>
      <w:r w:rsidR="0087459C">
        <w:rPr>
          <w:color w:val="000000"/>
          <w:sz w:val="22"/>
          <w:szCs w:val="22"/>
        </w:rPr>
        <w:t>ego i wodorowego</w:t>
      </w:r>
      <w:r w:rsidRPr="00821AF6">
        <w:rPr>
          <w:color w:val="000000"/>
          <w:sz w:val="22"/>
          <w:szCs w:val="22"/>
        </w:rPr>
        <w:t xml:space="preserve"> w wyniku zmniejszenia kosztu jednostkowego nabywanego taboru</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59"/>
        <w:gridCol w:w="3261"/>
        <w:gridCol w:w="1134"/>
        <w:gridCol w:w="1372"/>
        <w:gridCol w:w="1373"/>
        <w:gridCol w:w="1373"/>
      </w:tblGrid>
      <w:tr w:rsidR="00803AF9" w:rsidRPr="00821AF6" w14:paraId="6FF1EC69" w14:textId="77777777" w:rsidTr="00B5326D">
        <w:trPr>
          <w:cantSplit/>
          <w:trHeight w:val="451"/>
          <w:tblHeader/>
          <w:jc w:val="center"/>
        </w:trPr>
        <w:tc>
          <w:tcPr>
            <w:tcW w:w="559" w:type="dxa"/>
            <w:vMerge w:val="restart"/>
            <w:shd w:val="clear" w:color="auto" w:fill="FFFF99"/>
            <w:vAlign w:val="center"/>
          </w:tcPr>
          <w:p w14:paraId="2524FEF1" w14:textId="77777777" w:rsidR="00803AF9" w:rsidRPr="00821AF6" w:rsidRDefault="00803AF9" w:rsidP="0087459C">
            <w:pPr>
              <w:spacing w:before="60" w:after="40" w:line="288" w:lineRule="auto"/>
              <w:ind w:firstLine="0"/>
              <w:jc w:val="center"/>
              <w:rPr>
                <w:rFonts w:cs="Tahoma"/>
                <w:b/>
                <w:sz w:val="20"/>
                <w:szCs w:val="20"/>
              </w:rPr>
            </w:pPr>
            <w:r w:rsidRPr="00821AF6">
              <w:rPr>
                <w:rFonts w:cs="Tahoma"/>
                <w:b/>
                <w:sz w:val="20"/>
                <w:szCs w:val="20"/>
              </w:rPr>
              <w:t>Lp.</w:t>
            </w:r>
          </w:p>
        </w:tc>
        <w:tc>
          <w:tcPr>
            <w:tcW w:w="3261" w:type="dxa"/>
            <w:vMerge w:val="restart"/>
            <w:shd w:val="clear" w:color="auto" w:fill="FFFF99"/>
            <w:vAlign w:val="center"/>
          </w:tcPr>
          <w:p w14:paraId="17551921" w14:textId="77777777" w:rsidR="00803AF9" w:rsidRPr="00821AF6" w:rsidRDefault="00803AF9" w:rsidP="0087459C">
            <w:pPr>
              <w:spacing w:before="60" w:after="40" w:line="288" w:lineRule="auto"/>
              <w:ind w:firstLine="0"/>
              <w:jc w:val="center"/>
              <w:rPr>
                <w:rFonts w:cs="Tahoma"/>
                <w:b/>
                <w:sz w:val="20"/>
                <w:szCs w:val="20"/>
              </w:rPr>
            </w:pPr>
            <w:r w:rsidRPr="00821AF6">
              <w:rPr>
                <w:rFonts w:cs="Tahoma"/>
                <w:b/>
                <w:sz w:val="20"/>
                <w:szCs w:val="20"/>
              </w:rPr>
              <w:t>Wyszczególnienie</w:t>
            </w:r>
          </w:p>
        </w:tc>
        <w:tc>
          <w:tcPr>
            <w:tcW w:w="1134" w:type="dxa"/>
            <w:vMerge w:val="restart"/>
            <w:shd w:val="clear" w:color="auto" w:fill="FFFF99"/>
            <w:vAlign w:val="center"/>
          </w:tcPr>
          <w:p w14:paraId="36B1B598" w14:textId="77777777" w:rsidR="00803AF9" w:rsidRPr="00821AF6" w:rsidRDefault="00803AF9" w:rsidP="0087459C">
            <w:pPr>
              <w:spacing w:before="60" w:after="40" w:line="288" w:lineRule="auto"/>
              <w:ind w:firstLine="0"/>
              <w:jc w:val="center"/>
              <w:rPr>
                <w:rFonts w:cs="Tahoma"/>
                <w:b/>
                <w:sz w:val="20"/>
                <w:szCs w:val="20"/>
              </w:rPr>
            </w:pPr>
            <w:r w:rsidRPr="00821AF6">
              <w:rPr>
                <w:rFonts w:cs="Tahoma"/>
                <w:b/>
                <w:sz w:val="20"/>
                <w:szCs w:val="20"/>
              </w:rPr>
              <w:t>Jednostka</w:t>
            </w:r>
          </w:p>
        </w:tc>
        <w:tc>
          <w:tcPr>
            <w:tcW w:w="4118" w:type="dxa"/>
            <w:gridSpan w:val="3"/>
            <w:shd w:val="clear" w:color="auto" w:fill="FFFF99"/>
            <w:vAlign w:val="center"/>
          </w:tcPr>
          <w:p w14:paraId="5A90614F" w14:textId="77777777" w:rsidR="00803AF9" w:rsidRPr="00821AF6" w:rsidRDefault="00803AF9" w:rsidP="0087459C">
            <w:pPr>
              <w:spacing w:before="60" w:after="40" w:line="288" w:lineRule="auto"/>
              <w:ind w:firstLine="0"/>
              <w:jc w:val="center"/>
              <w:rPr>
                <w:rFonts w:cs="Tahoma"/>
                <w:b/>
                <w:sz w:val="20"/>
                <w:szCs w:val="20"/>
              </w:rPr>
            </w:pPr>
            <w:r w:rsidRPr="00821AF6">
              <w:rPr>
                <w:rFonts w:cs="Tahoma"/>
                <w:b/>
                <w:sz w:val="20"/>
                <w:szCs w:val="20"/>
              </w:rPr>
              <w:t xml:space="preserve">Zmniejszenie ceny autobusu </w:t>
            </w:r>
            <w:r w:rsidRPr="00821AF6">
              <w:rPr>
                <w:rFonts w:cs="Tahoma"/>
                <w:b/>
                <w:sz w:val="20"/>
                <w:szCs w:val="20"/>
              </w:rPr>
              <w:br/>
              <w:t>zeroemisyjnego</w:t>
            </w:r>
          </w:p>
        </w:tc>
      </w:tr>
      <w:tr w:rsidR="00803AF9" w:rsidRPr="00821AF6" w14:paraId="729160DC" w14:textId="77777777" w:rsidTr="00B5326D">
        <w:trPr>
          <w:cantSplit/>
          <w:trHeight w:val="401"/>
          <w:tblHeader/>
          <w:jc w:val="center"/>
        </w:trPr>
        <w:tc>
          <w:tcPr>
            <w:tcW w:w="559" w:type="dxa"/>
            <w:vMerge/>
            <w:shd w:val="clear" w:color="auto" w:fill="FFFF99"/>
            <w:vAlign w:val="center"/>
          </w:tcPr>
          <w:p w14:paraId="2F077ABF" w14:textId="77777777" w:rsidR="00803AF9" w:rsidRPr="00821AF6" w:rsidRDefault="00803AF9" w:rsidP="0087459C">
            <w:pPr>
              <w:spacing w:before="60" w:after="40" w:line="288" w:lineRule="auto"/>
              <w:ind w:firstLine="0"/>
              <w:jc w:val="center"/>
              <w:rPr>
                <w:rFonts w:cs="Tahoma"/>
                <w:b/>
                <w:sz w:val="20"/>
                <w:szCs w:val="20"/>
              </w:rPr>
            </w:pPr>
          </w:p>
        </w:tc>
        <w:tc>
          <w:tcPr>
            <w:tcW w:w="3261" w:type="dxa"/>
            <w:vMerge/>
            <w:shd w:val="clear" w:color="auto" w:fill="FFFF99"/>
            <w:vAlign w:val="center"/>
          </w:tcPr>
          <w:p w14:paraId="4CFCBBF1" w14:textId="77777777" w:rsidR="00803AF9" w:rsidRPr="00821AF6" w:rsidRDefault="00803AF9" w:rsidP="0087459C">
            <w:pPr>
              <w:spacing w:before="60" w:after="40" w:line="288" w:lineRule="auto"/>
              <w:ind w:firstLine="0"/>
              <w:jc w:val="center"/>
              <w:rPr>
                <w:rFonts w:cs="Tahoma"/>
                <w:b/>
                <w:sz w:val="20"/>
                <w:szCs w:val="20"/>
              </w:rPr>
            </w:pPr>
          </w:p>
        </w:tc>
        <w:tc>
          <w:tcPr>
            <w:tcW w:w="1134" w:type="dxa"/>
            <w:vMerge/>
            <w:shd w:val="clear" w:color="auto" w:fill="FFFF99"/>
            <w:vAlign w:val="center"/>
          </w:tcPr>
          <w:p w14:paraId="16C2DC21" w14:textId="77777777" w:rsidR="00803AF9" w:rsidRPr="00821AF6" w:rsidRDefault="00803AF9" w:rsidP="0087459C">
            <w:pPr>
              <w:spacing w:before="60" w:after="40" w:line="288" w:lineRule="auto"/>
              <w:ind w:firstLine="0"/>
              <w:jc w:val="center"/>
              <w:rPr>
                <w:rFonts w:cs="Tahoma"/>
                <w:b/>
                <w:sz w:val="20"/>
                <w:szCs w:val="20"/>
              </w:rPr>
            </w:pPr>
          </w:p>
        </w:tc>
        <w:tc>
          <w:tcPr>
            <w:tcW w:w="1372" w:type="dxa"/>
            <w:shd w:val="clear" w:color="auto" w:fill="FFFF99"/>
            <w:vAlign w:val="center"/>
          </w:tcPr>
          <w:p w14:paraId="4C838DB8" w14:textId="77777777" w:rsidR="00803AF9" w:rsidRPr="00821AF6" w:rsidRDefault="00803AF9" w:rsidP="0087459C">
            <w:pPr>
              <w:spacing w:before="60" w:after="40" w:line="288" w:lineRule="auto"/>
              <w:ind w:firstLine="0"/>
              <w:jc w:val="center"/>
              <w:rPr>
                <w:rFonts w:cs="Tahoma"/>
                <w:b/>
                <w:sz w:val="18"/>
                <w:szCs w:val="18"/>
              </w:rPr>
            </w:pPr>
            <w:r w:rsidRPr="00821AF6">
              <w:rPr>
                <w:rFonts w:cs="Tahoma"/>
                <w:b/>
                <w:sz w:val="18"/>
                <w:szCs w:val="18"/>
              </w:rPr>
              <w:t>o 10%</w:t>
            </w:r>
          </w:p>
        </w:tc>
        <w:tc>
          <w:tcPr>
            <w:tcW w:w="1373" w:type="dxa"/>
            <w:shd w:val="clear" w:color="auto" w:fill="FFFF99"/>
            <w:vAlign w:val="center"/>
          </w:tcPr>
          <w:p w14:paraId="6DE09A5E" w14:textId="11F02CBF" w:rsidR="00803AF9" w:rsidRPr="00821AF6" w:rsidRDefault="0087459C" w:rsidP="0087459C">
            <w:pPr>
              <w:spacing w:before="60" w:after="40" w:line="288" w:lineRule="auto"/>
              <w:ind w:firstLine="0"/>
              <w:jc w:val="center"/>
              <w:rPr>
                <w:rFonts w:cs="Tahoma"/>
                <w:b/>
                <w:sz w:val="18"/>
                <w:szCs w:val="18"/>
              </w:rPr>
            </w:pPr>
            <w:r>
              <w:rPr>
                <w:rFonts w:cs="Tahoma"/>
                <w:b/>
                <w:sz w:val="18"/>
                <w:szCs w:val="18"/>
              </w:rPr>
              <w:t>o 20</w:t>
            </w:r>
            <w:r w:rsidR="00803AF9" w:rsidRPr="00821AF6">
              <w:rPr>
                <w:rFonts w:cs="Tahoma"/>
                <w:b/>
                <w:sz w:val="18"/>
                <w:szCs w:val="18"/>
              </w:rPr>
              <w:t>%</w:t>
            </w:r>
          </w:p>
        </w:tc>
        <w:tc>
          <w:tcPr>
            <w:tcW w:w="1373" w:type="dxa"/>
            <w:shd w:val="clear" w:color="auto" w:fill="FFFF99"/>
            <w:vAlign w:val="center"/>
          </w:tcPr>
          <w:p w14:paraId="5C8EEFC6" w14:textId="762404D7" w:rsidR="00803AF9" w:rsidRPr="00821AF6" w:rsidRDefault="0087459C" w:rsidP="0087459C">
            <w:pPr>
              <w:spacing w:before="60" w:after="40" w:line="288" w:lineRule="auto"/>
              <w:ind w:firstLine="0"/>
              <w:jc w:val="center"/>
              <w:rPr>
                <w:rFonts w:cs="Tahoma"/>
                <w:b/>
                <w:sz w:val="18"/>
                <w:szCs w:val="18"/>
              </w:rPr>
            </w:pPr>
            <w:r>
              <w:rPr>
                <w:rFonts w:cs="Tahoma"/>
                <w:b/>
                <w:sz w:val="18"/>
                <w:szCs w:val="18"/>
              </w:rPr>
              <w:t>o 3</w:t>
            </w:r>
            <w:r w:rsidR="00803AF9">
              <w:rPr>
                <w:rFonts w:cs="Tahoma"/>
                <w:b/>
                <w:sz w:val="18"/>
                <w:szCs w:val="18"/>
              </w:rPr>
              <w:t>0%</w:t>
            </w:r>
          </w:p>
        </w:tc>
      </w:tr>
      <w:tr w:rsidR="00803AF9" w:rsidRPr="00821AF6" w14:paraId="322C5CE4" w14:textId="77777777" w:rsidTr="00B5326D">
        <w:trPr>
          <w:cantSplit/>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3DC145" w14:textId="4BF3A643" w:rsidR="00803AF9" w:rsidRPr="00821AF6" w:rsidRDefault="00803AF9" w:rsidP="0087459C">
            <w:pPr>
              <w:spacing w:before="60" w:after="40" w:line="288" w:lineRule="auto"/>
              <w:ind w:firstLine="0"/>
              <w:jc w:val="center"/>
              <w:rPr>
                <w:rFonts w:cs="Tahoma"/>
                <w:b/>
                <w:sz w:val="20"/>
                <w:szCs w:val="20"/>
              </w:rPr>
            </w:pPr>
            <w:r>
              <w:rPr>
                <w:rFonts w:cs="Tahoma"/>
                <w:b/>
                <w:sz w:val="20"/>
                <w:szCs w:val="20"/>
              </w:rPr>
              <w:t>Wariant</w:t>
            </w:r>
            <w:r w:rsidRPr="00821AF6">
              <w:rPr>
                <w:rFonts w:cs="Tahoma"/>
                <w:b/>
                <w:sz w:val="20"/>
                <w:szCs w:val="20"/>
              </w:rPr>
              <w:t xml:space="preserve"> – elektryczny</w:t>
            </w:r>
          </w:p>
        </w:tc>
      </w:tr>
      <w:tr w:rsidR="00803AF9" w:rsidRPr="00821AF6" w14:paraId="6A7D196D" w14:textId="77777777" w:rsidTr="00B5326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6AF47516" w14:textId="77777777" w:rsidR="00803AF9" w:rsidRPr="00821AF6" w:rsidRDefault="00803AF9" w:rsidP="0087459C">
            <w:pPr>
              <w:spacing w:before="60" w:after="40" w:line="288" w:lineRule="auto"/>
              <w:ind w:firstLine="0"/>
              <w:jc w:val="center"/>
              <w:rPr>
                <w:rFonts w:cs="Tahoma"/>
                <w:sz w:val="20"/>
                <w:szCs w:val="20"/>
              </w:rPr>
            </w:pPr>
            <w:r w:rsidRPr="00821AF6">
              <w:rPr>
                <w:rFonts w:cs="Tahoma"/>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tcPr>
          <w:p w14:paraId="3F3CBA2A" w14:textId="77777777" w:rsidR="00803AF9" w:rsidRPr="00821AF6" w:rsidRDefault="00803AF9" w:rsidP="0087459C">
            <w:pPr>
              <w:spacing w:before="60" w:after="40" w:line="288" w:lineRule="auto"/>
              <w:ind w:firstLine="0"/>
              <w:jc w:val="left"/>
              <w:rPr>
                <w:rFonts w:cs="Tahoma"/>
                <w:sz w:val="20"/>
                <w:szCs w:val="20"/>
              </w:rPr>
            </w:pPr>
            <w:r w:rsidRPr="00821AF6">
              <w:rPr>
                <w:sz w:val="20"/>
                <w:szCs w:val="20"/>
              </w:rPr>
              <w:t>Finansowa bieżąca wartość netto inwestycji (</w:t>
            </w:r>
            <w:r w:rsidRPr="00821AF6">
              <w:rPr>
                <w:rFonts w:cs="Tahoma"/>
                <w:b/>
                <w:sz w:val="20"/>
                <w:szCs w:val="20"/>
              </w:rPr>
              <w:t>FNPV/c</w:t>
            </w:r>
            <w:r w:rsidRPr="00821AF6">
              <w:rPr>
                <w:rFonts w:cs="Tahoma"/>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7BEA9C3" w14:textId="77777777" w:rsidR="00803AF9" w:rsidRPr="00821AF6" w:rsidRDefault="00803AF9" w:rsidP="0087459C">
            <w:pPr>
              <w:spacing w:before="60" w:after="40" w:line="288" w:lineRule="auto"/>
              <w:ind w:firstLine="0"/>
              <w:jc w:val="center"/>
              <w:rPr>
                <w:rFonts w:cs="Tahoma"/>
                <w:sz w:val="20"/>
                <w:szCs w:val="20"/>
              </w:rPr>
            </w:pPr>
            <w:r w:rsidRPr="00821AF6">
              <w:rPr>
                <w:rFonts w:cs="Tahoma"/>
                <w:sz w:val="20"/>
                <w:szCs w:val="20"/>
              </w:rPr>
              <w:t>tys. zł</w:t>
            </w:r>
          </w:p>
        </w:tc>
        <w:tc>
          <w:tcPr>
            <w:tcW w:w="1372" w:type="dxa"/>
            <w:tcBorders>
              <w:top w:val="single" w:sz="4" w:space="0" w:color="auto"/>
              <w:left w:val="single" w:sz="4" w:space="0" w:color="auto"/>
              <w:bottom w:val="single" w:sz="4" w:space="0" w:color="auto"/>
              <w:right w:val="single" w:sz="4" w:space="0" w:color="auto"/>
            </w:tcBorders>
            <w:vAlign w:val="center"/>
          </w:tcPr>
          <w:p w14:paraId="088362C7" w14:textId="0B82D367" w:rsidR="00803AF9" w:rsidRPr="00803AF9" w:rsidRDefault="00803AF9" w:rsidP="0087459C">
            <w:pPr>
              <w:spacing w:before="60" w:after="40" w:line="288" w:lineRule="auto"/>
              <w:ind w:firstLine="0"/>
              <w:jc w:val="right"/>
              <w:rPr>
                <w:rFonts w:cs="Tahoma"/>
                <w:sz w:val="20"/>
                <w:szCs w:val="20"/>
              </w:rPr>
            </w:pPr>
            <w:r w:rsidRPr="00803AF9">
              <w:rPr>
                <w:rFonts w:cs="Tahoma"/>
                <w:sz w:val="20"/>
                <w:szCs w:val="20"/>
              </w:rPr>
              <w:t>-</w:t>
            </w:r>
            <w:r w:rsidR="0087459C">
              <w:rPr>
                <w:rFonts w:cs="Tahoma"/>
                <w:sz w:val="20"/>
                <w:szCs w:val="20"/>
              </w:rPr>
              <w:t>128 777,9</w:t>
            </w:r>
          </w:p>
        </w:tc>
        <w:tc>
          <w:tcPr>
            <w:tcW w:w="1373" w:type="dxa"/>
            <w:tcBorders>
              <w:top w:val="single" w:sz="4" w:space="0" w:color="auto"/>
              <w:left w:val="single" w:sz="4" w:space="0" w:color="auto"/>
              <w:bottom w:val="single" w:sz="4" w:space="0" w:color="auto"/>
              <w:right w:val="single" w:sz="4" w:space="0" w:color="auto"/>
            </w:tcBorders>
            <w:vAlign w:val="center"/>
          </w:tcPr>
          <w:p w14:paraId="337123F7" w14:textId="681CA04F" w:rsidR="00803AF9" w:rsidRPr="00803AF9" w:rsidRDefault="0087459C" w:rsidP="0087459C">
            <w:pPr>
              <w:spacing w:before="60" w:after="40" w:line="288" w:lineRule="auto"/>
              <w:ind w:firstLine="0"/>
              <w:jc w:val="right"/>
              <w:rPr>
                <w:rFonts w:cs="Tahoma"/>
                <w:sz w:val="20"/>
                <w:szCs w:val="20"/>
              </w:rPr>
            </w:pPr>
            <w:r>
              <w:rPr>
                <w:rFonts w:cs="Tahoma"/>
                <w:sz w:val="20"/>
                <w:szCs w:val="20"/>
              </w:rPr>
              <w:t>-115 854,6</w:t>
            </w:r>
          </w:p>
        </w:tc>
        <w:tc>
          <w:tcPr>
            <w:tcW w:w="1373" w:type="dxa"/>
            <w:tcBorders>
              <w:top w:val="single" w:sz="4" w:space="0" w:color="auto"/>
              <w:left w:val="single" w:sz="4" w:space="0" w:color="auto"/>
              <w:bottom w:val="single" w:sz="4" w:space="0" w:color="auto"/>
              <w:right w:val="single" w:sz="4" w:space="0" w:color="auto"/>
            </w:tcBorders>
            <w:vAlign w:val="center"/>
          </w:tcPr>
          <w:p w14:paraId="167D9300" w14:textId="5104DEF6" w:rsidR="00803AF9" w:rsidRPr="00803AF9" w:rsidRDefault="0087459C" w:rsidP="0087459C">
            <w:pPr>
              <w:spacing w:before="60" w:after="40" w:line="288" w:lineRule="auto"/>
              <w:ind w:firstLine="0"/>
              <w:jc w:val="right"/>
              <w:rPr>
                <w:rFonts w:cs="Tahoma"/>
                <w:sz w:val="20"/>
                <w:szCs w:val="20"/>
              </w:rPr>
            </w:pPr>
            <w:r>
              <w:rPr>
                <w:rFonts w:cs="Tahoma"/>
                <w:sz w:val="20"/>
                <w:szCs w:val="20"/>
              </w:rPr>
              <w:t>-102 931,2</w:t>
            </w:r>
          </w:p>
        </w:tc>
      </w:tr>
      <w:tr w:rsidR="00803AF9" w:rsidRPr="00821AF6" w14:paraId="5D838A7D" w14:textId="77777777" w:rsidTr="00B5326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5C454DCD" w14:textId="77777777" w:rsidR="00803AF9" w:rsidRPr="00821AF6" w:rsidRDefault="00803AF9" w:rsidP="0087459C">
            <w:pPr>
              <w:spacing w:before="60" w:after="40" w:line="288" w:lineRule="auto"/>
              <w:ind w:firstLine="0"/>
              <w:jc w:val="center"/>
              <w:rPr>
                <w:rFonts w:cs="Tahoma"/>
                <w:sz w:val="20"/>
                <w:szCs w:val="20"/>
              </w:rPr>
            </w:pPr>
            <w:r>
              <w:rPr>
                <w:rFonts w:cs="Tahoma"/>
                <w:sz w:val="20"/>
                <w:szCs w:val="20"/>
              </w:rPr>
              <w:t>2</w:t>
            </w:r>
          </w:p>
        </w:tc>
        <w:tc>
          <w:tcPr>
            <w:tcW w:w="3261" w:type="dxa"/>
            <w:tcBorders>
              <w:top w:val="single" w:sz="4" w:space="0" w:color="auto"/>
              <w:left w:val="single" w:sz="4" w:space="0" w:color="auto"/>
              <w:bottom w:val="single" w:sz="4" w:space="0" w:color="auto"/>
              <w:right w:val="single" w:sz="4" w:space="0" w:color="auto"/>
            </w:tcBorders>
            <w:vAlign w:val="center"/>
          </w:tcPr>
          <w:p w14:paraId="69C69E31" w14:textId="77777777" w:rsidR="00803AF9" w:rsidRPr="00821AF6" w:rsidRDefault="00803AF9" w:rsidP="0087459C">
            <w:pPr>
              <w:spacing w:before="60" w:after="40" w:line="288" w:lineRule="auto"/>
              <w:ind w:firstLine="0"/>
              <w:jc w:val="left"/>
              <w:rPr>
                <w:rFonts w:cs="Tahoma"/>
                <w:sz w:val="20"/>
                <w:szCs w:val="20"/>
              </w:rPr>
            </w:pPr>
            <w:r w:rsidRPr="00821AF6">
              <w:rPr>
                <w:rFonts w:cs="Tahoma"/>
                <w:sz w:val="20"/>
                <w:szCs w:val="20"/>
              </w:rPr>
              <w:t>Ekonomiczna bieżąca wartość netto (</w:t>
            </w:r>
            <w:r w:rsidRPr="00821AF6">
              <w:rPr>
                <w:rFonts w:cs="Tahoma"/>
                <w:b/>
                <w:sz w:val="20"/>
                <w:szCs w:val="20"/>
              </w:rPr>
              <w:t>ENPV</w:t>
            </w:r>
            <w:r w:rsidRPr="00821AF6">
              <w:rPr>
                <w:rFonts w:cs="Tahom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3AFAD26" w14:textId="77777777" w:rsidR="00803AF9" w:rsidRPr="00821AF6" w:rsidRDefault="00803AF9" w:rsidP="0087459C">
            <w:pPr>
              <w:spacing w:before="60" w:after="40" w:line="288" w:lineRule="auto"/>
              <w:ind w:firstLine="0"/>
              <w:jc w:val="center"/>
              <w:rPr>
                <w:rFonts w:cs="Tahoma"/>
                <w:sz w:val="20"/>
                <w:szCs w:val="20"/>
              </w:rPr>
            </w:pPr>
            <w:r w:rsidRPr="00821AF6">
              <w:rPr>
                <w:rFonts w:cs="Tahoma"/>
                <w:sz w:val="20"/>
                <w:szCs w:val="20"/>
              </w:rPr>
              <w:t>tys. zł</w:t>
            </w:r>
          </w:p>
        </w:tc>
        <w:tc>
          <w:tcPr>
            <w:tcW w:w="1372" w:type="dxa"/>
            <w:tcBorders>
              <w:top w:val="single" w:sz="4" w:space="0" w:color="auto"/>
              <w:left w:val="single" w:sz="4" w:space="0" w:color="auto"/>
              <w:bottom w:val="single" w:sz="4" w:space="0" w:color="auto"/>
              <w:right w:val="single" w:sz="4" w:space="0" w:color="auto"/>
            </w:tcBorders>
            <w:vAlign w:val="center"/>
          </w:tcPr>
          <w:p w14:paraId="05923B23" w14:textId="79841F13" w:rsidR="00803AF9" w:rsidRPr="00803AF9" w:rsidRDefault="00803AF9" w:rsidP="0087459C">
            <w:pPr>
              <w:spacing w:before="60" w:after="40" w:line="288" w:lineRule="auto"/>
              <w:ind w:firstLine="0"/>
              <w:jc w:val="right"/>
              <w:rPr>
                <w:rFonts w:cs="Tahoma"/>
                <w:sz w:val="20"/>
                <w:szCs w:val="20"/>
              </w:rPr>
            </w:pPr>
            <w:r w:rsidRPr="00803AF9">
              <w:rPr>
                <w:rFonts w:cs="Tahoma"/>
                <w:sz w:val="20"/>
                <w:szCs w:val="20"/>
              </w:rPr>
              <w:t>-</w:t>
            </w:r>
            <w:r w:rsidR="0087459C">
              <w:rPr>
                <w:rFonts w:cs="Tahoma"/>
                <w:sz w:val="20"/>
                <w:szCs w:val="20"/>
              </w:rPr>
              <w:t>76 006,4</w:t>
            </w:r>
          </w:p>
        </w:tc>
        <w:tc>
          <w:tcPr>
            <w:tcW w:w="1373" w:type="dxa"/>
            <w:tcBorders>
              <w:top w:val="single" w:sz="4" w:space="0" w:color="auto"/>
              <w:left w:val="single" w:sz="4" w:space="0" w:color="auto"/>
              <w:bottom w:val="single" w:sz="4" w:space="0" w:color="auto"/>
              <w:right w:val="single" w:sz="4" w:space="0" w:color="auto"/>
            </w:tcBorders>
            <w:vAlign w:val="center"/>
          </w:tcPr>
          <w:p w14:paraId="55F36742" w14:textId="748269BD" w:rsidR="00803AF9" w:rsidRPr="00803AF9" w:rsidRDefault="0087459C" w:rsidP="0087459C">
            <w:pPr>
              <w:spacing w:before="60" w:after="40" w:line="288" w:lineRule="auto"/>
              <w:ind w:firstLine="0"/>
              <w:jc w:val="right"/>
              <w:rPr>
                <w:rFonts w:cs="Tahoma"/>
                <w:sz w:val="20"/>
                <w:szCs w:val="20"/>
              </w:rPr>
            </w:pPr>
            <w:r>
              <w:rPr>
                <w:rFonts w:cs="Tahoma"/>
                <w:sz w:val="20"/>
                <w:szCs w:val="20"/>
              </w:rPr>
              <w:t>-65 020,3</w:t>
            </w:r>
          </w:p>
        </w:tc>
        <w:tc>
          <w:tcPr>
            <w:tcW w:w="1373" w:type="dxa"/>
            <w:tcBorders>
              <w:top w:val="single" w:sz="4" w:space="0" w:color="auto"/>
              <w:left w:val="single" w:sz="4" w:space="0" w:color="auto"/>
              <w:bottom w:val="single" w:sz="4" w:space="0" w:color="auto"/>
              <w:right w:val="single" w:sz="4" w:space="0" w:color="auto"/>
            </w:tcBorders>
            <w:vAlign w:val="center"/>
          </w:tcPr>
          <w:p w14:paraId="75CD3BFF" w14:textId="6A05E3CA" w:rsidR="00803AF9" w:rsidRPr="00803AF9" w:rsidRDefault="0087459C" w:rsidP="0087459C">
            <w:pPr>
              <w:spacing w:before="60" w:after="40" w:line="288" w:lineRule="auto"/>
              <w:ind w:firstLine="0"/>
              <w:jc w:val="right"/>
              <w:rPr>
                <w:rFonts w:cs="Tahoma"/>
                <w:sz w:val="20"/>
                <w:szCs w:val="20"/>
              </w:rPr>
            </w:pPr>
            <w:r>
              <w:rPr>
                <w:rFonts w:cs="Tahoma"/>
                <w:sz w:val="20"/>
                <w:szCs w:val="20"/>
              </w:rPr>
              <w:t>-54 034,3</w:t>
            </w:r>
          </w:p>
        </w:tc>
      </w:tr>
      <w:tr w:rsidR="00803AF9" w:rsidRPr="00821AF6" w14:paraId="713A146B" w14:textId="77777777" w:rsidTr="00B5326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1A64CA22" w14:textId="77777777" w:rsidR="00803AF9" w:rsidRPr="00821AF6" w:rsidRDefault="00803AF9" w:rsidP="0087459C">
            <w:pPr>
              <w:spacing w:before="60" w:after="40" w:line="288" w:lineRule="auto"/>
              <w:ind w:firstLine="0"/>
              <w:jc w:val="center"/>
              <w:rPr>
                <w:rFonts w:cs="Tahoma"/>
                <w:sz w:val="20"/>
                <w:szCs w:val="20"/>
              </w:rPr>
            </w:pPr>
            <w:r>
              <w:rPr>
                <w:rFonts w:cs="Tahoma"/>
                <w:sz w:val="20"/>
                <w:szCs w:val="20"/>
              </w:rPr>
              <w:t>3</w:t>
            </w:r>
          </w:p>
        </w:tc>
        <w:tc>
          <w:tcPr>
            <w:tcW w:w="3261" w:type="dxa"/>
            <w:tcBorders>
              <w:top w:val="single" w:sz="4" w:space="0" w:color="auto"/>
              <w:left w:val="single" w:sz="4" w:space="0" w:color="auto"/>
              <w:bottom w:val="single" w:sz="4" w:space="0" w:color="auto"/>
              <w:right w:val="single" w:sz="4" w:space="0" w:color="auto"/>
            </w:tcBorders>
            <w:vAlign w:val="center"/>
          </w:tcPr>
          <w:p w14:paraId="27AB4355" w14:textId="77777777" w:rsidR="00803AF9" w:rsidRPr="00821AF6" w:rsidRDefault="00803AF9" w:rsidP="0087459C">
            <w:pPr>
              <w:spacing w:before="60" w:after="40" w:line="288" w:lineRule="auto"/>
              <w:ind w:firstLine="0"/>
              <w:jc w:val="left"/>
              <w:rPr>
                <w:rFonts w:cs="Tahoma"/>
                <w:sz w:val="20"/>
                <w:szCs w:val="20"/>
              </w:rPr>
            </w:pPr>
            <w:r w:rsidRPr="00821AF6">
              <w:rPr>
                <w:rFonts w:cs="Tahoma"/>
                <w:sz w:val="20"/>
                <w:szCs w:val="20"/>
              </w:rPr>
              <w:t xml:space="preserve">Różnica </w:t>
            </w:r>
            <w:r w:rsidRPr="00821AF6">
              <w:rPr>
                <w:rFonts w:cs="Tahoma"/>
                <w:b/>
                <w:sz w:val="20"/>
                <w:szCs w:val="20"/>
              </w:rPr>
              <w:t>ENPV</w:t>
            </w:r>
            <w:r w:rsidRPr="00821AF6">
              <w:rPr>
                <w:rFonts w:cs="Tahoma"/>
                <w:sz w:val="20"/>
                <w:szCs w:val="20"/>
              </w:rPr>
              <w:t xml:space="preserve"> wobec </w:t>
            </w:r>
            <w:r w:rsidRPr="00821AF6">
              <w:rPr>
                <w:rFonts w:cs="Tahoma"/>
                <w:sz w:val="20"/>
                <w:szCs w:val="20"/>
              </w:rPr>
              <w:br/>
              <w:t>wariantu 1 – konwencjonalnego</w:t>
            </w:r>
          </w:p>
        </w:tc>
        <w:tc>
          <w:tcPr>
            <w:tcW w:w="1134" w:type="dxa"/>
            <w:tcBorders>
              <w:top w:val="single" w:sz="4" w:space="0" w:color="auto"/>
              <w:left w:val="single" w:sz="4" w:space="0" w:color="auto"/>
              <w:bottom w:val="single" w:sz="4" w:space="0" w:color="auto"/>
              <w:right w:val="single" w:sz="4" w:space="0" w:color="auto"/>
            </w:tcBorders>
            <w:vAlign w:val="center"/>
          </w:tcPr>
          <w:p w14:paraId="7042EA91" w14:textId="77777777" w:rsidR="00803AF9" w:rsidRPr="00821AF6" w:rsidRDefault="00803AF9" w:rsidP="0087459C">
            <w:pPr>
              <w:spacing w:before="60" w:after="40" w:line="288" w:lineRule="auto"/>
              <w:ind w:firstLine="0"/>
              <w:jc w:val="center"/>
              <w:rPr>
                <w:rFonts w:cs="Tahoma"/>
                <w:sz w:val="20"/>
                <w:szCs w:val="20"/>
              </w:rPr>
            </w:pPr>
            <w:r w:rsidRPr="00821AF6">
              <w:rPr>
                <w:rFonts w:cs="Tahoma"/>
                <w:sz w:val="20"/>
                <w:szCs w:val="20"/>
              </w:rPr>
              <w:t>tys. zł</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22DC2F2" w14:textId="76F5D37E" w:rsidR="00803AF9" w:rsidRPr="00803AF9" w:rsidRDefault="00803AF9" w:rsidP="0087459C">
            <w:pPr>
              <w:spacing w:before="60" w:after="40" w:line="288" w:lineRule="auto"/>
              <w:ind w:firstLine="0"/>
              <w:jc w:val="right"/>
              <w:rPr>
                <w:rFonts w:cs="Tahoma"/>
                <w:sz w:val="20"/>
                <w:szCs w:val="20"/>
              </w:rPr>
            </w:pPr>
            <w:r w:rsidRPr="00803AF9">
              <w:rPr>
                <w:rFonts w:cs="Tahoma"/>
                <w:sz w:val="20"/>
                <w:szCs w:val="20"/>
              </w:rPr>
              <w:t>-</w:t>
            </w:r>
            <w:r w:rsidR="0087459C">
              <w:rPr>
                <w:rFonts w:cs="Tahoma"/>
                <w:sz w:val="20"/>
                <w:szCs w:val="20"/>
              </w:rPr>
              <w:t>20 553,1</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09CAAEF" w14:textId="0AC9B1AA" w:rsidR="00803AF9" w:rsidRPr="00803AF9" w:rsidRDefault="0087459C" w:rsidP="0087459C">
            <w:pPr>
              <w:spacing w:before="60" w:after="40" w:line="288" w:lineRule="auto"/>
              <w:ind w:firstLine="0"/>
              <w:jc w:val="right"/>
              <w:rPr>
                <w:rFonts w:cs="Tahoma"/>
                <w:sz w:val="20"/>
                <w:szCs w:val="20"/>
              </w:rPr>
            </w:pPr>
            <w:r>
              <w:rPr>
                <w:rFonts w:cs="Tahoma"/>
                <w:sz w:val="20"/>
                <w:szCs w:val="20"/>
              </w:rPr>
              <w:t>-10 935,4</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55677AD" w14:textId="5CDD15B3" w:rsidR="00803AF9" w:rsidRPr="00803AF9" w:rsidRDefault="0087459C" w:rsidP="0087459C">
            <w:pPr>
              <w:spacing w:before="60" w:after="40" w:line="288" w:lineRule="auto"/>
              <w:ind w:firstLine="0"/>
              <w:jc w:val="right"/>
              <w:rPr>
                <w:rFonts w:cs="Tahoma"/>
                <w:sz w:val="20"/>
                <w:szCs w:val="20"/>
              </w:rPr>
            </w:pPr>
            <w:r>
              <w:rPr>
                <w:rFonts w:cs="Tahoma"/>
                <w:sz w:val="20"/>
                <w:szCs w:val="20"/>
              </w:rPr>
              <w:t>-1 317,7</w:t>
            </w:r>
          </w:p>
        </w:tc>
      </w:tr>
      <w:tr w:rsidR="00803AF9" w:rsidRPr="00821AF6" w14:paraId="72B238B9" w14:textId="77777777" w:rsidTr="00B5326D">
        <w:trPr>
          <w:cantSplit/>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C2E2E47" w14:textId="348B323B" w:rsidR="00803AF9" w:rsidRPr="00803AF9" w:rsidRDefault="00803AF9" w:rsidP="0087459C">
            <w:pPr>
              <w:spacing w:before="60" w:after="40" w:line="288" w:lineRule="auto"/>
              <w:ind w:firstLine="0"/>
              <w:jc w:val="center"/>
              <w:rPr>
                <w:rFonts w:cs="Tahoma"/>
                <w:b/>
                <w:sz w:val="20"/>
                <w:szCs w:val="20"/>
              </w:rPr>
            </w:pPr>
            <w:r w:rsidRPr="00803AF9">
              <w:rPr>
                <w:rFonts w:cs="Tahoma"/>
                <w:b/>
                <w:sz w:val="20"/>
                <w:szCs w:val="20"/>
              </w:rPr>
              <w:t xml:space="preserve">Wariant – </w:t>
            </w:r>
            <w:r w:rsidR="0087459C">
              <w:rPr>
                <w:rFonts w:cs="Tahoma"/>
                <w:b/>
                <w:sz w:val="20"/>
                <w:szCs w:val="20"/>
              </w:rPr>
              <w:t>wodorowy</w:t>
            </w:r>
            <w:r w:rsidRPr="00803AF9">
              <w:rPr>
                <w:rFonts w:cs="Tahoma"/>
                <w:b/>
                <w:sz w:val="20"/>
                <w:szCs w:val="20"/>
              </w:rPr>
              <w:t xml:space="preserve"> </w:t>
            </w:r>
          </w:p>
        </w:tc>
      </w:tr>
      <w:tr w:rsidR="00803AF9" w:rsidRPr="00821AF6" w14:paraId="0B0C7CB0" w14:textId="77777777" w:rsidTr="00B5326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3A3716BB" w14:textId="77777777" w:rsidR="00803AF9" w:rsidRPr="00821AF6" w:rsidRDefault="00803AF9" w:rsidP="0087459C">
            <w:pPr>
              <w:spacing w:before="60" w:after="40" w:line="288" w:lineRule="auto"/>
              <w:ind w:firstLine="0"/>
              <w:jc w:val="center"/>
              <w:rPr>
                <w:rFonts w:cs="Tahoma"/>
                <w:sz w:val="20"/>
                <w:szCs w:val="20"/>
              </w:rPr>
            </w:pPr>
            <w:r w:rsidRPr="00821AF6">
              <w:rPr>
                <w:rFonts w:cs="Tahoma"/>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tcPr>
          <w:p w14:paraId="6E6FD1C8" w14:textId="77777777" w:rsidR="00803AF9" w:rsidRPr="00821AF6" w:rsidRDefault="00803AF9" w:rsidP="0087459C">
            <w:pPr>
              <w:spacing w:before="60" w:after="40" w:line="288" w:lineRule="auto"/>
              <w:ind w:firstLine="0"/>
              <w:jc w:val="left"/>
              <w:rPr>
                <w:rFonts w:cs="Tahoma"/>
                <w:sz w:val="20"/>
                <w:szCs w:val="20"/>
              </w:rPr>
            </w:pPr>
            <w:r w:rsidRPr="00821AF6">
              <w:rPr>
                <w:sz w:val="20"/>
                <w:szCs w:val="20"/>
              </w:rPr>
              <w:t>Finansowa bieżąca wartość netto inwestycji (</w:t>
            </w:r>
            <w:r w:rsidRPr="00821AF6">
              <w:rPr>
                <w:rFonts w:cs="Tahoma"/>
                <w:b/>
                <w:sz w:val="20"/>
                <w:szCs w:val="20"/>
              </w:rPr>
              <w:t>FNPV/c</w:t>
            </w:r>
            <w:r w:rsidRPr="00821AF6">
              <w:rPr>
                <w:rFonts w:cs="Tahoma"/>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CFDB4B" w14:textId="77777777" w:rsidR="00803AF9" w:rsidRPr="00821AF6" w:rsidRDefault="00803AF9" w:rsidP="0087459C">
            <w:pPr>
              <w:spacing w:before="60" w:after="40" w:line="288" w:lineRule="auto"/>
              <w:ind w:firstLine="0"/>
              <w:jc w:val="center"/>
              <w:rPr>
                <w:rFonts w:cs="Tahoma"/>
                <w:sz w:val="20"/>
                <w:szCs w:val="20"/>
              </w:rPr>
            </w:pPr>
            <w:r w:rsidRPr="00821AF6">
              <w:rPr>
                <w:rFonts w:cs="Tahoma"/>
                <w:sz w:val="20"/>
                <w:szCs w:val="20"/>
              </w:rPr>
              <w:t>tys. zł</w:t>
            </w:r>
          </w:p>
        </w:tc>
        <w:tc>
          <w:tcPr>
            <w:tcW w:w="1372" w:type="dxa"/>
            <w:tcBorders>
              <w:top w:val="single" w:sz="4" w:space="0" w:color="auto"/>
              <w:left w:val="single" w:sz="4" w:space="0" w:color="auto"/>
              <w:bottom w:val="single" w:sz="4" w:space="0" w:color="auto"/>
              <w:right w:val="single" w:sz="4" w:space="0" w:color="auto"/>
            </w:tcBorders>
            <w:vAlign w:val="center"/>
          </w:tcPr>
          <w:p w14:paraId="0B1CACFB" w14:textId="68DB70C6" w:rsidR="00803AF9" w:rsidRPr="00803AF9" w:rsidRDefault="0087459C" w:rsidP="0087459C">
            <w:pPr>
              <w:spacing w:before="60" w:after="40" w:line="288" w:lineRule="auto"/>
              <w:ind w:firstLine="0"/>
              <w:jc w:val="right"/>
              <w:rPr>
                <w:rFonts w:cs="Tahoma"/>
                <w:sz w:val="20"/>
                <w:szCs w:val="20"/>
              </w:rPr>
            </w:pPr>
            <w:r>
              <w:rPr>
                <w:rFonts w:cs="Tahoma"/>
                <w:sz w:val="20"/>
                <w:szCs w:val="20"/>
              </w:rPr>
              <w:t>-140 497,2</w:t>
            </w:r>
          </w:p>
        </w:tc>
        <w:tc>
          <w:tcPr>
            <w:tcW w:w="1373" w:type="dxa"/>
            <w:tcBorders>
              <w:top w:val="single" w:sz="4" w:space="0" w:color="auto"/>
              <w:left w:val="single" w:sz="4" w:space="0" w:color="auto"/>
              <w:bottom w:val="single" w:sz="4" w:space="0" w:color="auto"/>
              <w:right w:val="single" w:sz="4" w:space="0" w:color="auto"/>
            </w:tcBorders>
            <w:vAlign w:val="center"/>
          </w:tcPr>
          <w:p w14:paraId="6624DFC4" w14:textId="6A9C56D3" w:rsidR="00803AF9" w:rsidRPr="00803AF9" w:rsidRDefault="0087459C" w:rsidP="0087459C">
            <w:pPr>
              <w:spacing w:before="60" w:after="40" w:line="288" w:lineRule="auto"/>
              <w:ind w:firstLine="0"/>
              <w:jc w:val="right"/>
              <w:rPr>
                <w:rFonts w:cs="Tahoma"/>
                <w:sz w:val="20"/>
                <w:szCs w:val="20"/>
              </w:rPr>
            </w:pPr>
            <w:r>
              <w:rPr>
                <w:rFonts w:cs="Tahoma"/>
                <w:sz w:val="20"/>
                <w:szCs w:val="20"/>
              </w:rPr>
              <w:t>-126 634,1</w:t>
            </w:r>
          </w:p>
        </w:tc>
        <w:tc>
          <w:tcPr>
            <w:tcW w:w="1373" w:type="dxa"/>
            <w:tcBorders>
              <w:top w:val="single" w:sz="4" w:space="0" w:color="auto"/>
              <w:left w:val="single" w:sz="4" w:space="0" w:color="auto"/>
              <w:bottom w:val="single" w:sz="4" w:space="0" w:color="auto"/>
              <w:right w:val="single" w:sz="4" w:space="0" w:color="auto"/>
            </w:tcBorders>
            <w:vAlign w:val="center"/>
          </w:tcPr>
          <w:p w14:paraId="2FA94017" w14:textId="70CD8759" w:rsidR="00803AF9" w:rsidRPr="00803AF9" w:rsidRDefault="0087459C" w:rsidP="0087459C">
            <w:pPr>
              <w:spacing w:before="60" w:after="40" w:line="288" w:lineRule="auto"/>
              <w:ind w:firstLine="0"/>
              <w:jc w:val="right"/>
              <w:rPr>
                <w:rFonts w:cs="Tahoma"/>
                <w:sz w:val="20"/>
                <w:szCs w:val="20"/>
              </w:rPr>
            </w:pPr>
            <w:r>
              <w:rPr>
                <w:rFonts w:cs="Tahoma"/>
                <w:sz w:val="20"/>
                <w:szCs w:val="20"/>
              </w:rPr>
              <w:t>-112 771,0</w:t>
            </w:r>
          </w:p>
        </w:tc>
      </w:tr>
      <w:tr w:rsidR="00803AF9" w:rsidRPr="00821AF6" w14:paraId="17CFF72A" w14:textId="77777777" w:rsidTr="00B5326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7918269A" w14:textId="77777777" w:rsidR="00803AF9" w:rsidRPr="00821AF6" w:rsidRDefault="00803AF9" w:rsidP="0087459C">
            <w:pPr>
              <w:spacing w:before="60" w:after="40" w:line="288" w:lineRule="auto"/>
              <w:ind w:firstLine="0"/>
              <w:jc w:val="center"/>
              <w:rPr>
                <w:rFonts w:cs="Tahoma"/>
                <w:sz w:val="20"/>
                <w:szCs w:val="20"/>
              </w:rPr>
            </w:pPr>
            <w:r>
              <w:rPr>
                <w:rFonts w:cs="Tahoma"/>
                <w:sz w:val="20"/>
                <w:szCs w:val="20"/>
              </w:rPr>
              <w:t>2</w:t>
            </w:r>
          </w:p>
        </w:tc>
        <w:tc>
          <w:tcPr>
            <w:tcW w:w="3261" w:type="dxa"/>
            <w:tcBorders>
              <w:top w:val="single" w:sz="4" w:space="0" w:color="auto"/>
              <w:left w:val="single" w:sz="4" w:space="0" w:color="auto"/>
              <w:bottom w:val="single" w:sz="4" w:space="0" w:color="auto"/>
              <w:right w:val="single" w:sz="4" w:space="0" w:color="auto"/>
            </w:tcBorders>
            <w:vAlign w:val="center"/>
          </w:tcPr>
          <w:p w14:paraId="2E8DEAC4" w14:textId="77777777" w:rsidR="00803AF9" w:rsidRPr="00821AF6" w:rsidRDefault="00803AF9" w:rsidP="0087459C">
            <w:pPr>
              <w:spacing w:before="60" w:after="40" w:line="288" w:lineRule="auto"/>
              <w:ind w:firstLine="0"/>
              <w:jc w:val="left"/>
              <w:rPr>
                <w:rFonts w:cs="Tahoma"/>
                <w:sz w:val="20"/>
                <w:szCs w:val="20"/>
              </w:rPr>
            </w:pPr>
            <w:r w:rsidRPr="00821AF6">
              <w:rPr>
                <w:rFonts w:cs="Tahoma"/>
                <w:sz w:val="20"/>
                <w:szCs w:val="20"/>
              </w:rPr>
              <w:t>Ekonomiczna bieżąca wartość netto (</w:t>
            </w:r>
            <w:r w:rsidRPr="00821AF6">
              <w:rPr>
                <w:rFonts w:cs="Tahoma"/>
                <w:b/>
                <w:sz w:val="20"/>
                <w:szCs w:val="20"/>
              </w:rPr>
              <w:t>ENPV</w:t>
            </w:r>
            <w:r w:rsidRPr="00821AF6">
              <w:rPr>
                <w:rFonts w:cs="Tahom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15742EC2" w14:textId="77777777" w:rsidR="00803AF9" w:rsidRPr="00821AF6" w:rsidRDefault="00803AF9" w:rsidP="0087459C">
            <w:pPr>
              <w:spacing w:before="60" w:after="40" w:line="288" w:lineRule="auto"/>
              <w:ind w:firstLine="0"/>
              <w:jc w:val="center"/>
              <w:rPr>
                <w:rFonts w:cs="Tahoma"/>
                <w:sz w:val="20"/>
                <w:szCs w:val="20"/>
              </w:rPr>
            </w:pPr>
            <w:r w:rsidRPr="00821AF6">
              <w:rPr>
                <w:rFonts w:cs="Tahoma"/>
                <w:sz w:val="20"/>
                <w:szCs w:val="20"/>
              </w:rPr>
              <w:t>tys. zł</w:t>
            </w:r>
          </w:p>
        </w:tc>
        <w:tc>
          <w:tcPr>
            <w:tcW w:w="1372" w:type="dxa"/>
            <w:tcBorders>
              <w:top w:val="single" w:sz="4" w:space="0" w:color="auto"/>
              <w:left w:val="single" w:sz="4" w:space="0" w:color="auto"/>
              <w:bottom w:val="single" w:sz="4" w:space="0" w:color="auto"/>
              <w:right w:val="single" w:sz="4" w:space="0" w:color="auto"/>
            </w:tcBorders>
            <w:vAlign w:val="center"/>
          </w:tcPr>
          <w:p w14:paraId="25327BE1" w14:textId="7864D8E2" w:rsidR="00803AF9" w:rsidRPr="00803AF9" w:rsidRDefault="0087459C" w:rsidP="0087459C">
            <w:pPr>
              <w:spacing w:before="60" w:after="40" w:line="288" w:lineRule="auto"/>
              <w:ind w:firstLine="0"/>
              <w:jc w:val="right"/>
              <w:rPr>
                <w:rFonts w:cs="Tahoma"/>
                <w:sz w:val="20"/>
                <w:szCs w:val="20"/>
              </w:rPr>
            </w:pPr>
            <w:r>
              <w:rPr>
                <w:rFonts w:cs="Tahoma"/>
                <w:sz w:val="20"/>
                <w:szCs w:val="20"/>
              </w:rPr>
              <w:t>-83 931,8</w:t>
            </w:r>
          </w:p>
        </w:tc>
        <w:tc>
          <w:tcPr>
            <w:tcW w:w="1373" w:type="dxa"/>
            <w:tcBorders>
              <w:top w:val="single" w:sz="4" w:space="0" w:color="auto"/>
              <w:left w:val="single" w:sz="4" w:space="0" w:color="auto"/>
              <w:bottom w:val="single" w:sz="4" w:space="0" w:color="auto"/>
              <w:right w:val="single" w:sz="4" w:space="0" w:color="auto"/>
            </w:tcBorders>
            <w:vAlign w:val="center"/>
          </w:tcPr>
          <w:p w14:paraId="1CC73172" w14:textId="7380DBED" w:rsidR="00803AF9" w:rsidRPr="00803AF9" w:rsidRDefault="0087459C" w:rsidP="0087459C">
            <w:pPr>
              <w:spacing w:before="60" w:after="40" w:line="288" w:lineRule="auto"/>
              <w:ind w:firstLine="0"/>
              <w:jc w:val="right"/>
              <w:rPr>
                <w:rFonts w:cs="Tahoma"/>
                <w:sz w:val="20"/>
                <w:szCs w:val="20"/>
              </w:rPr>
            </w:pPr>
            <w:r>
              <w:rPr>
                <w:rFonts w:cs="Tahoma"/>
                <w:sz w:val="20"/>
                <w:szCs w:val="20"/>
              </w:rPr>
              <w:t>-72 152,0</w:t>
            </w:r>
          </w:p>
        </w:tc>
        <w:tc>
          <w:tcPr>
            <w:tcW w:w="1373" w:type="dxa"/>
            <w:tcBorders>
              <w:top w:val="single" w:sz="4" w:space="0" w:color="auto"/>
              <w:left w:val="single" w:sz="4" w:space="0" w:color="auto"/>
              <w:bottom w:val="single" w:sz="4" w:space="0" w:color="auto"/>
              <w:right w:val="single" w:sz="4" w:space="0" w:color="auto"/>
            </w:tcBorders>
            <w:vAlign w:val="center"/>
          </w:tcPr>
          <w:p w14:paraId="20C09990" w14:textId="740F7C42" w:rsidR="00803AF9" w:rsidRPr="00803AF9" w:rsidRDefault="0087459C" w:rsidP="0087459C">
            <w:pPr>
              <w:spacing w:before="60" w:after="40" w:line="288" w:lineRule="auto"/>
              <w:ind w:firstLine="0"/>
              <w:jc w:val="right"/>
              <w:rPr>
                <w:rFonts w:cs="Tahoma"/>
                <w:sz w:val="20"/>
                <w:szCs w:val="20"/>
              </w:rPr>
            </w:pPr>
            <w:r>
              <w:rPr>
                <w:rFonts w:cs="Tahoma"/>
                <w:sz w:val="20"/>
                <w:szCs w:val="20"/>
              </w:rPr>
              <w:t>-60 372,2</w:t>
            </w:r>
          </w:p>
        </w:tc>
      </w:tr>
      <w:tr w:rsidR="00803AF9" w:rsidRPr="00821AF6" w14:paraId="67AD64FB" w14:textId="77777777" w:rsidTr="00B5326D">
        <w:trPr>
          <w:cantSplit/>
          <w:jc w:val="center"/>
        </w:trPr>
        <w:tc>
          <w:tcPr>
            <w:tcW w:w="559" w:type="dxa"/>
            <w:tcBorders>
              <w:top w:val="single" w:sz="4" w:space="0" w:color="auto"/>
              <w:left w:val="single" w:sz="4" w:space="0" w:color="auto"/>
              <w:bottom w:val="single" w:sz="4" w:space="0" w:color="auto"/>
              <w:right w:val="single" w:sz="4" w:space="0" w:color="auto"/>
            </w:tcBorders>
            <w:vAlign w:val="center"/>
          </w:tcPr>
          <w:p w14:paraId="2049D589" w14:textId="77777777" w:rsidR="00803AF9" w:rsidRPr="00821AF6" w:rsidRDefault="00803AF9" w:rsidP="0087459C">
            <w:pPr>
              <w:spacing w:before="60" w:after="40" w:line="288" w:lineRule="auto"/>
              <w:ind w:firstLine="0"/>
              <w:jc w:val="center"/>
              <w:rPr>
                <w:rFonts w:cs="Tahoma"/>
                <w:sz w:val="20"/>
                <w:szCs w:val="20"/>
              </w:rPr>
            </w:pPr>
            <w:r>
              <w:rPr>
                <w:rFonts w:cs="Tahoma"/>
                <w:sz w:val="20"/>
                <w:szCs w:val="20"/>
              </w:rPr>
              <w:t>3</w:t>
            </w:r>
          </w:p>
        </w:tc>
        <w:tc>
          <w:tcPr>
            <w:tcW w:w="3261" w:type="dxa"/>
            <w:tcBorders>
              <w:top w:val="single" w:sz="4" w:space="0" w:color="auto"/>
              <w:left w:val="single" w:sz="4" w:space="0" w:color="auto"/>
              <w:bottom w:val="single" w:sz="4" w:space="0" w:color="auto"/>
              <w:right w:val="single" w:sz="4" w:space="0" w:color="auto"/>
            </w:tcBorders>
            <w:vAlign w:val="center"/>
          </w:tcPr>
          <w:p w14:paraId="4B91A2FD" w14:textId="77777777" w:rsidR="00803AF9" w:rsidRPr="00821AF6" w:rsidRDefault="00803AF9" w:rsidP="0087459C">
            <w:pPr>
              <w:spacing w:before="60" w:after="40" w:line="288" w:lineRule="auto"/>
              <w:ind w:firstLine="0"/>
              <w:jc w:val="left"/>
              <w:rPr>
                <w:rFonts w:cs="Tahoma"/>
                <w:sz w:val="20"/>
                <w:szCs w:val="20"/>
              </w:rPr>
            </w:pPr>
            <w:r w:rsidRPr="00821AF6">
              <w:rPr>
                <w:rFonts w:cs="Tahoma"/>
                <w:sz w:val="20"/>
                <w:szCs w:val="20"/>
              </w:rPr>
              <w:t xml:space="preserve">Różnica </w:t>
            </w:r>
            <w:r w:rsidRPr="00821AF6">
              <w:rPr>
                <w:rFonts w:cs="Tahoma"/>
                <w:b/>
                <w:sz w:val="20"/>
                <w:szCs w:val="20"/>
              </w:rPr>
              <w:t>ENPV</w:t>
            </w:r>
            <w:r w:rsidRPr="00821AF6">
              <w:rPr>
                <w:rFonts w:cs="Tahoma"/>
                <w:sz w:val="20"/>
                <w:szCs w:val="20"/>
              </w:rPr>
              <w:t xml:space="preserve"> wobec </w:t>
            </w:r>
            <w:r w:rsidRPr="00821AF6">
              <w:rPr>
                <w:rFonts w:cs="Tahoma"/>
                <w:sz w:val="20"/>
                <w:szCs w:val="20"/>
              </w:rPr>
              <w:br/>
              <w:t>wariantu 1 – konwencjonalnego</w:t>
            </w:r>
          </w:p>
        </w:tc>
        <w:tc>
          <w:tcPr>
            <w:tcW w:w="1134" w:type="dxa"/>
            <w:tcBorders>
              <w:top w:val="single" w:sz="4" w:space="0" w:color="auto"/>
              <w:left w:val="single" w:sz="4" w:space="0" w:color="auto"/>
              <w:bottom w:val="single" w:sz="4" w:space="0" w:color="auto"/>
              <w:right w:val="single" w:sz="4" w:space="0" w:color="auto"/>
            </w:tcBorders>
            <w:vAlign w:val="center"/>
          </w:tcPr>
          <w:p w14:paraId="2D26A2EC" w14:textId="77777777" w:rsidR="00803AF9" w:rsidRPr="00821AF6" w:rsidRDefault="00803AF9" w:rsidP="0087459C">
            <w:pPr>
              <w:spacing w:before="60" w:after="40" w:line="288" w:lineRule="auto"/>
              <w:ind w:firstLine="0"/>
              <w:jc w:val="center"/>
              <w:rPr>
                <w:rFonts w:cs="Tahoma"/>
                <w:sz w:val="20"/>
                <w:szCs w:val="20"/>
              </w:rPr>
            </w:pPr>
            <w:r w:rsidRPr="00821AF6">
              <w:rPr>
                <w:rFonts w:cs="Tahoma"/>
                <w:sz w:val="20"/>
                <w:szCs w:val="20"/>
              </w:rPr>
              <w:t>tys. zł</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E44F780" w14:textId="636EB638" w:rsidR="00803AF9" w:rsidRPr="00803AF9" w:rsidRDefault="0087459C" w:rsidP="0087459C">
            <w:pPr>
              <w:spacing w:before="60" w:after="40" w:line="288" w:lineRule="auto"/>
              <w:ind w:firstLine="0"/>
              <w:jc w:val="right"/>
              <w:rPr>
                <w:rFonts w:cs="Tahoma"/>
                <w:sz w:val="20"/>
                <w:szCs w:val="20"/>
              </w:rPr>
            </w:pPr>
            <w:r>
              <w:rPr>
                <w:rFonts w:cs="Tahoma"/>
                <w:sz w:val="20"/>
                <w:szCs w:val="20"/>
              </w:rPr>
              <w:t>-28 478,5</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6D7B314" w14:textId="3483A0D8" w:rsidR="00803AF9" w:rsidRPr="00803AF9" w:rsidRDefault="0087459C" w:rsidP="0087459C">
            <w:pPr>
              <w:spacing w:before="60" w:after="40" w:line="288" w:lineRule="auto"/>
              <w:ind w:firstLine="0"/>
              <w:jc w:val="right"/>
              <w:rPr>
                <w:rFonts w:cs="Tahoma"/>
                <w:sz w:val="20"/>
                <w:szCs w:val="20"/>
              </w:rPr>
            </w:pPr>
            <w:r>
              <w:rPr>
                <w:rFonts w:cs="Tahoma"/>
                <w:sz w:val="20"/>
                <w:szCs w:val="20"/>
              </w:rPr>
              <w:t>-18 067,0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BFDEE57" w14:textId="66E9ED63" w:rsidR="00803AF9" w:rsidRPr="00803AF9" w:rsidRDefault="0087459C" w:rsidP="0087459C">
            <w:pPr>
              <w:spacing w:before="60" w:after="40" w:line="288" w:lineRule="auto"/>
              <w:ind w:firstLine="0"/>
              <w:jc w:val="right"/>
              <w:rPr>
                <w:rFonts w:cs="Tahoma"/>
                <w:sz w:val="20"/>
                <w:szCs w:val="20"/>
              </w:rPr>
            </w:pPr>
            <w:r>
              <w:rPr>
                <w:rFonts w:cs="Tahoma"/>
                <w:sz w:val="20"/>
                <w:szCs w:val="20"/>
              </w:rPr>
              <w:t>-7 655,6</w:t>
            </w:r>
          </w:p>
        </w:tc>
      </w:tr>
    </w:tbl>
    <w:p w14:paraId="0207E82C" w14:textId="77777777" w:rsidR="00803AF9" w:rsidRPr="00821AF6" w:rsidRDefault="00803AF9" w:rsidP="0087459C">
      <w:pPr>
        <w:spacing w:before="120" w:after="240"/>
        <w:ind w:firstLine="0"/>
        <w:jc w:val="left"/>
        <w:rPr>
          <w:rFonts w:cs="Tahoma"/>
          <w:sz w:val="20"/>
          <w:szCs w:val="20"/>
        </w:rPr>
      </w:pPr>
      <w:r w:rsidRPr="00821AF6">
        <w:rPr>
          <w:rFonts w:cs="Tahoma"/>
          <w:sz w:val="20"/>
          <w:szCs w:val="20"/>
        </w:rPr>
        <w:t>Źródło: opracowanie własne.</w:t>
      </w:r>
    </w:p>
    <w:p w14:paraId="7542237A" w14:textId="3B47EAF3" w:rsidR="005879AF" w:rsidRPr="00821AF6" w:rsidRDefault="005879AF" w:rsidP="00CE616E">
      <w:pPr>
        <w:rPr>
          <w:rFonts w:cs="Tahoma"/>
          <w:color w:val="000000"/>
        </w:rPr>
      </w:pPr>
      <w:r>
        <w:rPr>
          <w:rFonts w:cs="Tahoma"/>
          <w:color w:val="000000"/>
        </w:rPr>
        <w:t>Jak wynika z tabeli 24</w:t>
      </w:r>
      <w:r w:rsidRPr="00CA1C2E">
        <w:rPr>
          <w:rFonts w:cs="Tahoma"/>
          <w:color w:val="000000"/>
        </w:rPr>
        <w:t xml:space="preserve">, różnica ENPV pomiędzy wariantami elektrycznym i </w:t>
      </w:r>
      <w:r w:rsidR="00CE616E">
        <w:rPr>
          <w:rFonts w:cs="Tahoma"/>
          <w:color w:val="000000"/>
        </w:rPr>
        <w:t xml:space="preserve">wodorowym, a </w:t>
      </w:r>
      <w:r w:rsidRPr="00CA1C2E">
        <w:rPr>
          <w:rFonts w:cs="Tahoma"/>
          <w:color w:val="000000"/>
        </w:rPr>
        <w:t xml:space="preserve">konwencjonalnym, nawet przy spadku </w:t>
      </w:r>
      <w:r w:rsidR="00CE616E">
        <w:rPr>
          <w:rFonts w:cs="Tahoma"/>
          <w:color w:val="000000"/>
        </w:rPr>
        <w:t>ceny autobusów elektrycznych o 3</w:t>
      </w:r>
      <w:r w:rsidRPr="00CA1C2E">
        <w:rPr>
          <w:rFonts w:cs="Tahoma"/>
          <w:color w:val="000000"/>
        </w:rPr>
        <w:t>0% jest ujemna, nie występuje więc korzyść wynikających ze zmniejszenia e</w:t>
      </w:r>
      <w:r w:rsidR="00CE616E">
        <w:rPr>
          <w:rFonts w:cs="Tahoma"/>
          <w:color w:val="000000"/>
        </w:rPr>
        <w:t>misji zanieczyszczeń w wariantach</w:t>
      </w:r>
      <w:r w:rsidRPr="00CA1C2E">
        <w:rPr>
          <w:rFonts w:cs="Tahoma"/>
          <w:color w:val="000000"/>
        </w:rPr>
        <w:t xml:space="preserve"> elektrycznym</w:t>
      </w:r>
      <w:r w:rsidR="00CE616E">
        <w:rPr>
          <w:rFonts w:cs="Tahoma"/>
          <w:color w:val="000000"/>
        </w:rPr>
        <w:t xml:space="preserve"> i wodorowym</w:t>
      </w:r>
      <w:r w:rsidRPr="00CA1C2E">
        <w:rPr>
          <w:rFonts w:cs="Tahoma"/>
          <w:color w:val="000000"/>
        </w:rPr>
        <w:t>.</w:t>
      </w:r>
    </w:p>
    <w:p w14:paraId="4C7158AD" w14:textId="7E3EC0D8" w:rsidR="00803AF9" w:rsidRPr="00803AF9" w:rsidRDefault="00803AF9" w:rsidP="00CE616E">
      <w:pPr>
        <w:rPr>
          <w:rFonts w:cs="Tahoma"/>
          <w:b/>
          <w:bCs/>
          <w:color w:val="000000"/>
        </w:rPr>
      </w:pPr>
      <w:bookmarkStart w:id="100" w:name="_Hlk85576029"/>
      <w:r w:rsidRPr="00803AF9">
        <w:rPr>
          <w:rFonts w:cs="Tahoma"/>
          <w:b/>
          <w:bCs/>
          <w:color w:val="000000"/>
        </w:rPr>
        <w:t xml:space="preserve">Wartość progowa ceny standardowego autobusu zeroemisyjnego klasy maxi, o długości około 12 m, zasilanego z baterii doładowywanych na stacji z pantografu, przy której ekonomiczna bieżąca wartość netto ENPV byłaby wyższa niż dla wariantu z taborem konwencjonalnym, to dla </w:t>
      </w:r>
      <w:r w:rsidR="00C73F5E">
        <w:rPr>
          <w:rFonts w:cs="Tahoma"/>
          <w:b/>
          <w:bCs/>
          <w:color w:val="000000"/>
        </w:rPr>
        <w:t xml:space="preserve">Rzeszowa </w:t>
      </w:r>
      <w:r w:rsidR="00CE616E">
        <w:rPr>
          <w:rFonts w:cs="Tahoma"/>
          <w:b/>
          <w:bCs/>
          <w:color w:val="000000"/>
        </w:rPr>
        <w:t>w wariancie elektrycznym</w:t>
      </w:r>
      <w:r w:rsidRPr="00803AF9">
        <w:rPr>
          <w:rFonts w:cs="Tahoma"/>
          <w:b/>
          <w:bCs/>
          <w:color w:val="000000"/>
        </w:rPr>
        <w:t xml:space="preserve"> kwota </w:t>
      </w:r>
      <w:r w:rsidR="00CE616E">
        <w:rPr>
          <w:rFonts w:cs="Tahoma"/>
          <w:b/>
          <w:bCs/>
          <w:color w:val="000000"/>
        </w:rPr>
        <w:t>1 626,5</w:t>
      </w:r>
      <w:r w:rsidRPr="00803AF9">
        <w:rPr>
          <w:rFonts w:cs="Tahoma"/>
          <w:b/>
          <w:bCs/>
          <w:color w:val="000000"/>
        </w:rPr>
        <w:t xml:space="preserve"> tys. zł (czyli o </w:t>
      </w:r>
      <w:r w:rsidR="00CE616E">
        <w:rPr>
          <w:rFonts w:cs="Tahoma"/>
          <w:b/>
          <w:bCs/>
          <w:color w:val="000000"/>
        </w:rPr>
        <w:t>31,37</w:t>
      </w:r>
      <w:r w:rsidRPr="00803AF9">
        <w:rPr>
          <w:rFonts w:cs="Tahoma"/>
          <w:b/>
          <w:bCs/>
          <w:color w:val="000000"/>
        </w:rPr>
        <w:t>% niższa od przyjętej do analizy).</w:t>
      </w:r>
    </w:p>
    <w:bookmarkEnd w:id="100"/>
    <w:p w14:paraId="3363CE0C" w14:textId="72C83FF7" w:rsidR="00803AF9" w:rsidRPr="00803AF9" w:rsidRDefault="00803AF9" w:rsidP="00CE616E">
      <w:pPr>
        <w:rPr>
          <w:rFonts w:cs="Tahoma"/>
          <w:b/>
          <w:bCs/>
          <w:color w:val="000000"/>
        </w:rPr>
      </w:pPr>
      <w:r w:rsidRPr="00803AF9">
        <w:rPr>
          <w:rFonts w:cs="Tahoma"/>
          <w:b/>
          <w:bCs/>
          <w:color w:val="000000"/>
        </w:rPr>
        <w:lastRenderedPageBreak/>
        <w:t xml:space="preserve">W wariancie </w:t>
      </w:r>
      <w:r w:rsidR="00CE616E">
        <w:rPr>
          <w:rFonts w:cs="Tahoma"/>
          <w:b/>
          <w:bCs/>
          <w:color w:val="000000"/>
        </w:rPr>
        <w:t>wodorowym</w:t>
      </w:r>
      <w:r w:rsidRPr="00803AF9">
        <w:rPr>
          <w:rFonts w:cs="Tahoma"/>
          <w:b/>
          <w:bCs/>
          <w:color w:val="000000"/>
        </w:rPr>
        <w:t xml:space="preserve"> wartość progowa takiego autobusu zeroemisyjnego wyniosła </w:t>
      </w:r>
      <w:r w:rsidR="00CE616E">
        <w:rPr>
          <w:rFonts w:cs="Tahoma"/>
          <w:b/>
          <w:bCs/>
          <w:color w:val="000000"/>
        </w:rPr>
        <w:t>1 484,7</w:t>
      </w:r>
      <w:r w:rsidRPr="00803AF9">
        <w:rPr>
          <w:rFonts w:cs="Tahoma"/>
          <w:b/>
          <w:bCs/>
          <w:color w:val="000000"/>
        </w:rPr>
        <w:t xml:space="preserve"> tys. zł (czyli o </w:t>
      </w:r>
      <w:r w:rsidR="00CE616E">
        <w:rPr>
          <w:rFonts w:cs="Tahoma"/>
          <w:b/>
          <w:bCs/>
          <w:color w:val="000000"/>
        </w:rPr>
        <w:t>37,35</w:t>
      </w:r>
      <w:r w:rsidRPr="00803AF9">
        <w:rPr>
          <w:rFonts w:cs="Tahoma"/>
          <w:b/>
          <w:bCs/>
          <w:color w:val="000000"/>
        </w:rPr>
        <w:t>% niższa</w:t>
      </w:r>
      <w:r w:rsidR="00CE616E">
        <w:rPr>
          <w:rFonts w:cs="Tahoma"/>
          <w:b/>
          <w:bCs/>
          <w:color w:val="000000"/>
        </w:rPr>
        <w:t xml:space="preserve"> od kwoty przyjętej do analizy), analogiczna progowa cena autobusu z ogniwami paliwowymi wynosiłaby 2 180,1 tys. zł.</w:t>
      </w:r>
    </w:p>
    <w:p w14:paraId="16E47D1A" w14:textId="77777777" w:rsidR="00803AF9" w:rsidRPr="00821AF6" w:rsidRDefault="00803AF9" w:rsidP="00CE616E">
      <w:pPr>
        <w:rPr>
          <w:rFonts w:cs="Tahoma"/>
          <w:b/>
          <w:bCs/>
          <w:color w:val="000000"/>
        </w:rPr>
      </w:pPr>
      <w:r w:rsidRPr="00803AF9">
        <w:rPr>
          <w:rFonts w:cs="Tahoma"/>
          <w:b/>
          <w:bCs/>
          <w:color w:val="000000"/>
        </w:rPr>
        <w:t>Dopiero przy takich cenach pojazdów zeroemisyjnych miałaby miejsce ekonomiczna opłacalność zakupu taboru zeroemisyjnego, czyli wystąpiłby obowiązek zakupu taboru zeroemisyjnego, przy uwzględnieniu parametru ENPV.</w:t>
      </w:r>
    </w:p>
    <w:p w14:paraId="795A6553" w14:textId="5414BAA6" w:rsidR="004A7243" w:rsidRDefault="004A7243" w:rsidP="00CE616E">
      <w:pPr>
        <w:rPr>
          <w:rFonts w:cs="Tahoma"/>
          <w:color w:val="000000"/>
        </w:rPr>
      </w:pPr>
      <w:r>
        <w:rPr>
          <w:rFonts w:cs="Tahoma"/>
          <w:color w:val="000000"/>
        </w:rPr>
        <w:t xml:space="preserve">Główną przyczyną braku efektywności zakupu taboru zeroemisyjnego jest w warunkach </w:t>
      </w:r>
      <w:r w:rsidR="00C73F5E">
        <w:rPr>
          <w:rFonts w:cs="Tahoma"/>
          <w:color w:val="000000"/>
        </w:rPr>
        <w:t xml:space="preserve">Rzeszowa </w:t>
      </w:r>
      <w:r>
        <w:rPr>
          <w:rFonts w:cs="Tahoma"/>
          <w:color w:val="000000"/>
        </w:rPr>
        <w:t>konieczność zwiększenia liczby pojazdów w ruchu, co wpływa na zwiększenie ponoszonych nakładów inwestycyjnych oraz wysoki</w:t>
      </w:r>
      <w:r w:rsidR="00CE616E">
        <w:rPr>
          <w:rFonts w:cs="Tahoma"/>
          <w:color w:val="000000"/>
        </w:rPr>
        <w:t xml:space="preserve"> koszt infrastruktury ładowania</w:t>
      </w:r>
      <w:r>
        <w:rPr>
          <w:rFonts w:cs="Tahoma"/>
          <w:color w:val="000000"/>
        </w:rPr>
        <w:t xml:space="preserve"> autobusów elektrycznych.</w:t>
      </w:r>
    </w:p>
    <w:p w14:paraId="6E05BAD4" w14:textId="3B700357" w:rsidR="00017715" w:rsidRPr="00821AF6" w:rsidRDefault="009C507B" w:rsidP="00CE616E">
      <w:pPr>
        <w:rPr>
          <w:rFonts w:cs="Tahoma"/>
          <w:color w:val="000000"/>
        </w:rPr>
      </w:pPr>
      <w:r w:rsidRPr="00821AF6">
        <w:rPr>
          <w:rFonts w:cs="Tahoma"/>
          <w:color w:val="000000"/>
        </w:rPr>
        <w:t xml:space="preserve">Identyfikację podstawowych czynników ryzyka, które mogą mieć wpływ na realizację wariantów, przedstawiono w tabeli </w:t>
      </w:r>
      <w:r w:rsidRPr="0007793E">
        <w:rPr>
          <w:rFonts w:cs="Tahoma"/>
          <w:color w:val="000000"/>
        </w:rPr>
        <w:t>2</w:t>
      </w:r>
      <w:r w:rsidR="0007793E" w:rsidRPr="0007793E">
        <w:rPr>
          <w:rFonts w:cs="Tahoma"/>
          <w:color w:val="000000"/>
        </w:rPr>
        <w:t>5</w:t>
      </w:r>
      <w:r w:rsidRPr="00821AF6">
        <w:rPr>
          <w:rFonts w:cs="Tahoma"/>
          <w:color w:val="000000"/>
        </w:rPr>
        <w:t>. Dla każdego z ryzyk zidentyfikowanych jako aktywne przedstawiono jego prawdopodobieństwo i dotkliwość – zgodnie z dokumentem pn. „Przewodnik po analizie kosztów i korzyści projektów inwestycyjnych. Narzędzie analizy ekonomicznej polityki spójności 2014-2020, Komisja Europejska 2014.”</w:t>
      </w:r>
      <w:r w:rsidR="00017715" w:rsidRPr="00821AF6">
        <w:rPr>
          <w:rFonts w:cs="Tahoma"/>
          <w:color w:val="000000"/>
        </w:rPr>
        <w:t xml:space="preserve"> </w:t>
      </w:r>
      <w:bookmarkStart w:id="101" w:name="_Hlk532672586"/>
      <w:r w:rsidR="00017715" w:rsidRPr="00821AF6">
        <w:rPr>
          <w:rFonts w:cs="Tahoma"/>
          <w:color w:val="000000"/>
        </w:rPr>
        <w:t>Prawdopodobieństwo ryzyka s</w:t>
      </w:r>
      <w:r w:rsidR="003500BD">
        <w:rPr>
          <w:rFonts w:cs="Tahoma"/>
          <w:color w:val="000000"/>
        </w:rPr>
        <w:t>kla</w:t>
      </w:r>
      <w:r w:rsidR="00017715" w:rsidRPr="00821AF6">
        <w:rPr>
          <w:rFonts w:cs="Tahoma"/>
          <w:color w:val="000000"/>
        </w:rPr>
        <w:t>syfikowano w skali od A – bardzo nieprawdopodobne do E – bardzo prawdopodobne. Siłę oddziaływania (dotkliwość ryzyka) s</w:t>
      </w:r>
      <w:r w:rsidR="003500BD">
        <w:rPr>
          <w:rFonts w:cs="Tahoma"/>
          <w:color w:val="000000"/>
        </w:rPr>
        <w:t>kla</w:t>
      </w:r>
      <w:r w:rsidR="00017715" w:rsidRPr="00821AF6">
        <w:rPr>
          <w:rFonts w:cs="Tahoma"/>
          <w:color w:val="000000"/>
        </w:rPr>
        <w:t xml:space="preserve">syfikowano natomiast od I – brak oddziaływania na dobrobyt społeczny do V – katastrofalne, wadliwość projektu. Poziom ryzyka, jako połączenie prawdopodobieństwa i siły oddziaływania, określono na podstawie tabeli zamieszczonej w wyżej wymienionym </w:t>
      </w:r>
      <w:r w:rsidR="00A82571" w:rsidRPr="00821AF6">
        <w:rPr>
          <w:rFonts w:cs="Tahoma"/>
          <w:color w:val="000000"/>
        </w:rPr>
        <w:t>p</w:t>
      </w:r>
      <w:r w:rsidR="00017715" w:rsidRPr="00821AF6">
        <w:rPr>
          <w:rFonts w:cs="Tahoma"/>
          <w:color w:val="000000"/>
        </w:rPr>
        <w:t>rzewodniku.</w:t>
      </w:r>
    </w:p>
    <w:bookmarkEnd w:id="101"/>
    <w:p w14:paraId="78A0FAE7" w14:textId="5A19D6DF" w:rsidR="00AC21B3" w:rsidRPr="00821AF6" w:rsidRDefault="00B21A5B" w:rsidP="00CE616E">
      <w:pPr>
        <w:rPr>
          <w:rFonts w:cs="Tahoma"/>
          <w:color w:val="000000"/>
        </w:rPr>
      </w:pPr>
      <w:r w:rsidRPr="00821AF6">
        <w:rPr>
          <w:rFonts w:cs="Tahoma"/>
          <w:color w:val="000000"/>
        </w:rPr>
        <w:t>W</w:t>
      </w:r>
      <w:r w:rsidR="003A3B55" w:rsidRPr="00821AF6">
        <w:rPr>
          <w:rFonts w:cs="Tahoma"/>
          <w:color w:val="000000"/>
        </w:rPr>
        <w:t xml:space="preserve">e wszystkich </w:t>
      </w:r>
      <w:r w:rsidRPr="00821AF6">
        <w:rPr>
          <w:rFonts w:cs="Tahoma"/>
          <w:color w:val="000000"/>
        </w:rPr>
        <w:t xml:space="preserve">wariantach </w:t>
      </w:r>
      <w:r w:rsidR="00AC21B3" w:rsidRPr="00821AF6">
        <w:rPr>
          <w:rFonts w:cs="Tahoma"/>
          <w:color w:val="000000"/>
        </w:rPr>
        <w:t xml:space="preserve">ryzyka popytowe </w:t>
      </w:r>
      <w:r w:rsidR="003A3B55" w:rsidRPr="00821AF6">
        <w:rPr>
          <w:rFonts w:cs="Tahoma"/>
          <w:color w:val="000000"/>
        </w:rPr>
        <w:t>w jednakowym stopniu oddział</w:t>
      </w:r>
      <w:r w:rsidR="002265D2" w:rsidRPr="00821AF6">
        <w:rPr>
          <w:rFonts w:cs="Tahoma"/>
          <w:color w:val="000000"/>
        </w:rPr>
        <w:t xml:space="preserve">ują </w:t>
      </w:r>
      <w:r w:rsidR="003A3B55" w:rsidRPr="00821AF6">
        <w:rPr>
          <w:rFonts w:cs="Tahoma"/>
          <w:color w:val="000000"/>
        </w:rPr>
        <w:t>na</w:t>
      </w:r>
      <w:r w:rsidR="00DA3EBD" w:rsidRPr="00821AF6">
        <w:rPr>
          <w:rFonts w:cs="Tahoma"/>
          <w:color w:val="000000"/>
        </w:rPr>
        <w:t> </w:t>
      </w:r>
      <w:r w:rsidR="003A3B55" w:rsidRPr="00821AF6">
        <w:rPr>
          <w:rFonts w:cs="Tahoma"/>
          <w:color w:val="000000"/>
        </w:rPr>
        <w:t>zdolność do realizacji zadań inwestycyjnych</w:t>
      </w:r>
      <w:r w:rsidR="00AC21B3" w:rsidRPr="00821AF6">
        <w:rPr>
          <w:rFonts w:cs="Tahoma"/>
          <w:color w:val="000000"/>
        </w:rPr>
        <w:t>.</w:t>
      </w:r>
      <w:r w:rsidR="003A3B55" w:rsidRPr="00821AF6">
        <w:rPr>
          <w:rFonts w:cs="Tahoma"/>
          <w:color w:val="000000"/>
        </w:rPr>
        <w:t xml:space="preserve"> Ujęto je w</w:t>
      </w:r>
      <w:r w:rsidR="00DA3EBD" w:rsidRPr="00821AF6">
        <w:rPr>
          <w:rFonts w:cs="Tahoma"/>
          <w:color w:val="000000"/>
        </w:rPr>
        <w:t xml:space="preserve"> każdym z wariantów </w:t>
      </w:r>
      <w:r w:rsidR="003A3B55" w:rsidRPr="00821AF6">
        <w:rPr>
          <w:rFonts w:cs="Tahoma"/>
          <w:color w:val="000000"/>
        </w:rPr>
        <w:t>w jednej pozycji.</w:t>
      </w:r>
    </w:p>
    <w:p w14:paraId="04B4A4DF" w14:textId="4445FD64" w:rsidR="000C512A" w:rsidRPr="00821AF6" w:rsidRDefault="000C512A" w:rsidP="004B2765">
      <w:pPr>
        <w:pStyle w:val="Legenda"/>
        <w:keepNext/>
        <w:spacing w:before="240" w:after="0"/>
        <w:ind w:firstLine="0"/>
        <w:jc w:val="left"/>
        <w:rPr>
          <w:color w:val="000000"/>
          <w:sz w:val="22"/>
          <w:szCs w:val="22"/>
        </w:rPr>
      </w:pPr>
      <w:r w:rsidRPr="00821AF6">
        <w:rPr>
          <w:color w:val="000000"/>
          <w:sz w:val="22"/>
          <w:szCs w:val="22"/>
        </w:rPr>
        <w:t xml:space="preserve">Tab. </w:t>
      </w:r>
      <w:r w:rsidR="00B60ABE" w:rsidRPr="00821AF6">
        <w:rPr>
          <w:color w:val="000000"/>
          <w:sz w:val="22"/>
          <w:szCs w:val="22"/>
        </w:rPr>
        <w:fldChar w:fldCharType="begin"/>
      </w:r>
      <w:r w:rsidRPr="00821AF6">
        <w:rPr>
          <w:color w:val="000000"/>
          <w:sz w:val="22"/>
          <w:szCs w:val="22"/>
        </w:rPr>
        <w:instrText xml:space="preserve"> SEQ Tab. \* ARABIC </w:instrText>
      </w:r>
      <w:r w:rsidR="00B60ABE" w:rsidRPr="00821AF6">
        <w:rPr>
          <w:color w:val="000000"/>
          <w:sz w:val="22"/>
          <w:szCs w:val="22"/>
        </w:rPr>
        <w:fldChar w:fldCharType="separate"/>
      </w:r>
      <w:r w:rsidR="004605BC">
        <w:rPr>
          <w:noProof/>
          <w:color w:val="000000"/>
          <w:sz w:val="22"/>
          <w:szCs w:val="22"/>
        </w:rPr>
        <w:t>25</w:t>
      </w:r>
      <w:r w:rsidR="00B60ABE" w:rsidRPr="00821AF6">
        <w:rPr>
          <w:color w:val="000000"/>
          <w:sz w:val="22"/>
          <w:szCs w:val="22"/>
        </w:rPr>
        <w:fldChar w:fldCharType="end"/>
      </w:r>
      <w:r w:rsidRPr="00821AF6">
        <w:rPr>
          <w:color w:val="000000"/>
          <w:sz w:val="22"/>
          <w:szCs w:val="22"/>
        </w:rPr>
        <w:t>. Wynikowa ocena ryzyka</w:t>
      </w:r>
      <w:r w:rsidR="00995DC8" w:rsidRPr="00821AF6">
        <w:rPr>
          <w:color w:val="000000"/>
          <w:sz w:val="22"/>
          <w:szCs w:val="22"/>
        </w:rPr>
        <w:t xml:space="preserve"> w okresie analizy</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153"/>
        <w:gridCol w:w="1054"/>
        <w:gridCol w:w="1055"/>
        <w:gridCol w:w="1054"/>
        <w:gridCol w:w="2756"/>
      </w:tblGrid>
      <w:tr w:rsidR="009C507B" w:rsidRPr="00821AF6" w14:paraId="3A3B5B93" w14:textId="77777777" w:rsidTr="00A51185">
        <w:trPr>
          <w:cantSplit/>
          <w:tblHeader/>
          <w:jc w:val="center"/>
        </w:trPr>
        <w:tc>
          <w:tcPr>
            <w:tcW w:w="3153" w:type="dxa"/>
            <w:shd w:val="clear" w:color="auto" w:fill="FFFF99"/>
            <w:vAlign w:val="center"/>
          </w:tcPr>
          <w:p w14:paraId="2125BB7B" w14:textId="77777777" w:rsidR="009C507B" w:rsidRPr="00821AF6" w:rsidRDefault="009C507B" w:rsidP="004B2765">
            <w:pPr>
              <w:keepNext/>
              <w:spacing w:before="40" w:after="20" w:line="264" w:lineRule="auto"/>
              <w:ind w:firstLine="0"/>
              <w:jc w:val="center"/>
              <w:rPr>
                <w:rFonts w:cs="Tahoma"/>
                <w:b/>
                <w:sz w:val="20"/>
                <w:szCs w:val="20"/>
              </w:rPr>
            </w:pPr>
            <w:r w:rsidRPr="00821AF6">
              <w:rPr>
                <w:rFonts w:cs="Tahoma"/>
                <w:b/>
                <w:sz w:val="20"/>
                <w:szCs w:val="20"/>
              </w:rPr>
              <w:t>Rodzaj ryzyka</w:t>
            </w:r>
          </w:p>
        </w:tc>
        <w:tc>
          <w:tcPr>
            <w:tcW w:w="1054" w:type="dxa"/>
            <w:shd w:val="clear" w:color="auto" w:fill="FFFF99"/>
            <w:vAlign w:val="center"/>
          </w:tcPr>
          <w:p w14:paraId="3F962790" w14:textId="77777777" w:rsidR="009C507B" w:rsidRPr="00821AF6" w:rsidRDefault="009C507B" w:rsidP="004B2765">
            <w:pPr>
              <w:keepNext/>
              <w:spacing w:before="40" w:after="20" w:line="264" w:lineRule="auto"/>
              <w:ind w:firstLine="0"/>
              <w:jc w:val="center"/>
              <w:rPr>
                <w:rFonts w:cs="Tahoma"/>
                <w:b/>
                <w:sz w:val="18"/>
                <w:szCs w:val="18"/>
              </w:rPr>
            </w:pPr>
            <w:r w:rsidRPr="00821AF6">
              <w:rPr>
                <w:rFonts w:cs="Tahoma"/>
                <w:b/>
                <w:sz w:val="18"/>
                <w:szCs w:val="18"/>
              </w:rPr>
              <w:t>Prawdopodobieństwo</w:t>
            </w:r>
          </w:p>
        </w:tc>
        <w:tc>
          <w:tcPr>
            <w:tcW w:w="1055" w:type="dxa"/>
            <w:shd w:val="clear" w:color="auto" w:fill="FFFF99"/>
            <w:vAlign w:val="center"/>
          </w:tcPr>
          <w:p w14:paraId="7E789CE5" w14:textId="77777777" w:rsidR="009C507B" w:rsidRPr="00821AF6" w:rsidRDefault="009C507B" w:rsidP="004B2765">
            <w:pPr>
              <w:keepNext/>
              <w:spacing w:before="40" w:after="20" w:line="264" w:lineRule="auto"/>
              <w:ind w:firstLine="0"/>
              <w:jc w:val="center"/>
              <w:rPr>
                <w:rFonts w:cs="Tahoma"/>
                <w:b/>
                <w:sz w:val="18"/>
                <w:szCs w:val="18"/>
              </w:rPr>
            </w:pPr>
            <w:r w:rsidRPr="00821AF6">
              <w:rPr>
                <w:rFonts w:cs="Tahoma"/>
                <w:b/>
                <w:sz w:val="18"/>
                <w:szCs w:val="18"/>
              </w:rPr>
              <w:t>Siła</w:t>
            </w:r>
            <w:r w:rsidRPr="00821AF6">
              <w:rPr>
                <w:rFonts w:cs="Tahoma"/>
                <w:b/>
                <w:sz w:val="18"/>
                <w:szCs w:val="18"/>
              </w:rPr>
              <w:br/>
              <w:t>oddziaływania</w:t>
            </w:r>
          </w:p>
        </w:tc>
        <w:tc>
          <w:tcPr>
            <w:tcW w:w="1054" w:type="dxa"/>
            <w:shd w:val="clear" w:color="auto" w:fill="FFFF99"/>
            <w:vAlign w:val="center"/>
          </w:tcPr>
          <w:p w14:paraId="7427F85F" w14:textId="77777777" w:rsidR="009C507B" w:rsidRPr="00821AF6" w:rsidRDefault="009C507B" w:rsidP="004B2765">
            <w:pPr>
              <w:keepNext/>
              <w:spacing w:before="40" w:after="20" w:line="264" w:lineRule="auto"/>
              <w:ind w:firstLine="0"/>
              <w:jc w:val="center"/>
              <w:rPr>
                <w:rFonts w:cs="Tahoma"/>
                <w:b/>
                <w:sz w:val="20"/>
                <w:szCs w:val="20"/>
              </w:rPr>
            </w:pPr>
            <w:r w:rsidRPr="00821AF6">
              <w:rPr>
                <w:rFonts w:cs="Tahoma"/>
                <w:b/>
                <w:sz w:val="20"/>
                <w:szCs w:val="20"/>
              </w:rPr>
              <w:t>Poziom</w:t>
            </w:r>
            <w:r w:rsidRPr="00821AF6">
              <w:rPr>
                <w:rFonts w:cs="Tahoma"/>
                <w:b/>
                <w:sz w:val="20"/>
                <w:szCs w:val="20"/>
              </w:rPr>
              <w:br/>
              <w:t>ryzyka</w:t>
            </w:r>
          </w:p>
        </w:tc>
        <w:tc>
          <w:tcPr>
            <w:tcW w:w="2756" w:type="dxa"/>
            <w:shd w:val="clear" w:color="auto" w:fill="FFFF99"/>
            <w:vAlign w:val="center"/>
          </w:tcPr>
          <w:p w14:paraId="3C704607" w14:textId="77777777" w:rsidR="009C507B" w:rsidRPr="00821AF6" w:rsidRDefault="009C507B" w:rsidP="004B2765">
            <w:pPr>
              <w:keepNext/>
              <w:spacing w:before="40" w:after="20" w:line="264" w:lineRule="auto"/>
              <w:ind w:firstLine="0"/>
              <w:jc w:val="center"/>
              <w:rPr>
                <w:rFonts w:cs="Tahoma"/>
                <w:b/>
                <w:sz w:val="20"/>
                <w:szCs w:val="20"/>
              </w:rPr>
            </w:pPr>
            <w:r w:rsidRPr="00821AF6">
              <w:rPr>
                <w:rFonts w:cs="Tahoma"/>
                <w:b/>
                <w:sz w:val="20"/>
                <w:szCs w:val="20"/>
              </w:rPr>
              <w:t>Strategia</w:t>
            </w:r>
            <w:r w:rsidRPr="00821AF6">
              <w:rPr>
                <w:rFonts w:cs="Tahoma"/>
                <w:b/>
                <w:sz w:val="20"/>
                <w:szCs w:val="20"/>
              </w:rPr>
              <w:br/>
              <w:t>przeciwdziałania</w:t>
            </w:r>
          </w:p>
        </w:tc>
      </w:tr>
      <w:tr w:rsidR="00EC728E" w:rsidRPr="00821AF6" w14:paraId="153BDD53" w14:textId="77777777" w:rsidTr="00A51185">
        <w:trPr>
          <w:cantSplit/>
          <w:jc w:val="center"/>
        </w:trPr>
        <w:tc>
          <w:tcPr>
            <w:tcW w:w="9072"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34F8DC" w14:textId="632E65CF" w:rsidR="00EC728E" w:rsidRPr="00821AF6" w:rsidRDefault="00820EEC" w:rsidP="004B2765">
            <w:pPr>
              <w:keepNext/>
              <w:spacing w:before="40" w:after="20" w:line="264" w:lineRule="auto"/>
              <w:ind w:firstLine="0"/>
              <w:jc w:val="center"/>
              <w:rPr>
                <w:rFonts w:cs="Tahoma"/>
                <w:b/>
                <w:sz w:val="20"/>
                <w:szCs w:val="20"/>
              </w:rPr>
            </w:pPr>
            <w:r>
              <w:rPr>
                <w:rFonts w:cs="Tahoma"/>
                <w:b/>
                <w:sz w:val="20"/>
                <w:szCs w:val="20"/>
              </w:rPr>
              <w:t>Wariant</w:t>
            </w:r>
            <w:r w:rsidR="009F7F3E" w:rsidRPr="00821AF6">
              <w:rPr>
                <w:rFonts w:cs="Tahoma"/>
                <w:b/>
                <w:sz w:val="20"/>
                <w:szCs w:val="20"/>
              </w:rPr>
              <w:t xml:space="preserve"> konwencjonalny</w:t>
            </w:r>
          </w:p>
        </w:tc>
      </w:tr>
      <w:tr w:rsidR="003A3B55" w:rsidRPr="00821AF6" w14:paraId="610503E5"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1DE6EC21" w14:textId="798BA885" w:rsidR="003A3B55" w:rsidRPr="00821AF6" w:rsidRDefault="003A3B55" w:rsidP="004B2765">
            <w:pPr>
              <w:spacing w:before="40" w:after="20" w:line="264" w:lineRule="auto"/>
              <w:ind w:firstLine="0"/>
              <w:jc w:val="left"/>
              <w:rPr>
                <w:rFonts w:cs="Tahoma"/>
                <w:sz w:val="20"/>
                <w:szCs w:val="20"/>
              </w:rPr>
            </w:pPr>
            <w:r w:rsidRPr="00821AF6">
              <w:rPr>
                <w:rFonts w:cs="Tahoma"/>
                <w:sz w:val="20"/>
                <w:szCs w:val="20"/>
              </w:rPr>
              <w:t>Długotrwałe utrzymywanie się niskiego popytu na przewozy</w:t>
            </w:r>
            <w:r w:rsidR="009A6848" w:rsidRPr="00821AF6">
              <w:rPr>
                <w:rFonts w:cs="Tahoma"/>
                <w:sz w:val="20"/>
                <w:szCs w:val="20"/>
              </w:rPr>
              <w:br/>
            </w:r>
            <w:r w:rsidRPr="00821AF6">
              <w:rPr>
                <w:rFonts w:cs="Tahoma"/>
                <w:sz w:val="20"/>
                <w:szCs w:val="20"/>
              </w:rPr>
              <w:t>komunikacji miejskiej</w:t>
            </w:r>
          </w:p>
        </w:tc>
        <w:tc>
          <w:tcPr>
            <w:tcW w:w="1054" w:type="dxa"/>
            <w:tcBorders>
              <w:top w:val="single" w:sz="4" w:space="0" w:color="auto"/>
              <w:left w:val="single" w:sz="4" w:space="0" w:color="auto"/>
              <w:bottom w:val="single" w:sz="4" w:space="0" w:color="auto"/>
              <w:right w:val="single" w:sz="4" w:space="0" w:color="auto"/>
            </w:tcBorders>
            <w:vAlign w:val="center"/>
          </w:tcPr>
          <w:p w14:paraId="3EFD752C" w14:textId="3E57608D" w:rsidR="003A3B55" w:rsidRPr="00821AF6" w:rsidRDefault="00983CB5" w:rsidP="004B2765">
            <w:pPr>
              <w:spacing w:before="40" w:after="20" w:line="264" w:lineRule="auto"/>
              <w:ind w:firstLine="0"/>
              <w:jc w:val="center"/>
              <w:rPr>
                <w:rFonts w:cs="Tahoma"/>
                <w:sz w:val="20"/>
                <w:szCs w:val="20"/>
              </w:rPr>
            </w:pPr>
            <w:r w:rsidRPr="00821AF6">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1C84E1E4" w14:textId="391FDC90" w:rsidR="003A3B55" w:rsidRPr="00821AF6" w:rsidRDefault="00983CB5"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30DAB78E" w14:textId="165D43E7" w:rsidR="003A3B55" w:rsidRPr="00821AF6" w:rsidRDefault="00983CB5" w:rsidP="004B2765">
            <w:pPr>
              <w:spacing w:before="40" w:after="20" w:line="264" w:lineRule="auto"/>
              <w:ind w:firstLine="0"/>
              <w:jc w:val="center"/>
              <w:rPr>
                <w:rFonts w:cs="Tahoma"/>
                <w:sz w:val="20"/>
                <w:szCs w:val="20"/>
              </w:rPr>
            </w:pPr>
            <w:r w:rsidRPr="00821AF6">
              <w:rPr>
                <w:rFonts w:cs="Tahoma"/>
                <w:sz w:val="20"/>
                <w:szCs w:val="20"/>
              </w:rPr>
              <w:t>wysoki</w:t>
            </w:r>
          </w:p>
        </w:tc>
        <w:tc>
          <w:tcPr>
            <w:tcW w:w="2756" w:type="dxa"/>
            <w:tcBorders>
              <w:top w:val="single" w:sz="4" w:space="0" w:color="auto"/>
              <w:left w:val="single" w:sz="4" w:space="0" w:color="auto"/>
              <w:bottom w:val="single" w:sz="4" w:space="0" w:color="auto"/>
              <w:right w:val="single" w:sz="4" w:space="0" w:color="auto"/>
            </w:tcBorders>
            <w:vAlign w:val="center"/>
          </w:tcPr>
          <w:p w14:paraId="51C08040" w14:textId="760041E3" w:rsidR="003A3B55" w:rsidRPr="00821AF6" w:rsidRDefault="00983CB5" w:rsidP="004B2765">
            <w:pPr>
              <w:spacing w:before="40" w:after="20" w:line="264" w:lineRule="auto"/>
              <w:ind w:firstLine="0"/>
              <w:jc w:val="left"/>
              <w:rPr>
                <w:rFonts w:cs="Tahoma"/>
                <w:sz w:val="20"/>
                <w:szCs w:val="20"/>
              </w:rPr>
            </w:pPr>
            <w:r w:rsidRPr="00821AF6">
              <w:rPr>
                <w:rFonts w:cs="Tahoma"/>
                <w:sz w:val="20"/>
                <w:szCs w:val="20"/>
              </w:rPr>
              <w:t>różnorodne działania Miasta promujące korzystanie</w:t>
            </w:r>
            <w:r w:rsidR="00803AF9">
              <w:rPr>
                <w:rFonts w:cs="Tahoma"/>
                <w:sz w:val="20"/>
                <w:szCs w:val="20"/>
              </w:rPr>
              <w:br/>
            </w:r>
            <w:r w:rsidRPr="00821AF6">
              <w:rPr>
                <w:rFonts w:cs="Tahoma"/>
                <w:sz w:val="20"/>
                <w:szCs w:val="20"/>
              </w:rPr>
              <w:t>z komunikacji miejskiej</w:t>
            </w:r>
          </w:p>
        </w:tc>
      </w:tr>
      <w:tr w:rsidR="0016243F" w:rsidRPr="00821AF6" w14:paraId="66F0E766" w14:textId="77777777" w:rsidTr="0016243F">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2683BB90" w14:textId="2DC9BAD0" w:rsidR="0016243F" w:rsidRPr="00821AF6" w:rsidRDefault="0016243F" w:rsidP="004B2765">
            <w:pPr>
              <w:spacing w:before="40" w:after="20" w:line="264" w:lineRule="auto"/>
              <w:ind w:firstLine="0"/>
              <w:jc w:val="left"/>
              <w:rPr>
                <w:rFonts w:cs="Tahoma"/>
                <w:sz w:val="20"/>
                <w:szCs w:val="20"/>
              </w:rPr>
            </w:pPr>
            <w:r w:rsidRPr="00821AF6">
              <w:rPr>
                <w:rFonts w:cs="Tahoma"/>
                <w:sz w:val="20"/>
                <w:szCs w:val="20"/>
              </w:rPr>
              <w:t xml:space="preserve">Brak </w:t>
            </w:r>
            <w:r>
              <w:rPr>
                <w:rFonts w:cs="Tahoma"/>
                <w:sz w:val="20"/>
                <w:szCs w:val="20"/>
              </w:rPr>
              <w:t>możliwości sfinansowania</w:t>
            </w:r>
            <w:r w:rsidRPr="00821AF6">
              <w:rPr>
                <w:rFonts w:cs="Tahoma"/>
                <w:sz w:val="20"/>
                <w:szCs w:val="20"/>
              </w:rPr>
              <w:t xml:space="preserve"> </w:t>
            </w:r>
            <w:r>
              <w:rPr>
                <w:rFonts w:cs="Tahoma"/>
                <w:sz w:val="20"/>
                <w:szCs w:val="20"/>
              </w:rPr>
              <w:t xml:space="preserve">przez Miasto pełnego programu wymiany taboru </w:t>
            </w:r>
          </w:p>
        </w:tc>
        <w:tc>
          <w:tcPr>
            <w:tcW w:w="1054" w:type="dxa"/>
            <w:tcBorders>
              <w:top w:val="single" w:sz="4" w:space="0" w:color="auto"/>
              <w:left w:val="single" w:sz="4" w:space="0" w:color="auto"/>
              <w:bottom w:val="single" w:sz="4" w:space="0" w:color="auto"/>
              <w:right w:val="single" w:sz="4" w:space="0" w:color="auto"/>
            </w:tcBorders>
            <w:vAlign w:val="center"/>
          </w:tcPr>
          <w:p w14:paraId="26BF525D" w14:textId="69A55599" w:rsidR="0016243F" w:rsidRPr="00821AF6" w:rsidRDefault="004B2765" w:rsidP="004B2765">
            <w:pPr>
              <w:spacing w:before="40" w:after="20" w:line="264" w:lineRule="auto"/>
              <w:ind w:firstLine="0"/>
              <w:jc w:val="center"/>
              <w:rPr>
                <w:rFonts w:cs="Tahoma"/>
                <w:sz w:val="20"/>
                <w:szCs w:val="20"/>
              </w:rPr>
            </w:pPr>
            <w:r>
              <w:rPr>
                <w:rFonts w:cs="Tahoma"/>
                <w:sz w:val="20"/>
                <w:szCs w:val="20"/>
              </w:rPr>
              <w:t>B</w:t>
            </w:r>
          </w:p>
        </w:tc>
        <w:tc>
          <w:tcPr>
            <w:tcW w:w="1055" w:type="dxa"/>
            <w:tcBorders>
              <w:top w:val="single" w:sz="4" w:space="0" w:color="auto"/>
              <w:left w:val="single" w:sz="4" w:space="0" w:color="auto"/>
              <w:bottom w:val="single" w:sz="4" w:space="0" w:color="auto"/>
              <w:right w:val="single" w:sz="4" w:space="0" w:color="auto"/>
            </w:tcBorders>
            <w:vAlign w:val="center"/>
          </w:tcPr>
          <w:p w14:paraId="14C78577" w14:textId="06D1CB58" w:rsidR="0016243F" w:rsidRPr="00821AF6" w:rsidRDefault="004B2765" w:rsidP="004B2765">
            <w:pPr>
              <w:spacing w:before="40" w:after="20" w:line="264" w:lineRule="auto"/>
              <w:ind w:firstLine="0"/>
              <w:jc w:val="center"/>
              <w:rPr>
                <w:rFonts w:cs="Tahoma"/>
                <w:sz w:val="20"/>
                <w:szCs w:val="20"/>
              </w:rPr>
            </w:pPr>
            <w:r>
              <w:rPr>
                <w:rFonts w:cs="Tahoma"/>
                <w:sz w:val="20"/>
                <w:szCs w:val="20"/>
              </w:rPr>
              <w:t>I</w:t>
            </w:r>
            <w:r w:rsidR="0016243F">
              <w:rPr>
                <w:rFonts w:cs="Tahoma"/>
                <w:sz w:val="20"/>
                <w:szCs w:val="20"/>
              </w:rPr>
              <w:t>V</w:t>
            </w:r>
          </w:p>
        </w:tc>
        <w:tc>
          <w:tcPr>
            <w:tcW w:w="1054" w:type="dxa"/>
            <w:tcBorders>
              <w:top w:val="single" w:sz="4" w:space="0" w:color="auto"/>
              <w:left w:val="single" w:sz="4" w:space="0" w:color="auto"/>
              <w:bottom w:val="single" w:sz="4" w:space="0" w:color="auto"/>
              <w:right w:val="single" w:sz="4" w:space="0" w:color="auto"/>
            </w:tcBorders>
            <w:vAlign w:val="center"/>
          </w:tcPr>
          <w:p w14:paraId="4557EB3D" w14:textId="0DDD2D79" w:rsidR="0016243F" w:rsidRPr="00821AF6" w:rsidRDefault="004B2765"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58E8682A" w14:textId="16970069" w:rsidR="0016243F" w:rsidRPr="00821AF6" w:rsidRDefault="0016243F" w:rsidP="004B2765">
            <w:pPr>
              <w:spacing w:before="40" w:after="20" w:line="264" w:lineRule="auto"/>
              <w:ind w:firstLine="0"/>
              <w:jc w:val="left"/>
              <w:rPr>
                <w:rFonts w:cs="Tahoma"/>
                <w:sz w:val="20"/>
                <w:szCs w:val="20"/>
              </w:rPr>
            </w:pPr>
            <w:r>
              <w:rPr>
                <w:rFonts w:cs="Tahoma"/>
                <w:sz w:val="20"/>
                <w:szCs w:val="20"/>
              </w:rPr>
              <w:t>korzystanie z zewnętrznych źródeł finansowania</w:t>
            </w:r>
            <w:r w:rsidR="004B2765">
              <w:rPr>
                <w:rFonts w:cs="Tahoma"/>
                <w:sz w:val="20"/>
                <w:szCs w:val="20"/>
              </w:rPr>
              <w:t>, zakupy realizowane też przez MPK</w:t>
            </w:r>
          </w:p>
        </w:tc>
      </w:tr>
      <w:tr w:rsidR="0016243F" w:rsidRPr="00821AF6" w14:paraId="37236EFC" w14:textId="77777777" w:rsidTr="0016243F">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0D8DD16F" w14:textId="1084A52C" w:rsidR="0016243F" w:rsidRPr="00821AF6" w:rsidRDefault="0016243F" w:rsidP="004B2765">
            <w:pPr>
              <w:spacing w:before="40" w:after="20" w:line="264" w:lineRule="auto"/>
              <w:ind w:firstLine="0"/>
              <w:jc w:val="left"/>
              <w:rPr>
                <w:rFonts w:cs="Tahoma"/>
                <w:sz w:val="20"/>
                <w:szCs w:val="20"/>
              </w:rPr>
            </w:pPr>
            <w:r>
              <w:rPr>
                <w:rFonts w:cs="Tahoma"/>
                <w:sz w:val="20"/>
                <w:szCs w:val="20"/>
              </w:rPr>
              <w:t xml:space="preserve">Brak możliwości </w:t>
            </w:r>
            <w:r w:rsidR="006F777B">
              <w:rPr>
                <w:rFonts w:cs="Tahoma"/>
                <w:sz w:val="20"/>
                <w:szCs w:val="20"/>
              </w:rPr>
              <w:t>finansowych</w:t>
            </w:r>
            <w:r w:rsidR="00803AF9">
              <w:rPr>
                <w:rFonts w:cs="Tahoma"/>
                <w:sz w:val="20"/>
                <w:szCs w:val="20"/>
              </w:rPr>
              <w:br/>
            </w:r>
            <w:r>
              <w:rPr>
                <w:rFonts w:cs="Tahoma"/>
                <w:sz w:val="20"/>
                <w:szCs w:val="20"/>
              </w:rPr>
              <w:t xml:space="preserve">zakupu jednostek taborowych przez </w:t>
            </w:r>
            <w:r w:rsidR="00C73F5E">
              <w:rPr>
                <w:rFonts w:cs="Tahoma"/>
                <w:sz w:val="20"/>
                <w:szCs w:val="20"/>
              </w:rPr>
              <w:t xml:space="preserve">MPK </w:t>
            </w:r>
          </w:p>
        </w:tc>
        <w:tc>
          <w:tcPr>
            <w:tcW w:w="1054" w:type="dxa"/>
            <w:tcBorders>
              <w:top w:val="single" w:sz="4" w:space="0" w:color="auto"/>
              <w:left w:val="single" w:sz="4" w:space="0" w:color="auto"/>
              <w:bottom w:val="single" w:sz="4" w:space="0" w:color="auto"/>
              <w:right w:val="single" w:sz="4" w:space="0" w:color="auto"/>
            </w:tcBorders>
            <w:vAlign w:val="center"/>
          </w:tcPr>
          <w:p w14:paraId="14A838D6" w14:textId="649057C9" w:rsidR="0016243F" w:rsidRDefault="004B2765" w:rsidP="004B2765">
            <w:pPr>
              <w:spacing w:before="40" w:after="20" w:line="264" w:lineRule="auto"/>
              <w:ind w:firstLine="0"/>
              <w:jc w:val="center"/>
              <w:rPr>
                <w:rFonts w:cs="Tahoma"/>
                <w:sz w:val="20"/>
                <w:szCs w:val="20"/>
              </w:rPr>
            </w:pPr>
            <w:r>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14993559" w14:textId="0D9CDBB8" w:rsidR="0016243F" w:rsidRDefault="0016243F" w:rsidP="004B2765">
            <w:pPr>
              <w:spacing w:before="40" w:after="20" w:line="264" w:lineRule="auto"/>
              <w:ind w:firstLine="0"/>
              <w:jc w:val="center"/>
              <w:rPr>
                <w:rFonts w:cs="Tahoma"/>
                <w:sz w:val="20"/>
                <w:szCs w:val="20"/>
              </w:rPr>
            </w:pPr>
            <w:r>
              <w:rPr>
                <w:rFonts w:cs="Tahoma"/>
                <w:sz w:val="20"/>
                <w:szCs w:val="20"/>
              </w:rPr>
              <w:t>I</w:t>
            </w:r>
          </w:p>
        </w:tc>
        <w:tc>
          <w:tcPr>
            <w:tcW w:w="1054" w:type="dxa"/>
            <w:tcBorders>
              <w:top w:val="single" w:sz="4" w:space="0" w:color="auto"/>
              <w:left w:val="single" w:sz="4" w:space="0" w:color="auto"/>
              <w:bottom w:val="single" w:sz="4" w:space="0" w:color="auto"/>
              <w:right w:val="single" w:sz="4" w:space="0" w:color="auto"/>
            </w:tcBorders>
            <w:vAlign w:val="center"/>
          </w:tcPr>
          <w:p w14:paraId="54A0555F" w14:textId="4DC39D5A" w:rsidR="0016243F" w:rsidRDefault="004B2765" w:rsidP="004B2765">
            <w:pPr>
              <w:spacing w:before="40" w:after="20" w:line="264" w:lineRule="auto"/>
              <w:ind w:firstLine="0"/>
              <w:jc w:val="center"/>
              <w:rPr>
                <w:rFonts w:cs="Tahoma"/>
                <w:sz w:val="20"/>
                <w:szCs w:val="20"/>
              </w:rPr>
            </w:pPr>
            <w:r>
              <w:rPr>
                <w:rFonts w:cs="Tahoma"/>
                <w:sz w:val="20"/>
                <w:szCs w:val="20"/>
              </w:rPr>
              <w:t>niski</w:t>
            </w:r>
          </w:p>
        </w:tc>
        <w:tc>
          <w:tcPr>
            <w:tcW w:w="2756" w:type="dxa"/>
            <w:tcBorders>
              <w:top w:val="single" w:sz="4" w:space="0" w:color="auto"/>
              <w:left w:val="single" w:sz="4" w:space="0" w:color="auto"/>
              <w:bottom w:val="single" w:sz="4" w:space="0" w:color="auto"/>
              <w:right w:val="single" w:sz="4" w:space="0" w:color="auto"/>
            </w:tcBorders>
            <w:vAlign w:val="center"/>
          </w:tcPr>
          <w:p w14:paraId="25F806A3" w14:textId="477C577A" w:rsidR="0016243F" w:rsidRDefault="00D23155" w:rsidP="004B2765">
            <w:pPr>
              <w:spacing w:before="40" w:after="20" w:line="264" w:lineRule="auto"/>
              <w:ind w:firstLine="0"/>
              <w:jc w:val="left"/>
              <w:rPr>
                <w:rFonts w:cs="Tahoma"/>
                <w:sz w:val="20"/>
                <w:szCs w:val="20"/>
              </w:rPr>
            </w:pPr>
            <w:r>
              <w:rPr>
                <w:rFonts w:cs="Tahoma"/>
                <w:sz w:val="20"/>
                <w:szCs w:val="20"/>
              </w:rPr>
              <w:t>s</w:t>
            </w:r>
            <w:r w:rsidR="0016243F">
              <w:rPr>
                <w:rFonts w:cs="Tahoma"/>
                <w:sz w:val="20"/>
                <w:szCs w:val="20"/>
              </w:rPr>
              <w:t>finansowanie zakupu</w:t>
            </w:r>
            <w:r w:rsidR="00803AF9">
              <w:rPr>
                <w:rFonts w:cs="Tahoma"/>
                <w:sz w:val="20"/>
                <w:szCs w:val="20"/>
              </w:rPr>
              <w:br/>
            </w:r>
            <w:r w:rsidR="0016243F">
              <w:rPr>
                <w:rFonts w:cs="Tahoma"/>
                <w:sz w:val="20"/>
                <w:szCs w:val="20"/>
              </w:rPr>
              <w:t>taboru przez Miasto</w:t>
            </w:r>
          </w:p>
        </w:tc>
      </w:tr>
      <w:tr w:rsidR="009C507B" w:rsidRPr="00821AF6" w14:paraId="5002866E"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34A684FB" w14:textId="64785DBC" w:rsidR="009C507B" w:rsidRPr="00821AF6" w:rsidRDefault="009C507B" w:rsidP="004B2765">
            <w:pPr>
              <w:spacing w:before="40" w:after="20" w:line="264" w:lineRule="auto"/>
              <w:ind w:firstLine="0"/>
              <w:jc w:val="left"/>
              <w:rPr>
                <w:rFonts w:cs="Tahoma"/>
                <w:sz w:val="20"/>
                <w:szCs w:val="20"/>
              </w:rPr>
            </w:pPr>
            <w:r w:rsidRPr="00821AF6">
              <w:rPr>
                <w:rFonts w:cs="Tahoma"/>
                <w:sz w:val="20"/>
                <w:szCs w:val="20"/>
              </w:rPr>
              <w:lastRenderedPageBreak/>
              <w:t xml:space="preserve">Brak </w:t>
            </w:r>
            <w:r w:rsidR="00BA4E62">
              <w:rPr>
                <w:rFonts w:cs="Tahoma"/>
                <w:sz w:val="20"/>
                <w:szCs w:val="20"/>
              </w:rPr>
              <w:t>możliwości sfinansowania</w:t>
            </w:r>
            <w:r w:rsidR="00461179" w:rsidRPr="00821AF6">
              <w:rPr>
                <w:rFonts w:cs="Tahoma"/>
                <w:sz w:val="20"/>
                <w:szCs w:val="20"/>
              </w:rPr>
              <w:t xml:space="preserve"> </w:t>
            </w:r>
            <w:r w:rsidR="0016243F">
              <w:rPr>
                <w:rFonts w:cs="Tahoma"/>
                <w:sz w:val="20"/>
                <w:szCs w:val="20"/>
              </w:rPr>
              <w:t>przez Miasto pełnej</w:t>
            </w:r>
            <w:r w:rsidR="00BA4E62">
              <w:rPr>
                <w:rFonts w:cs="Tahoma"/>
                <w:sz w:val="20"/>
                <w:szCs w:val="20"/>
              </w:rPr>
              <w:t xml:space="preserve"> </w:t>
            </w:r>
            <w:r w:rsidR="0016243F">
              <w:rPr>
                <w:rFonts w:cs="Tahoma"/>
                <w:sz w:val="20"/>
                <w:szCs w:val="20"/>
              </w:rPr>
              <w:t xml:space="preserve">rekompensaty dla </w:t>
            </w:r>
            <w:r w:rsidR="00C73F5E">
              <w:rPr>
                <w:rFonts w:cs="Tahoma"/>
                <w:sz w:val="20"/>
                <w:szCs w:val="20"/>
              </w:rPr>
              <w:t xml:space="preserve">MPK </w:t>
            </w:r>
          </w:p>
        </w:tc>
        <w:tc>
          <w:tcPr>
            <w:tcW w:w="1054" w:type="dxa"/>
            <w:tcBorders>
              <w:top w:val="single" w:sz="4" w:space="0" w:color="auto"/>
              <w:left w:val="single" w:sz="4" w:space="0" w:color="auto"/>
              <w:bottom w:val="single" w:sz="4" w:space="0" w:color="auto"/>
              <w:right w:val="single" w:sz="4" w:space="0" w:color="auto"/>
            </w:tcBorders>
            <w:vAlign w:val="center"/>
          </w:tcPr>
          <w:p w14:paraId="73486420" w14:textId="4E0F6CAC" w:rsidR="009C507B" w:rsidRPr="00821AF6" w:rsidRDefault="00D23155" w:rsidP="004B2765">
            <w:pPr>
              <w:spacing w:before="40" w:after="20" w:line="264" w:lineRule="auto"/>
              <w:ind w:firstLine="0"/>
              <w:jc w:val="center"/>
              <w:rPr>
                <w:rFonts w:cs="Tahoma"/>
                <w:sz w:val="20"/>
                <w:szCs w:val="20"/>
              </w:rPr>
            </w:pPr>
            <w:r>
              <w:rPr>
                <w:rFonts w:cs="Tahoma"/>
                <w:sz w:val="20"/>
                <w:szCs w:val="20"/>
              </w:rPr>
              <w:t>A</w:t>
            </w:r>
          </w:p>
        </w:tc>
        <w:tc>
          <w:tcPr>
            <w:tcW w:w="1055" w:type="dxa"/>
            <w:tcBorders>
              <w:top w:val="single" w:sz="4" w:space="0" w:color="auto"/>
              <w:left w:val="single" w:sz="4" w:space="0" w:color="auto"/>
              <w:bottom w:val="single" w:sz="4" w:space="0" w:color="auto"/>
              <w:right w:val="single" w:sz="4" w:space="0" w:color="auto"/>
            </w:tcBorders>
            <w:vAlign w:val="center"/>
          </w:tcPr>
          <w:p w14:paraId="3B3622C0" w14:textId="5F3E6E86" w:rsidR="009C507B" w:rsidRPr="00821AF6" w:rsidRDefault="0039122B" w:rsidP="004B2765">
            <w:pPr>
              <w:spacing w:before="40" w:after="20" w:line="264" w:lineRule="auto"/>
              <w:ind w:firstLine="0"/>
              <w:jc w:val="center"/>
              <w:rPr>
                <w:rFonts w:cs="Tahoma"/>
                <w:sz w:val="20"/>
                <w:szCs w:val="20"/>
              </w:rPr>
            </w:pPr>
            <w:r w:rsidRPr="00821AF6">
              <w:rPr>
                <w:rFonts w:cs="Tahoma"/>
                <w:sz w:val="20"/>
                <w:szCs w:val="20"/>
              </w:rPr>
              <w:t>I</w:t>
            </w:r>
            <w:r w:rsidR="00D23155">
              <w:rPr>
                <w:rFonts w:cs="Tahoma"/>
                <w:sz w:val="20"/>
                <w:szCs w:val="20"/>
              </w:rPr>
              <w:t>V</w:t>
            </w:r>
          </w:p>
        </w:tc>
        <w:tc>
          <w:tcPr>
            <w:tcW w:w="1054" w:type="dxa"/>
            <w:tcBorders>
              <w:top w:val="single" w:sz="4" w:space="0" w:color="auto"/>
              <w:left w:val="single" w:sz="4" w:space="0" w:color="auto"/>
              <w:bottom w:val="single" w:sz="4" w:space="0" w:color="auto"/>
              <w:right w:val="single" w:sz="4" w:space="0" w:color="auto"/>
            </w:tcBorders>
            <w:vAlign w:val="center"/>
          </w:tcPr>
          <w:p w14:paraId="26DFF4CC" w14:textId="455C8C5C" w:rsidR="009C507B" w:rsidRPr="00821AF6" w:rsidRDefault="00A51185" w:rsidP="004B2765">
            <w:pPr>
              <w:spacing w:before="40" w:after="20" w:line="264" w:lineRule="auto"/>
              <w:ind w:firstLine="0"/>
              <w:jc w:val="center"/>
              <w:rPr>
                <w:rFonts w:cs="Tahoma"/>
                <w:sz w:val="20"/>
                <w:szCs w:val="20"/>
              </w:rPr>
            </w:pPr>
            <w:r>
              <w:rPr>
                <w:rFonts w:cs="Tahoma"/>
                <w:sz w:val="20"/>
                <w:szCs w:val="20"/>
              </w:rPr>
              <w:t>niski</w:t>
            </w:r>
          </w:p>
        </w:tc>
        <w:tc>
          <w:tcPr>
            <w:tcW w:w="2756" w:type="dxa"/>
            <w:tcBorders>
              <w:top w:val="single" w:sz="4" w:space="0" w:color="auto"/>
              <w:left w:val="single" w:sz="4" w:space="0" w:color="auto"/>
              <w:bottom w:val="single" w:sz="4" w:space="0" w:color="auto"/>
              <w:right w:val="single" w:sz="4" w:space="0" w:color="auto"/>
            </w:tcBorders>
            <w:vAlign w:val="center"/>
          </w:tcPr>
          <w:p w14:paraId="78BEEFCD" w14:textId="5418B5E0" w:rsidR="009C507B" w:rsidRPr="00821AF6" w:rsidRDefault="00D23155" w:rsidP="004B2765">
            <w:pPr>
              <w:spacing w:before="40" w:after="20" w:line="264" w:lineRule="auto"/>
              <w:ind w:firstLine="0"/>
              <w:jc w:val="left"/>
              <w:rPr>
                <w:rFonts w:cs="Tahoma"/>
                <w:sz w:val="20"/>
                <w:szCs w:val="20"/>
              </w:rPr>
            </w:pPr>
            <w:r>
              <w:rPr>
                <w:rFonts w:cs="Tahoma"/>
                <w:sz w:val="20"/>
                <w:szCs w:val="20"/>
              </w:rPr>
              <w:t xml:space="preserve">zmniejszenie zakresu pracy eksploatacyjnej, </w:t>
            </w:r>
            <w:r w:rsidR="006F777B" w:rsidRPr="006F777B">
              <w:rPr>
                <w:rFonts w:cs="Tahoma"/>
                <w:sz w:val="20"/>
                <w:szCs w:val="20"/>
              </w:rPr>
              <w:t>alternatywne formy</w:t>
            </w:r>
            <w:r>
              <w:rPr>
                <w:rFonts w:cs="Tahoma"/>
                <w:sz w:val="20"/>
                <w:szCs w:val="20"/>
              </w:rPr>
              <w:t xml:space="preserve"> rekompensaty</w:t>
            </w:r>
          </w:p>
        </w:tc>
      </w:tr>
      <w:tr w:rsidR="00820EEC" w:rsidRPr="00821AF6" w14:paraId="21499DBB"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23E0E19E" w14:textId="52D3C0E3" w:rsidR="00820EEC" w:rsidRPr="00821AF6" w:rsidRDefault="00820EEC" w:rsidP="004B2765">
            <w:pPr>
              <w:spacing w:before="40" w:after="20" w:line="264" w:lineRule="auto"/>
              <w:ind w:firstLine="0"/>
              <w:jc w:val="left"/>
              <w:rPr>
                <w:rFonts w:cs="Tahoma"/>
                <w:sz w:val="20"/>
                <w:szCs w:val="20"/>
              </w:rPr>
            </w:pPr>
            <w:r w:rsidRPr="00821AF6">
              <w:rPr>
                <w:rFonts w:cs="Tahoma"/>
                <w:sz w:val="20"/>
                <w:szCs w:val="20"/>
              </w:rPr>
              <w:t>Opóźnienia w dostawach</w:t>
            </w:r>
            <w:r w:rsidR="006F777B">
              <w:rPr>
                <w:rFonts w:cs="Tahoma"/>
                <w:sz w:val="20"/>
                <w:szCs w:val="20"/>
              </w:rPr>
              <w:t xml:space="preserve"> </w:t>
            </w:r>
            <w:r w:rsidRPr="00821AF6">
              <w:rPr>
                <w:rFonts w:cs="Tahoma"/>
                <w:sz w:val="20"/>
                <w:szCs w:val="20"/>
              </w:rPr>
              <w:t xml:space="preserve">taboru </w:t>
            </w:r>
          </w:p>
        </w:tc>
        <w:tc>
          <w:tcPr>
            <w:tcW w:w="1054" w:type="dxa"/>
            <w:tcBorders>
              <w:top w:val="single" w:sz="4" w:space="0" w:color="auto"/>
              <w:left w:val="single" w:sz="4" w:space="0" w:color="auto"/>
              <w:bottom w:val="single" w:sz="4" w:space="0" w:color="auto"/>
              <w:right w:val="single" w:sz="4" w:space="0" w:color="auto"/>
            </w:tcBorders>
            <w:vAlign w:val="center"/>
          </w:tcPr>
          <w:p w14:paraId="053C1D81" w14:textId="77777777" w:rsidR="00820EEC" w:rsidRPr="00821AF6" w:rsidRDefault="00820EEC" w:rsidP="004B2765">
            <w:pPr>
              <w:spacing w:before="40" w:after="20" w:line="264" w:lineRule="auto"/>
              <w:ind w:firstLine="0"/>
              <w:jc w:val="center"/>
              <w:rPr>
                <w:rFonts w:cs="Tahoma"/>
                <w:sz w:val="20"/>
                <w:szCs w:val="20"/>
              </w:rPr>
            </w:pPr>
            <w:r w:rsidRPr="00821AF6">
              <w:rPr>
                <w:rFonts w:cs="Tahoma"/>
                <w:sz w:val="20"/>
                <w:szCs w:val="20"/>
              </w:rPr>
              <w:t>A</w:t>
            </w:r>
          </w:p>
        </w:tc>
        <w:tc>
          <w:tcPr>
            <w:tcW w:w="1055" w:type="dxa"/>
            <w:tcBorders>
              <w:top w:val="single" w:sz="4" w:space="0" w:color="auto"/>
              <w:left w:val="single" w:sz="4" w:space="0" w:color="auto"/>
              <w:bottom w:val="single" w:sz="4" w:space="0" w:color="auto"/>
              <w:right w:val="single" w:sz="4" w:space="0" w:color="auto"/>
            </w:tcBorders>
            <w:vAlign w:val="center"/>
          </w:tcPr>
          <w:p w14:paraId="6E448CB1" w14:textId="77777777" w:rsidR="00820EEC" w:rsidRPr="00821AF6" w:rsidRDefault="00820EEC"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56D6504B" w14:textId="77777777" w:rsidR="00820EEC" w:rsidRPr="00821AF6" w:rsidRDefault="00820EEC" w:rsidP="004B2765">
            <w:pPr>
              <w:spacing w:before="40" w:after="20" w:line="264" w:lineRule="auto"/>
              <w:ind w:firstLine="0"/>
              <w:jc w:val="center"/>
              <w:rPr>
                <w:rFonts w:cs="Tahoma"/>
                <w:sz w:val="20"/>
                <w:szCs w:val="20"/>
              </w:rPr>
            </w:pPr>
            <w:r w:rsidRPr="00821AF6">
              <w:rPr>
                <w:rFonts w:cs="Tahoma"/>
                <w:sz w:val="20"/>
                <w:szCs w:val="20"/>
              </w:rPr>
              <w:t>niski</w:t>
            </w:r>
          </w:p>
        </w:tc>
        <w:tc>
          <w:tcPr>
            <w:tcW w:w="2756" w:type="dxa"/>
            <w:tcBorders>
              <w:top w:val="single" w:sz="4" w:space="0" w:color="auto"/>
              <w:left w:val="single" w:sz="4" w:space="0" w:color="auto"/>
              <w:bottom w:val="single" w:sz="4" w:space="0" w:color="auto"/>
              <w:right w:val="single" w:sz="4" w:space="0" w:color="auto"/>
            </w:tcBorders>
            <w:vAlign w:val="center"/>
          </w:tcPr>
          <w:p w14:paraId="76D33FF5" w14:textId="77777777" w:rsidR="00820EEC" w:rsidRPr="00821AF6" w:rsidRDefault="00820EEC" w:rsidP="004B2765">
            <w:pPr>
              <w:spacing w:before="40" w:after="20" w:line="264" w:lineRule="auto"/>
              <w:ind w:firstLine="0"/>
              <w:jc w:val="left"/>
              <w:rPr>
                <w:rFonts w:cs="Tahoma"/>
                <w:sz w:val="20"/>
                <w:szCs w:val="20"/>
              </w:rPr>
            </w:pPr>
            <w:r w:rsidRPr="00821AF6">
              <w:rPr>
                <w:rFonts w:cs="Tahoma"/>
                <w:sz w:val="20"/>
                <w:szCs w:val="20"/>
              </w:rPr>
              <w:t>wyprzedzające ogłaszanie przetargów</w:t>
            </w:r>
          </w:p>
        </w:tc>
      </w:tr>
      <w:tr w:rsidR="009C507B" w:rsidRPr="00821AF6" w14:paraId="686ED1A1"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6A105ABA" w14:textId="2A1AD9BB" w:rsidR="009C507B" w:rsidRPr="00821AF6" w:rsidRDefault="009C507B" w:rsidP="004B2765">
            <w:pPr>
              <w:spacing w:before="40" w:after="20" w:line="264" w:lineRule="auto"/>
              <w:ind w:firstLine="0"/>
              <w:jc w:val="left"/>
              <w:rPr>
                <w:rFonts w:cs="Tahoma"/>
                <w:sz w:val="20"/>
                <w:szCs w:val="20"/>
              </w:rPr>
            </w:pPr>
            <w:r w:rsidRPr="00821AF6">
              <w:rPr>
                <w:rFonts w:cs="Tahoma"/>
                <w:sz w:val="20"/>
                <w:szCs w:val="20"/>
              </w:rPr>
              <w:t>Wyższe ceny oleju</w:t>
            </w:r>
            <w:r w:rsidR="009A6848" w:rsidRPr="00821AF6">
              <w:rPr>
                <w:rFonts w:cs="Tahoma"/>
                <w:sz w:val="20"/>
                <w:szCs w:val="20"/>
              </w:rPr>
              <w:br/>
            </w:r>
            <w:r w:rsidRPr="00821AF6">
              <w:rPr>
                <w:rFonts w:cs="Tahoma"/>
                <w:sz w:val="20"/>
                <w:szCs w:val="20"/>
              </w:rPr>
              <w:t>napędowego</w:t>
            </w:r>
            <w:r w:rsidR="00462293" w:rsidRPr="00821AF6">
              <w:rPr>
                <w:rFonts w:cs="Tahoma"/>
                <w:sz w:val="20"/>
                <w:szCs w:val="20"/>
              </w:rPr>
              <w:t xml:space="preserve"> </w:t>
            </w:r>
          </w:p>
        </w:tc>
        <w:tc>
          <w:tcPr>
            <w:tcW w:w="1054" w:type="dxa"/>
            <w:tcBorders>
              <w:top w:val="single" w:sz="4" w:space="0" w:color="auto"/>
              <w:left w:val="single" w:sz="4" w:space="0" w:color="auto"/>
              <w:bottom w:val="single" w:sz="4" w:space="0" w:color="auto"/>
              <w:right w:val="single" w:sz="4" w:space="0" w:color="auto"/>
            </w:tcBorders>
            <w:vAlign w:val="center"/>
          </w:tcPr>
          <w:p w14:paraId="10757A40"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B</w:t>
            </w:r>
          </w:p>
        </w:tc>
        <w:tc>
          <w:tcPr>
            <w:tcW w:w="1055" w:type="dxa"/>
            <w:tcBorders>
              <w:top w:val="single" w:sz="4" w:space="0" w:color="auto"/>
              <w:left w:val="single" w:sz="4" w:space="0" w:color="auto"/>
              <w:bottom w:val="single" w:sz="4" w:space="0" w:color="auto"/>
              <w:right w:val="single" w:sz="4" w:space="0" w:color="auto"/>
            </w:tcBorders>
            <w:vAlign w:val="center"/>
          </w:tcPr>
          <w:p w14:paraId="05DF9337"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6D1F4DAA" w14:textId="7D81AA1D" w:rsidR="009C507B"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64F364CC" w14:textId="77777777" w:rsidR="009C507B" w:rsidRPr="00821AF6" w:rsidRDefault="009C507B" w:rsidP="004B2765">
            <w:pPr>
              <w:spacing w:before="40" w:after="20" w:line="264" w:lineRule="auto"/>
              <w:ind w:firstLine="0"/>
              <w:jc w:val="left"/>
              <w:rPr>
                <w:rFonts w:cs="Tahoma"/>
                <w:sz w:val="20"/>
                <w:szCs w:val="20"/>
              </w:rPr>
            </w:pPr>
            <w:r w:rsidRPr="00821AF6">
              <w:rPr>
                <w:rFonts w:cs="Tahoma"/>
                <w:sz w:val="20"/>
                <w:szCs w:val="20"/>
              </w:rPr>
              <w:t>dywersyfikacja napędów</w:t>
            </w:r>
            <w:r w:rsidR="00252FF7" w:rsidRPr="00821AF6">
              <w:rPr>
                <w:rFonts w:cs="Tahoma"/>
                <w:sz w:val="20"/>
                <w:szCs w:val="20"/>
              </w:rPr>
              <w:br/>
            </w:r>
            <w:r w:rsidRPr="00821AF6">
              <w:rPr>
                <w:rFonts w:cs="Tahoma"/>
                <w:sz w:val="20"/>
                <w:szCs w:val="20"/>
              </w:rPr>
              <w:t>autobusów</w:t>
            </w:r>
          </w:p>
        </w:tc>
      </w:tr>
      <w:tr w:rsidR="00A14995" w:rsidRPr="00821AF6" w14:paraId="5A87341A" w14:textId="77777777" w:rsidTr="00775611">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55BFE7F6" w14:textId="77777777" w:rsidR="00A14995" w:rsidRDefault="00A14995" w:rsidP="00775611">
            <w:pPr>
              <w:spacing w:before="40" w:after="20" w:line="264" w:lineRule="auto"/>
              <w:ind w:firstLine="0"/>
              <w:jc w:val="left"/>
              <w:rPr>
                <w:rFonts w:cs="Tahoma"/>
                <w:sz w:val="20"/>
                <w:szCs w:val="20"/>
              </w:rPr>
            </w:pPr>
            <w:r>
              <w:rPr>
                <w:rFonts w:cs="Tahoma"/>
                <w:sz w:val="20"/>
                <w:szCs w:val="20"/>
              </w:rPr>
              <w:t>Wyższe ceny energii elektrycznej</w:t>
            </w:r>
          </w:p>
        </w:tc>
        <w:tc>
          <w:tcPr>
            <w:tcW w:w="1054" w:type="dxa"/>
            <w:tcBorders>
              <w:top w:val="single" w:sz="4" w:space="0" w:color="auto"/>
              <w:left w:val="single" w:sz="4" w:space="0" w:color="auto"/>
              <w:bottom w:val="single" w:sz="4" w:space="0" w:color="auto"/>
              <w:right w:val="single" w:sz="4" w:space="0" w:color="auto"/>
            </w:tcBorders>
            <w:vAlign w:val="center"/>
          </w:tcPr>
          <w:p w14:paraId="3E32ACFF" w14:textId="77777777" w:rsidR="00A14995" w:rsidRDefault="00A14995" w:rsidP="00775611">
            <w:pPr>
              <w:spacing w:before="40" w:after="20" w:line="264" w:lineRule="auto"/>
              <w:ind w:firstLine="0"/>
              <w:jc w:val="center"/>
              <w:rPr>
                <w:rFonts w:cs="Tahoma"/>
                <w:sz w:val="20"/>
                <w:szCs w:val="20"/>
              </w:rPr>
            </w:pPr>
            <w:r>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39238A4E" w14:textId="77777777" w:rsidR="00A14995" w:rsidRDefault="00A14995" w:rsidP="00775611">
            <w:pPr>
              <w:spacing w:before="40" w:after="20" w:line="264" w:lineRule="auto"/>
              <w:ind w:firstLine="0"/>
              <w:jc w:val="center"/>
              <w:rPr>
                <w:rFonts w:cs="Tahoma"/>
                <w:sz w:val="20"/>
                <w:szCs w:val="20"/>
              </w:rPr>
            </w:pPr>
            <w:r>
              <w:rPr>
                <w:rFonts w:cs="Tahoma"/>
                <w:sz w:val="20"/>
                <w:szCs w:val="20"/>
              </w:rPr>
              <w:t>II</w:t>
            </w:r>
          </w:p>
        </w:tc>
        <w:tc>
          <w:tcPr>
            <w:tcW w:w="1054" w:type="dxa"/>
            <w:tcBorders>
              <w:top w:val="single" w:sz="4" w:space="0" w:color="auto"/>
              <w:left w:val="single" w:sz="4" w:space="0" w:color="auto"/>
              <w:bottom w:val="single" w:sz="4" w:space="0" w:color="auto"/>
              <w:right w:val="single" w:sz="4" w:space="0" w:color="auto"/>
            </w:tcBorders>
            <w:vAlign w:val="center"/>
          </w:tcPr>
          <w:p w14:paraId="237D99BF" w14:textId="77777777" w:rsidR="00A14995" w:rsidRDefault="00A14995" w:rsidP="00775611">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247FEBD6" w14:textId="77777777" w:rsidR="00A14995" w:rsidRPr="00D23155" w:rsidRDefault="00A14995" w:rsidP="00775611">
            <w:pPr>
              <w:spacing w:before="40" w:after="20" w:line="264" w:lineRule="auto"/>
              <w:ind w:firstLine="0"/>
              <w:jc w:val="left"/>
              <w:rPr>
                <w:rFonts w:cs="Tahoma"/>
                <w:sz w:val="20"/>
                <w:szCs w:val="20"/>
              </w:rPr>
            </w:pPr>
            <w:r>
              <w:rPr>
                <w:rFonts w:cs="Tahoma"/>
                <w:sz w:val="20"/>
                <w:szCs w:val="20"/>
              </w:rPr>
              <w:t>głównie nocne ładowanie,</w:t>
            </w:r>
            <w:r>
              <w:rPr>
                <w:rFonts w:cs="Tahoma"/>
                <w:sz w:val="20"/>
                <w:szCs w:val="20"/>
              </w:rPr>
              <w:br/>
              <w:t>ograniczenie przewozów</w:t>
            </w:r>
            <w:r>
              <w:rPr>
                <w:rFonts w:cs="Tahoma"/>
                <w:sz w:val="20"/>
                <w:szCs w:val="20"/>
              </w:rPr>
              <w:br/>
              <w:t>taborem elektrycznym</w:t>
            </w:r>
          </w:p>
        </w:tc>
      </w:tr>
      <w:tr w:rsidR="00D23155" w:rsidRPr="00821AF6" w14:paraId="3A647223"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4354F430" w14:textId="65FF4BEC" w:rsidR="00D23155" w:rsidRPr="00821AF6" w:rsidRDefault="00D23155" w:rsidP="004B2765">
            <w:pPr>
              <w:spacing w:before="40" w:after="20" w:line="264" w:lineRule="auto"/>
              <w:ind w:firstLine="0"/>
              <w:jc w:val="left"/>
              <w:rPr>
                <w:rFonts w:cs="Tahoma"/>
                <w:sz w:val="20"/>
                <w:szCs w:val="20"/>
              </w:rPr>
            </w:pPr>
            <w:r>
              <w:rPr>
                <w:rFonts w:cs="Tahoma"/>
                <w:sz w:val="20"/>
                <w:szCs w:val="20"/>
              </w:rPr>
              <w:t>Wyższe ceny CNG</w:t>
            </w:r>
          </w:p>
        </w:tc>
        <w:tc>
          <w:tcPr>
            <w:tcW w:w="1054" w:type="dxa"/>
            <w:tcBorders>
              <w:top w:val="single" w:sz="4" w:space="0" w:color="auto"/>
              <w:left w:val="single" w:sz="4" w:space="0" w:color="auto"/>
              <w:bottom w:val="single" w:sz="4" w:space="0" w:color="auto"/>
              <w:right w:val="single" w:sz="4" w:space="0" w:color="auto"/>
            </w:tcBorders>
            <w:vAlign w:val="center"/>
          </w:tcPr>
          <w:p w14:paraId="2D28A59D" w14:textId="0E107A79" w:rsidR="00D23155" w:rsidRPr="00821AF6" w:rsidRDefault="00D23155" w:rsidP="004B2765">
            <w:pPr>
              <w:spacing w:before="40" w:after="20" w:line="264" w:lineRule="auto"/>
              <w:ind w:firstLine="0"/>
              <w:jc w:val="center"/>
              <w:rPr>
                <w:rFonts w:cs="Tahoma"/>
                <w:sz w:val="20"/>
                <w:szCs w:val="20"/>
              </w:rPr>
            </w:pPr>
            <w:r>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0B663927" w14:textId="2937305A" w:rsidR="00D23155" w:rsidRPr="00821AF6" w:rsidRDefault="00D23155" w:rsidP="004B2765">
            <w:pPr>
              <w:spacing w:before="40" w:after="20" w:line="264" w:lineRule="auto"/>
              <w:ind w:firstLine="0"/>
              <w:jc w:val="center"/>
              <w:rPr>
                <w:rFonts w:cs="Tahoma"/>
                <w:sz w:val="20"/>
                <w:szCs w:val="20"/>
              </w:rPr>
            </w:pPr>
            <w:r>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6BAB3AB9" w14:textId="43CBAF04" w:rsidR="00D23155" w:rsidRPr="00821AF6" w:rsidRDefault="00D23155"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22F8B5D5" w14:textId="78D4525F" w:rsidR="00D23155" w:rsidRPr="00821AF6" w:rsidRDefault="00D23155" w:rsidP="004B2765">
            <w:pPr>
              <w:spacing w:before="40" w:after="20" w:line="264" w:lineRule="auto"/>
              <w:ind w:firstLine="0"/>
              <w:jc w:val="left"/>
              <w:rPr>
                <w:rFonts w:cs="Tahoma"/>
                <w:sz w:val="20"/>
                <w:szCs w:val="20"/>
              </w:rPr>
            </w:pPr>
            <w:r w:rsidRPr="00D23155">
              <w:rPr>
                <w:rFonts w:cs="Tahoma"/>
                <w:sz w:val="20"/>
                <w:szCs w:val="20"/>
              </w:rPr>
              <w:t>dywersyfikacja napędów</w:t>
            </w:r>
            <w:r w:rsidRPr="00D23155">
              <w:rPr>
                <w:rFonts w:cs="Tahoma"/>
                <w:sz w:val="20"/>
                <w:szCs w:val="20"/>
              </w:rPr>
              <w:br/>
              <w:t>autobusów</w:t>
            </w:r>
            <w:r>
              <w:rPr>
                <w:rFonts w:cs="Tahoma"/>
                <w:sz w:val="20"/>
                <w:szCs w:val="20"/>
              </w:rPr>
              <w:t xml:space="preserve">, </w:t>
            </w:r>
            <w:r w:rsidR="009E65F3">
              <w:rPr>
                <w:rFonts w:cs="Tahoma"/>
                <w:sz w:val="20"/>
                <w:szCs w:val="20"/>
              </w:rPr>
              <w:t>ograniczenie</w:t>
            </w:r>
            <w:r>
              <w:rPr>
                <w:rFonts w:cs="Tahoma"/>
                <w:sz w:val="20"/>
                <w:szCs w:val="20"/>
              </w:rPr>
              <w:t xml:space="preserve"> przewozów taborem CNG</w:t>
            </w:r>
          </w:p>
        </w:tc>
      </w:tr>
      <w:tr w:rsidR="00EC728E" w:rsidRPr="00821AF6" w14:paraId="742B9F71" w14:textId="77777777" w:rsidTr="00A51185">
        <w:trPr>
          <w:cantSplit/>
          <w:jc w:val="center"/>
        </w:trPr>
        <w:tc>
          <w:tcPr>
            <w:tcW w:w="907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D62A90" w14:textId="2889BDBD" w:rsidR="00EC728E" w:rsidRPr="00821AF6" w:rsidRDefault="009F7F3E" w:rsidP="004B2765">
            <w:pPr>
              <w:spacing w:before="40" w:after="20" w:line="264" w:lineRule="auto"/>
              <w:ind w:firstLine="0"/>
              <w:jc w:val="center"/>
              <w:rPr>
                <w:rFonts w:cs="Tahoma"/>
                <w:sz w:val="20"/>
                <w:szCs w:val="20"/>
              </w:rPr>
            </w:pPr>
            <w:r w:rsidRPr="00821AF6">
              <w:rPr>
                <w:rFonts w:cs="Tahoma"/>
                <w:b/>
                <w:sz w:val="20"/>
                <w:szCs w:val="20"/>
              </w:rPr>
              <w:t xml:space="preserve">Wariant </w:t>
            </w:r>
            <w:r w:rsidR="00EC728E" w:rsidRPr="00821AF6">
              <w:rPr>
                <w:rFonts w:cs="Tahoma"/>
                <w:b/>
                <w:sz w:val="20"/>
                <w:szCs w:val="20"/>
              </w:rPr>
              <w:t>elektryczn</w:t>
            </w:r>
            <w:r w:rsidRPr="00821AF6">
              <w:rPr>
                <w:rFonts w:cs="Tahoma"/>
                <w:b/>
                <w:sz w:val="20"/>
                <w:szCs w:val="20"/>
              </w:rPr>
              <w:t>y</w:t>
            </w:r>
          </w:p>
        </w:tc>
      </w:tr>
      <w:tr w:rsidR="00CF73A9" w:rsidRPr="00821AF6" w14:paraId="7E892882"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6CDD781F" w14:textId="37C1849A" w:rsidR="00CF73A9" w:rsidRPr="00821AF6" w:rsidRDefault="00CF73A9" w:rsidP="004B2765">
            <w:pPr>
              <w:spacing w:before="40" w:after="20" w:line="264" w:lineRule="auto"/>
              <w:ind w:firstLine="0"/>
              <w:jc w:val="left"/>
              <w:rPr>
                <w:rFonts w:cs="Tahoma"/>
                <w:sz w:val="20"/>
                <w:szCs w:val="20"/>
              </w:rPr>
            </w:pPr>
            <w:r w:rsidRPr="00821AF6">
              <w:rPr>
                <w:rFonts w:cs="Tahoma"/>
                <w:sz w:val="20"/>
                <w:szCs w:val="20"/>
              </w:rPr>
              <w:t>Długotrwałe utrzymywanie się niskiego popytu na przewozy</w:t>
            </w:r>
            <w:r w:rsidR="009A6848" w:rsidRPr="00821AF6">
              <w:rPr>
                <w:rFonts w:cs="Tahoma"/>
                <w:sz w:val="20"/>
                <w:szCs w:val="20"/>
              </w:rPr>
              <w:br/>
            </w:r>
            <w:r w:rsidRPr="00821AF6">
              <w:rPr>
                <w:rFonts w:cs="Tahoma"/>
                <w:sz w:val="20"/>
                <w:szCs w:val="20"/>
              </w:rPr>
              <w:t>komunikacji miejskiej</w:t>
            </w:r>
          </w:p>
        </w:tc>
        <w:tc>
          <w:tcPr>
            <w:tcW w:w="1054" w:type="dxa"/>
            <w:tcBorders>
              <w:top w:val="single" w:sz="4" w:space="0" w:color="auto"/>
              <w:left w:val="single" w:sz="4" w:space="0" w:color="auto"/>
              <w:bottom w:val="single" w:sz="4" w:space="0" w:color="auto"/>
              <w:right w:val="single" w:sz="4" w:space="0" w:color="auto"/>
            </w:tcBorders>
            <w:vAlign w:val="center"/>
          </w:tcPr>
          <w:p w14:paraId="075633A7" w14:textId="77777777" w:rsidR="00CF73A9" w:rsidRPr="00821AF6" w:rsidRDefault="00CF73A9" w:rsidP="004B2765">
            <w:pPr>
              <w:spacing w:before="40" w:after="20" w:line="264" w:lineRule="auto"/>
              <w:ind w:firstLine="0"/>
              <w:jc w:val="center"/>
              <w:rPr>
                <w:rFonts w:cs="Tahoma"/>
                <w:sz w:val="20"/>
                <w:szCs w:val="20"/>
              </w:rPr>
            </w:pPr>
            <w:r w:rsidRPr="00821AF6">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110840D9" w14:textId="77777777" w:rsidR="00CF73A9" w:rsidRPr="00821AF6" w:rsidRDefault="00CF73A9"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04AC7AA2" w14:textId="77777777" w:rsidR="00CF73A9" w:rsidRPr="00821AF6" w:rsidRDefault="00CF73A9" w:rsidP="004B2765">
            <w:pPr>
              <w:spacing w:before="40" w:after="20" w:line="264" w:lineRule="auto"/>
              <w:ind w:firstLine="0"/>
              <w:jc w:val="center"/>
              <w:rPr>
                <w:rFonts w:cs="Tahoma"/>
                <w:sz w:val="20"/>
                <w:szCs w:val="20"/>
              </w:rPr>
            </w:pPr>
            <w:r w:rsidRPr="00821AF6">
              <w:rPr>
                <w:rFonts w:cs="Tahoma"/>
                <w:sz w:val="20"/>
                <w:szCs w:val="20"/>
              </w:rPr>
              <w:t>wysoki</w:t>
            </w:r>
          </w:p>
        </w:tc>
        <w:tc>
          <w:tcPr>
            <w:tcW w:w="2756" w:type="dxa"/>
            <w:tcBorders>
              <w:top w:val="single" w:sz="4" w:space="0" w:color="auto"/>
              <w:left w:val="single" w:sz="4" w:space="0" w:color="auto"/>
              <w:bottom w:val="single" w:sz="4" w:space="0" w:color="auto"/>
              <w:right w:val="single" w:sz="4" w:space="0" w:color="auto"/>
            </w:tcBorders>
            <w:vAlign w:val="center"/>
          </w:tcPr>
          <w:p w14:paraId="67E95C5C" w14:textId="77777777" w:rsidR="00CF73A9" w:rsidRPr="00821AF6" w:rsidRDefault="00CF73A9" w:rsidP="004B2765">
            <w:pPr>
              <w:spacing w:before="40" w:after="20" w:line="264" w:lineRule="auto"/>
              <w:ind w:firstLine="0"/>
              <w:jc w:val="left"/>
              <w:rPr>
                <w:rFonts w:cs="Tahoma"/>
                <w:sz w:val="20"/>
                <w:szCs w:val="20"/>
              </w:rPr>
            </w:pPr>
            <w:r w:rsidRPr="00821AF6">
              <w:rPr>
                <w:rFonts w:cs="Tahoma"/>
                <w:sz w:val="20"/>
                <w:szCs w:val="20"/>
              </w:rPr>
              <w:t>różnorodne działania Miasta promujące korzystanie z komunikacji miejskiej</w:t>
            </w:r>
          </w:p>
        </w:tc>
      </w:tr>
      <w:tr w:rsidR="009C507B" w:rsidRPr="00821AF6" w14:paraId="479434E9"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489096AE" w14:textId="628DBCFC" w:rsidR="009C507B" w:rsidRPr="00821AF6" w:rsidRDefault="00A51185" w:rsidP="004B2765">
            <w:pPr>
              <w:spacing w:before="40" w:after="20" w:line="264" w:lineRule="auto"/>
              <w:ind w:firstLine="0"/>
              <w:jc w:val="left"/>
              <w:rPr>
                <w:rFonts w:cs="Tahoma"/>
                <w:sz w:val="20"/>
                <w:szCs w:val="20"/>
              </w:rPr>
            </w:pPr>
            <w:r w:rsidRPr="00A51185">
              <w:rPr>
                <w:rFonts w:cs="Tahoma"/>
                <w:sz w:val="20"/>
                <w:szCs w:val="20"/>
              </w:rPr>
              <w:t xml:space="preserve">Brak możliwości sfinansowania przez Miasto pełnego </w:t>
            </w:r>
            <w:r w:rsidR="006F777B" w:rsidRPr="006F777B">
              <w:rPr>
                <w:rFonts w:cs="Tahoma"/>
                <w:sz w:val="20"/>
                <w:szCs w:val="20"/>
              </w:rPr>
              <w:t>programu wymiany taboru</w:t>
            </w:r>
          </w:p>
        </w:tc>
        <w:tc>
          <w:tcPr>
            <w:tcW w:w="1054" w:type="dxa"/>
            <w:tcBorders>
              <w:top w:val="single" w:sz="4" w:space="0" w:color="auto"/>
              <w:left w:val="single" w:sz="4" w:space="0" w:color="auto"/>
              <w:bottom w:val="single" w:sz="4" w:space="0" w:color="auto"/>
              <w:right w:val="single" w:sz="4" w:space="0" w:color="auto"/>
            </w:tcBorders>
            <w:vAlign w:val="center"/>
          </w:tcPr>
          <w:p w14:paraId="6DF168F3" w14:textId="29D0D457" w:rsidR="009C507B" w:rsidRPr="00821AF6" w:rsidRDefault="00A51185" w:rsidP="004B2765">
            <w:pPr>
              <w:spacing w:before="40" w:after="20" w:line="264" w:lineRule="auto"/>
              <w:ind w:firstLine="0"/>
              <w:jc w:val="center"/>
              <w:rPr>
                <w:rFonts w:cs="Tahoma"/>
                <w:sz w:val="20"/>
                <w:szCs w:val="20"/>
              </w:rPr>
            </w:pPr>
            <w:r>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61542704" w14:textId="03EA343E"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V</w:t>
            </w:r>
          </w:p>
        </w:tc>
        <w:tc>
          <w:tcPr>
            <w:tcW w:w="1054" w:type="dxa"/>
            <w:tcBorders>
              <w:top w:val="single" w:sz="4" w:space="0" w:color="auto"/>
              <w:left w:val="single" w:sz="4" w:space="0" w:color="auto"/>
              <w:bottom w:val="single" w:sz="4" w:space="0" w:color="auto"/>
              <w:right w:val="single" w:sz="4" w:space="0" w:color="auto"/>
            </w:tcBorders>
            <w:vAlign w:val="center"/>
          </w:tcPr>
          <w:p w14:paraId="74699E4A" w14:textId="54BC0F6F" w:rsidR="009C507B" w:rsidRPr="00821AF6" w:rsidRDefault="00CF73A9" w:rsidP="004B2765">
            <w:pPr>
              <w:spacing w:before="40" w:after="20" w:line="264" w:lineRule="auto"/>
              <w:ind w:firstLine="0"/>
              <w:jc w:val="center"/>
              <w:rPr>
                <w:rFonts w:cs="Tahoma"/>
                <w:sz w:val="20"/>
                <w:szCs w:val="20"/>
              </w:rPr>
            </w:pPr>
            <w:r w:rsidRPr="00821AF6">
              <w:rPr>
                <w:rFonts w:cs="Tahoma"/>
                <w:sz w:val="20"/>
                <w:szCs w:val="20"/>
              </w:rPr>
              <w:t>bardzo</w:t>
            </w:r>
            <w:r w:rsidRPr="00821AF6">
              <w:rPr>
                <w:rFonts w:cs="Tahoma"/>
                <w:sz w:val="20"/>
                <w:szCs w:val="20"/>
              </w:rPr>
              <w:br/>
            </w:r>
            <w:r w:rsidR="009C507B" w:rsidRPr="00821AF6">
              <w:rPr>
                <w:rFonts w:cs="Tahoma"/>
                <w:sz w:val="20"/>
                <w:szCs w:val="20"/>
              </w:rPr>
              <w:t>wysoki</w:t>
            </w:r>
          </w:p>
        </w:tc>
        <w:tc>
          <w:tcPr>
            <w:tcW w:w="2756" w:type="dxa"/>
            <w:tcBorders>
              <w:top w:val="single" w:sz="4" w:space="0" w:color="auto"/>
              <w:left w:val="single" w:sz="4" w:space="0" w:color="auto"/>
              <w:bottom w:val="single" w:sz="4" w:space="0" w:color="auto"/>
              <w:right w:val="single" w:sz="4" w:space="0" w:color="auto"/>
            </w:tcBorders>
            <w:vAlign w:val="center"/>
          </w:tcPr>
          <w:p w14:paraId="12EA74EC" w14:textId="1FA2FBD7" w:rsidR="009C507B" w:rsidRPr="00821AF6" w:rsidRDefault="006F777B" w:rsidP="004B2765">
            <w:pPr>
              <w:spacing w:before="40" w:after="20" w:line="264" w:lineRule="auto"/>
              <w:ind w:firstLine="0"/>
              <w:jc w:val="left"/>
              <w:rPr>
                <w:rFonts w:cs="Tahoma"/>
                <w:sz w:val="20"/>
                <w:szCs w:val="20"/>
              </w:rPr>
            </w:pPr>
            <w:r w:rsidRPr="006F777B">
              <w:rPr>
                <w:rFonts w:cs="Tahoma"/>
                <w:sz w:val="20"/>
                <w:szCs w:val="20"/>
              </w:rPr>
              <w:t>korzystanie z instrumentów wsparcia krajowych i europejskich oraz z zewnętrznych źródeł finansowania</w:t>
            </w:r>
          </w:p>
        </w:tc>
      </w:tr>
      <w:tr w:rsidR="006F777B" w:rsidRPr="00821AF6" w14:paraId="0B0F2BB8" w14:textId="77777777" w:rsidTr="00180C04">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1DB3C952" w14:textId="4740D187" w:rsidR="006F777B" w:rsidRPr="00821AF6" w:rsidRDefault="006F777B" w:rsidP="00A14995">
            <w:pPr>
              <w:spacing w:before="40" w:after="20" w:line="264" w:lineRule="auto"/>
              <w:ind w:firstLine="0"/>
              <w:jc w:val="left"/>
              <w:rPr>
                <w:rFonts w:cs="Tahoma"/>
                <w:sz w:val="20"/>
                <w:szCs w:val="20"/>
              </w:rPr>
            </w:pPr>
            <w:r>
              <w:rPr>
                <w:rFonts w:cs="Tahoma"/>
                <w:sz w:val="20"/>
                <w:szCs w:val="20"/>
              </w:rPr>
              <w:t xml:space="preserve">Brak możliwości finansowych zakupu jednostek taborowych przez </w:t>
            </w:r>
            <w:r w:rsidR="00C73F5E">
              <w:rPr>
                <w:rFonts w:cs="Tahoma"/>
                <w:sz w:val="20"/>
                <w:szCs w:val="20"/>
              </w:rPr>
              <w:t xml:space="preserve">MPK </w:t>
            </w:r>
          </w:p>
        </w:tc>
        <w:tc>
          <w:tcPr>
            <w:tcW w:w="1054" w:type="dxa"/>
            <w:tcBorders>
              <w:top w:val="single" w:sz="4" w:space="0" w:color="auto"/>
              <w:left w:val="single" w:sz="4" w:space="0" w:color="auto"/>
              <w:bottom w:val="single" w:sz="4" w:space="0" w:color="auto"/>
              <w:right w:val="single" w:sz="4" w:space="0" w:color="auto"/>
            </w:tcBorders>
            <w:vAlign w:val="center"/>
          </w:tcPr>
          <w:p w14:paraId="153F136D" w14:textId="538B56A5" w:rsidR="006F777B" w:rsidRDefault="00A14995" w:rsidP="004B2765">
            <w:pPr>
              <w:spacing w:before="40" w:after="20" w:line="264" w:lineRule="auto"/>
              <w:ind w:firstLine="0"/>
              <w:jc w:val="center"/>
              <w:rPr>
                <w:rFonts w:cs="Tahoma"/>
                <w:sz w:val="20"/>
                <w:szCs w:val="20"/>
              </w:rPr>
            </w:pPr>
            <w:r>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2FD8FEC3" w14:textId="6FFE18C8" w:rsidR="006F777B" w:rsidRDefault="00A14995" w:rsidP="004B2765">
            <w:pPr>
              <w:spacing w:before="40" w:after="20" w:line="264" w:lineRule="auto"/>
              <w:ind w:firstLine="0"/>
              <w:jc w:val="center"/>
              <w:rPr>
                <w:rFonts w:cs="Tahoma"/>
                <w:sz w:val="20"/>
                <w:szCs w:val="20"/>
              </w:rPr>
            </w:pPr>
            <w:r>
              <w:rPr>
                <w:rFonts w:cs="Tahoma"/>
                <w:sz w:val="20"/>
                <w:szCs w:val="20"/>
              </w:rPr>
              <w:t>I</w:t>
            </w:r>
          </w:p>
        </w:tc>
        <w:tc>
          <w:tcPr>
            <w:tcW w:w="1054" w:type="dxa"/>
            <w:tcBorders>
              <w:top w:val="single" w:sz="4" w:space="0" w:color="auto"/>
              <w:left w:val="single" w:sz="4" w:space="0" w:color="auto"/>
              <w:bottom w:val="single" w:sz="4" w:space="0" w:color="auto"/>
              <w:right w:val="single" w:sz="4" w:space="0" w:color="auto"/>
            </w:tcBorders>
            <w:vAlign w:val="center"/>
          </w:tcPr>
          <w:p w14:paraId="32B2413A" w14:textId="45380342" w:rsidR="006F777B" w:rsidRDefault="00A14995" w:rsidP="004B2765">
            <w:pPr>
              <w:spacing w:before="40" w:after="20" w:line="264" w:lineRule="auto"/>
              <w:ind w:firstLine="0"/>
              <w:jc w:val="center"/>
              <w:rPr>
                <w:rFonts w:cs="Tahoma"/>
                <w:sz w:val="20"/>
                <w:szCs w:val="20"/>
              </w:rPr>
            </w:pPr>
            <w:r>
              <w:rPr>
                <w:rFonts w:cs="Tahoma"/>
                <w:sz w:val="20"/>
                <w:szCs w:val="20"/>
              </w:rPr>
              <w:t>niski</w:t>
            </w:r>
          </w:p>
        </w:tc>
        <w:tc>
          <w:tcPr>
            <w:tcW w:w="2756" w:type="dxa"/>
            <w:tcBorders>
              <w:top w:val="single" w:sz="4" w:space="0" w:color="auto"/>
              <w:left w:val="single" w:sz="4" w:space="0" w:color="auto"/>
              <w:bottom w:val="single" w:sz="4" w:space="0" w:color="auto"/>
              <w:right w:val="single" w:sz="4" w:space="0" w:color="auto"/>
            </w:tcBorders>
            <w:vAlign w:val="center"/>
          </w:tcPr>
          <w:p w14:paraId="7B7D255C" w14:textId="581B6274" w:rsidR="006F777B" w:rsidRDefault="006F777B" w:rsidP="004B2765">
            <w:pPr>
              <w:spacing w:before="40" w:after="20" w:line="264" w:lineRule="auto"/>
              <w:ind w:firstLine="0"/>
              <w:jc w:val="left"/>
              <w:rPr>
                <w:rFonts w:cs="Tahoma"/>
                <w:sz w:val="20"/>
                <w:szCs w:val="20"/>
              </w:rPr>
            </w:pPr>
            <w:r>
              <w:rPr>
                <w:rFonts w:cs="Tahoma"/>
                <w:sz w:val="20"/>
                <w:szCs w:val="20"/>
              </w:rPr>
              <w:t>sfinansowanie zakupu</w:t>
            </w:r>
            <w:r w:rsidR="00803AF9">
              <w:rPr>
                <w:rFonts w:cs="Tahoma"/>
                <w:sz w:val="20"/>
                <w:szCs w:val="20"/>
              </w:rPr>
              <w:br/>
            </w:r>
            <w:r>
              <w:rPr>
                <w:rFonts w:cs="Tahoma"/>
                <w:sz w:val="20"/>
                <w:szCs w:val="20"/>
              </w:rPr>
              <w:t>taboru przez Miasto</w:t>
            </w:r>
          </w:p>
        </w:tc>
      </w:tr>
      <w:tr w:rsidR="006F777B" w:rsidRPr="00821AF6" w14:paraId="5388A7E8" w14:textId="77777777" w:rsidTr="00180C04">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614C7315" w14:textId="1CB30807" w:rsidR="006F777B" w:rsidRPr="00821AF6" w:rsidRDefault="006F777B" w:rsidP="00A14995">
            <w:pPr>
              <w:spacing w:before="40" w:after="20" w:line="264" w:lineRule="auto"/>
              <w:ind w:firstLine="0"/>
              <w:jc w:val="left"/>
              <w:rPr>
                <w:rFonts w:cs="Tahoma"/>
                <w:sz w:val="20"/>
                <w:szCs w:val="20"/>
              </w:rPr>
            </w:pPr>
            <w:r w:rsidRPr="00821AF6">
              <w:rPr>
                <w:rFonts w:cs="Tahoma"/>
                <w:sz w:val="20"/>
                <w:szCs w:val="20"/>
              </w:rPr>
              <w:t xml:space="preserve">Brak </w:t>
            </w:r>
            <w:r>
              <w:rPr>
                <w:rFonts w:cs="Tahoma"/>
                <w:sz w:val="20"/>
                <w:szCs w:val="20"/>
              </w:rPr>
              <w:t>możliwości sfinansowania</w:t>
            </w:r>
            <w:r w:rsidRPr="00821AF6">
              <w:rPr>
                <w:rFonts w:cs="Tahoma"/>
                <w:sz w:val="20"/>
                <w:szCs w:val="20"/>
              </w:rPr>
              <w:t xml:space="preserve"> </w:t>
            </w:r>
            <w:r>
              <w:rPr>
                <w:rFonts w:cs="Tahoma"/>
                <w:sz w:val="20"/>
                <w:szCs w:val="20"/>
              </w:rPr>
              <w:t xml:space="preserve">przez Miasto pełnej rekompensaty dla </w:t>
            </w:r>
            <w:r w:rsidR="00C73F5E">
              <w:rPr>
                <w:rFonts w:cs="Tahoma"/>
                <w:sz w:val="20"/>
                <w:szCs w:val="20"/>
              </w:rPr>
              <w:t xml:space="preserve">MPK </w:t>
            </w:r>
          </w:p>
        </w:tc>
        <w:tc>
          <w:tcPr>
            <w:tcW w:w="1054" w:type="dxa"/>
            <w:tcBorders>
              <w:top w:val="single" w:sz="4" w:space="0" w:color="auto"/>
              <w:left w:val="single" w:sz="4" w:space="0" w:color="auto"/>
              <w:bottom w:val="single" w:sz="4" w:space="0" w:color="auto"/>
              <w:right w:val="single" w:sz="4" w:space="0" w:color="auto"/>
            </w:tcBorders>
            <w:vAlign w:val="center"/>
          </w:tcPr>
          <w:p w14:paraId="4CE7D48E" w14:textId="77777777" w:rsidR="006F777B" w:rsidRPr="00821AF6" w:rsidRDefault="006F777B" w:rsidP="004B2765">
            <w:pPr>
              <w:spacing w:before="40" w:after="20" w:line="264" w:lineRule="auto"/>
              <w:ind w:firstLine="0"/>
              <w:jc w:val="center"/>
              <w:rPr>
                <w:rFonts w:cs="Tahoma"/>
                <w:sz w:val="20"/>
                <w:szCs w:val="20"/>
              </w:rPr>
            </w:pPr>
            <w:r>
              <w:rPr>
                <w:rFonts w:cs="Tahoma"/>
                <w:sz w:val="20"/>
                <w:szCs w:val="20"/>
              </w:rPr>
              <w:t>A</w:t>
            </w:r>
          </w:p>
        </w:tc>
        <w:tc>
          <w:tcPr>
            <w:tcW w:w="1055" w:type="dxa"/>
            <w:tcBorders>
              <w:top w:val="single" w:sz="4" w:space="0" w:color="auto"/>
              <w:left w:val="single" w:sz="4" w:space="0" w:color="auto"/>
              <w:bottom w:val="single" w:sz="4" w:space="0" w:color="auto"/>
              <w:right w:val="single" w:sz="4" w:space="0" w:color="auto"/>
            </w:tcBorders>
            <w:vAlign w:val="center"/>
          </w:tcPr>
          <w:p w14:paraId="74D222F3" w14:textId="77777777" w:rsidR="006F777B" w:rsidRPr="00821AF6" w:rsidRDefault="006F777B" w:rsidP="004B2765">
            <w:pPr>
              <w:spacing w:before="40" w:after="20" w:line="264" w:lineRule="auto"/>
              <w:ind w:firstLine="0"/>
              <w:jc w:val="center"/>
              <w:rPr>
                <w:rFonts w:cs="Tahoma"/>
                <w:sz w:val="20"/>
                <w:szCs w:val="20"/>
              </w:rPr>
            </w:pPr>
            <w:r w:rsidRPr="00821AF6">
              <w:rPr>
                <w:rFonts w:cs="Tahoma"/>
                <w:sz w:val="20"/>
                <w:szCs w:val="20"/>
              </w:rPr>
              <w:t>I</w:t>
            </w:r>
            <w:r>
              <w:rPr>
                <w:rFonts w:cs="Tahoma"/>
                <w:sz w:val="20"/>
                <w:szCs w:val="20"/>
              </w:rPr>
              <w:t>V</w:t>
            </w:r>
          </w:p>
        </w:tc>
        <w:tc>
          <w:tcPr>
            <w:tcW w:w="1054" w:type="dxa"/>
            <w:tcBorders>
              <w:top w:val="single" w:sz="4" w:space="0" w:color="auto"/>
              <w:left w:val="single" w:sz="4" w:space="0" w:color="auto"/>
              <w:bottom w:val="single" w:sz="4" w:space="0" w:color="auto"/>
              <w:right w:val="single" w:sz="4" w:space="0" w:color="auto"/>
            </w:tcBorders>
            <w:vAlign w:val="center"/>
          </w:tcPr>
          <w:p w14:paraId="3C93BC8A" w14:textId="77777777" w:rsidR="006F777B" w:rsidRPr="00821AF6" w:rsidRDefault="006F777B" w:rsidP="004B2765">
            <w:pPr>
              <w:spacing w:before="40" w:after="20" w:line="264" w:lineRule="auto"/>
              <w:ind w:firstLine="0"/>
              <w:jc w:val="center"/>
              <w:rPr>
                <w:rFonts w:cs="Tahoma"/>
                <w:sz w:val="20"/>
                <w:szCs w:val="20"/>
              </w:rPr>
            </w:pPr>
            <w:r>
              <w:rPr>
                <w:rFonts w:cs="Tahoma"/>
                <w:sz w:val="20"/>
                <w:szCs w:val="20"/>
              </w:rPr>
              <w:t>niski</w:t>
            </w:r>
          </w:p>
        </w:tc>
        <w:tc>
          <w:tcPr>
            <w:tcW w:w="2756" w:type="dxa"/>
            <w:tcBorders>
              <w:top w:val="single" w:sz="4" w:space="0" w:color="auto"/>
              <w:left w:val="single" w:sz="4" w:space="0" w:color="auto"/>
              <w:bottom w:val="single" w:sz="4" w:space="0" w:color="auto"/>
              <w:right w:val="single" w:sz="4" w:space="0" w:color="auto"/>
            </w:tcBorders>
            <w:vAlign w:val="center"/>
          </w:tcPr>
          <w:p w14:paraId="0AB4C224" w14:textId="06C93373" w:rsidR="006F777B" w:rsidRPr="00821AF6" w:rsidRDefault="006F777B" w:rsidP="004B2765">
            <w:pPr>
              <w:spacing w:before="40" w:after="20" w:line="264" w:lineRule="auto"/>
              <w:ind w:firstLine="0"/>
              <w:jc w:val="left"/>
              <w:rPr>
                <w:rFonts w:cs="Tahoma"/>
                <w:sz w:val="20"/>
                <w:szCs w:val="20"/>
              </w:rPr>
            </w:pPr>
            <w:r>
              <w:rPr>
                <w:rFonts w:cs="Tahoma"/>
                <w:sz w:val="20"/>
                <w:szCs w:val="20"/>
              </w:rPr>
              <w:t xml:space="preserve">zmniejszenie zakresu pracy eksploatacyjnej, </w:t>
            </w:r>
            <w:r w:rsidRPr="006F777B">
              <w:rPr>
                <w:rFonts w:cs="Tahoma"/>
                <w:sz w:val="20"/>
                <w:szCs w:val="20"/>
              </w:rPr>
              <w:t xml:space="preserve">alternatywne formy </w:t>
            </w:r>
            <w:r>
              <w:rPr>
                <w:rFonts w:cs="Tahoma"/>
                <w:sz w:val="20"/>
                <w:szCs w:val="20"/>
              </w:rPr>
              <w:t>rekompensaty</w:t>
            </w:r>
          </w:p>
        </w:tc>
      </w:tr>
      <w:tr w:rsidR="009C507B" w:rsidRPr="00821AF6" w14:paraId="0B0F3A1D"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0A458126" w14:textId="6A21C1F0" w:rsidR="009C507B" w:rsidRPr="00821AF6" w:rsidRDefault="000E7555" w:rsidP="004B2765">
            <w:pPr>
              <w:spacing w:before="40" w:after="20" w:line="264" w:lineRule="auto"/>
              <w:ind w:firstLine="0"/>
              <w:jc w:val="left"/>
              <w:rPr>
                <w:rFonts w:cs="Tahoma"/>
                <w:sz w:val="20"/>
                <w:szCs w:val="20"/>
              </w:rPr>
            </w:pPr>
            <w:r>
              <w:rPr>
                <w:rFonts w:cs="Tahoma"/>
                <w:sz w:val="20"/>
                <w:szCs w:val="20"/>
              </w:rPr>
              <w:t>Opóźnienia w dostawach</w:t>
            </w:r>
            <w:r w:rsidR="009C507B" w:rsidRPr="00821AF6">
              <w:rPr>
                <w:rFonts w:cs="Tahoma"/>
                <w:sz w:val="20"/>
                <w:szCs w:val="20"/>
              </w:rPr>
              <w:t xml:space="preserve"> taboru</w:t>
            </w:r>
          </w:p>
        </w:tc>
        <w:tc>
          <w:tcPr>
            <w:tcW w:w="1054" w:type="dxa"/>
            <w:tcBorders>
              <w:top w:val="single" w:sz="4" w:space="0" w:color="auto"/>
              <w:left w:val="single" w:sz="4" w:space="0" w:color="auto"/>
              <w:bottom w:val="single" w:sz="4" w:space="0" w:color="auto"/>
              <w:right w:val="single" w:sz="4" w:space="0" w:color="auto"/>
            </w:tcBorders>
            <w:vAlign w:val="center"/>
          </w:tcPr>
          <w:p w14:paraId="27783432"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49772E24"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IV</w:t>
            </w:r>
          </w:p>
        </w:tc>
        <w:tc>
          <w:tcPr>
            <w:tcW w:w="1054" w:type="dxa"/>
            <w:tcBorders>
              <w:top w:val="single" w:sz="4" w:space="0" w:color="auto"/>
              <w:left w:val="single" w:sz="4" w:space="0" w:color="auto"/>
              <w:bottom w:val="single" w:sz="4" w:space="0" w:color="auto"/>
              <w:right w:val="single" w:sz="4" w:space="0" w:color="auto"/>
            </w:tcBorders>
            <w:vAlign w:val="center"/>
          </w:tcPr>
          <w:p w14:paraId="7C31FBF5"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wysoki</w:t>
            </w:r>
          </w:p>
        </w:tc>
        <w:tc>
          <w:tcPr>
            <w:tcW w:w="2756" w:type="dxa"/>
            <w:tcBorders>
              <w:top w:val="single" w:sz="4" w:space="0" w:color="auto"/>
              <w:left w:val="single" w:sz="4" w:space="0" w:color="auto"/>
              <w:bottom w:val="single" w:sz="4" w:space="0" w:color="auto"/>
              <w:right w:val="single" w:sz="4" w:space="0" w:color="auto"/>
            </w:tcBorders>
            <w:vAlign w:val="center"/>
          </w:tcPr>
          <w:p w14:paraId="249BE0E3" w14:textId="02F9CD52" w:rsidR="009C507B" w:rsidRPr="00821AF6" w:rsidRDefault="00A51185" w:rsidP="004B2765">
            <w:pPr>
              <w:spacing w:before="40" w:after="20" w:line="264" w:lineRule="auto"/>
              <w:ind w:firstLine="0"/>
              <w:jc w:val="left"/>
              <w:rPr>
                <w:rFonts w:cs="Tahoma"/>
                <w:sz w:val="20"/>
                <w:szCs w:val="20"/>
              </w:rPr>
            </w:pPr>
            <w:r w:rsidRPr="00821AF6">
              <w:rPr>
                <w:rFonts w:cs="Tahoma"/>
                <w:sz w:val="20"/>
                <w:szCs w:val="20"/>
              </w:rPr>
              <w:t>wyprzedzające ogłaszanie przetargów</w:t>
            </w:r>
          </w:p>
        </w:tc>
      </w:tr>
      <w:tr w:rsidR="009C507B" w:rsidRPr="00821AF6" w14:paraId="3CEB7537"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62350F40" w14:textId="2C1A0FBF" w:rsidR="009C507B" w:rsidRPr="00821AF6" w:rsidRDefault="009C507B" w:rsidP="004B2765">
            <w:pPr>
              <w:spacing w:before="40" w:after="20" w:line="264" w:lineRule="auto"/>
              <w:ind w:firstLine="0"/>
              <w:jc w:val="left"/>
              <w:rPr>
                <w:rFonts w:cs="Tahoma"/>
                <w:sz w:val="20"/>
                <w:szCs w:val="20"/>
              </w:rPr>
            </w:pPr>
            <w:r w:rsidRPr="00821AF6">
              <w:rPr>
                <w:rFonts w:cs="Tahoma"/>
                <w:sz w:val="20"/>
                <w:szCs w:val="20"/>
              </w:rPr>
              <w:t xml:space="preserve">Wyższe </w:t>
            </w:r>
            <w:r w:rsidR="000E7555">
              <w:rPr>
                <w:rFonts w:cs="Tahoma"/>
                <w:sz w:val="20"/>
                <w:szCs w:val="20"/>
              </w:rPr>
              <w:t xml:space="preserve">lub zbyt wysokie </w:t>
            </w:r>
            <w:r w:rsidRPr="00821AF6">
              <w:rPr>
                <w:rFonts w:cs="Tahoma"/>
                <w:sz w:val="20"/>
                <w:szCs w:val="20"/>
              </w:rPr>
              <w:t>ceny taboru</w:t>
            </w:r>
          </w:p>
        </w:tc>
        <w:tc>
          <w:tcPr>
            <w:tcW w:w="1054" w:type="dxa"/>
            <w:tcBorders>
              <w:top w:val="single" w:sz="4" w:space="0" w:color="auto"/>
              <w:left w:val="single" w:sz="4" w:space="0" w:color="auto"/>
              <w:bottom w:val="single" w:sz="4" w:space="0" w:color="auto"/>
              <w:right w:val="single" w:sz="4" w:space="0" w:color="auto"/>
            </w:tcBorders>
            <w:vAlign w:val="center"/>
          </w:tcPr>
          <w:p w14:paraId="2896E43E"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3FBED7C5"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II</w:t>
            </w:r>
          </w:p>
        </w:tc>
        <w:tc>
          <w:tcPr>
            <w:tcW w:w="1054" w:type="dxa"/>
            <w:tcBorders>
              <w:top w:val="single" w:sz="4" w:space="0" w:color="auto"/>
              <w:left w:val="single" w:sz="4" w:space="0" w:color="auto"/>
              <w:bottom w:val="single" w:sz="4" w:space="0" w:color="auto"/>
              <w:right w:val="single" w:sz="4" w:space="0" w:color="auto"/>
            </w:tcBorders>
            <w:vAlign w:val="center"/>
          </w:tcPr>
          <w:p w14:paraId="176871B7" w14:textId="1CA32FC2" w:rsidR="009C507B"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1CDF4875" w14:textId="0FA38835" w:rsidR="009C507B" w:rsidRPr="00821AF6" w:rsidRDefault="000E7555" w:rsidP="004B2765">
            <w:pPr>
              <w:spacing w:before="40" w:after="20" w:line="264" w:lineRule="auto"/>
              <w:ind w:firstLine="0"/>
              <w:jc w:val="left"/>
              <w:rPr>
                <w:rFonts w:cs="Tahoma"/>
                <w:sz w:val="20"/>
                <w:szCs w:val="20"/>
              </w:rPr>
            </w:pPr>
            <w:r w:rsidRPr="00821AF6">
              <w:rPr>
                <w:rFonts w:cs="Tahoma"/>
                <w:sz w:val="20"/>
                <w:szCs w:val="20"/>
              </w:rPr>
              <w:t>wyprzedzające ogłaszanie przetargów</w:t>
            </w:r>
            <w:r w:rsidR="009C507B" w:rsidRPr="00821AF6">
              <w:rPr>
                <w:rFonts w:cs="Tahoma"/>
                <w:sz w:val="20"/>
                <w:szCs w:val="20"/>
              </w:rPr>
              <w:t xml:space="preserve">, </w:t>
            </w:r>
            <w:r w:rsidR="00A51185">
              <w:rPr>
                <w:rFonts w:cs="Tahoma"/>
                <w:sz w:val="20"/>
                <w:szCs w:val="20"/>
              </w:rPr>
              <w:t>zmiany kompletacji</w:t>
            </w:r>
          </w:p>
        </w:tc>
      </w:tr>
      <w:tr w:rsidR="00CF73A9" w:rsidRPr="00821AF6" w14:paraId="6A175F48"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2FFC881D" w14:textId="10FFC277" w:rsidR="00CF73A9" w:rsidRPr="00821AF6" w:rsidRDefault="00CF73A9" w:rsidP="00A14995">
            <w:pPr>
              <w:spacing w:before="40" w:after="20" w:line="264" w:lineRule="auto"/>
              <w:ind w:firstLine="0"/>
              <w:jc w:val="left"/>
              <w:rPr>
                <w:rFonts w:cs="Tahoma"/>
                <w:sz w:val="20"/>
                <w:szCs w:val="20"/>
              </w:rPr>
            </w:pPr>
            <w:r w:rsidRPr="00821AF6">
              <w:rPr>
                <w:rFonts w:cs="Tahoma"/>
                <w:sz w:val="20"/>
                <w:szCs w:val="20"/>
              </w:rPr>
              <w:t>Wyższe koszty infrastruktury</w:t>
            </w:r>
            <w:r w:rsidR="00803AF9">
              <w:rPr>
                <w:rFonts w:cs="Tahoma"/>
                <w:sz w:val="20"/>
                <w:szCs w:val="20"/>
              </w:rPr>
              <w:br/>
            </w:r>
            <w:r w:rsidR="00A14995">
              <w:rPr>
                <w:rFonts w:cs="Tahoma"/>
                <w:sz w:val="20"/>
                <w:szCs w:val="20"/>
              </w:rPr>
              <w:t>zasilającej</w:t>
            </w:r>
          </w:p>
        </w:tc>
        <w:tc>
          <w:tcPr>
            <w:tcW w:w="1054" w:type="dxa"/>
            <w:tcBorders>
              <w:top w:val="single" w:sz="4" w:space="0" w:color="auto"/>
              <w:left w:val="single" w:sz="4" w:space="0" w:color="auto"/>
              <w:bottom w:val="single" w:sz="4" w:space="0" w:color="auto"/>
              <w:right w:val="single" w:sz="4" w:space="0" w:color="auto"/>
            </w:tcBorders>
            <w:vAlign w:val="center"/>
          </w:tcPr>
          <w:p w14:paraId="05FE7ECE" w14:textId="6892D449" w:rsidR="00CF73A9" w:rsidRPr="00821AF6" w:rsidRDefault="00CF73A9"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0F535624" w14:textId="2A563C46" w:rsidR="00CF73A9" w:rsidRPr="00821AF6" w:rsidRDefault="00CF73A9"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0B1C6A7D" w14:textId="34BC4B50" w:rsidR="00CF73A9"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5C2DF4DB" w14:textId="3699097B" w:rsidR="00CF73A9" w:rsidRPr="00821AF6" w:rsidRDefault="00A51185" w:rsidP="004B2765">
            <w:pPr>
              <w:spacing w:before="40" w:after="20" w:line="264" w:lineRule="auto"/>
              <w:ind w:firstLine="0"/>
              <w:jc w:val="left"/>
              <w:rPr>
                <w:rFonts w:cs="Tahoma"/>
                <w:sz w:val="20"/>
                <w:szCs w:val="20"/>
              </w:rPr>
            </w:pPr>
            <w:r>
              <w:rPr>
                <w:rFonts w:cs="Tahoma"/>
                <w:sz w:val="20"/>
                <w:szCs w:val="20"/>
              </w:rPr>
              <w:t xml:space="preserve">ograniczenie wymogów, </w:t>
            </w:r>
            <w:r w:rsidR="000E7555" w:rsidRPr="00821AF6">
              <w:rPr>
                <w:rFonts w:cs="Tahoma"/>
                <w:sz w:val="20"/>
                <w:szCs w:val="20"/>
              </w:rPr>
              <w:t>wyprzedzające ogłaszanie przetargów</w:t>
            </w:r>
          </w:p>
        </w:tc>
      </w:tr>
      <w:tr w:rsidR="009C507B" w:rsidRPr="00821AF6" w14:paraId="6DC9C9F3"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1DAF3250" w14:textId="22985735" w:rsidR="009C507B" w:rsidRPr="00821AF6" w:rsidRDefault="009C507B" w:rsidP="004B2765">
            <w:pPr>
              <w:spacing w:before="40" w:after="20" w:line="264" w:lineRule="auto"/>
              <w:ind w:firstLine="0"/>
              <w:jc w:val="left"/>
              <w:rPr>
                <w:rFonts w:cs="Tahoma"/>
                <w:sz w:val="20"/>
                <w:szCs w:val="20"/>
              </w:rPr>
            </w:pPr>
            <w:r w:rsidRPr="00821AF6">
              <w:rPr>
                <w:rFonts w:cs="Tahoma"/>
                <w:sz w:val="20"/>
                <w:szCs w:val="20"/>
              </w:rPr>
              <w:t>Opóźnienie w realizacji</w:t>
            </w:r>
            <w:r w:rsidR="006F777B">
              <w:rPr>
                <w:rFonts w:cs="Tahoma"/>
                <w:sz w:val="20"/>
                <w:szCs w:val="20"/>
              </w:rPr>
              <w:t xml:space="preserve"> </w:t>
            </w:r>
            <w:r w:rsidRPr="00821AF6">
              <w:rPr>
                <w:rFonts w:cs="Tahoma"/>
                <w:sz w:val="20"/>
                <w:szCs w:val="20"/>
              </w:rPr>
              <w:t>infrastruktury</w:t>
            </w:r>
          </w:p>
        </w:tc>
        <w:tc>
          <w:tcPr>
            <w:tcW w:w="1054" w:type="dxa"/>
            <w:tcBorders>
              <w:top w:val="single" w:sz="4" w:space="0" w:color="auto"/>
              <w:left w:val="single" w:sz="4" w:space="0" w:color="auto"/>
              <w:bottom w:val="single" w:sz="4" w:space="0" w:color="auto"/>
              <w:right w:val="single" w:sz="4" w:space="0" w:color="auto"/>
            </w:tcBorders>
            <w:vAlign w:val="center"/>
          </w:tcPr>
          <w:p w14:paraId="6529E2C7"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12EDE395"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IV</w:t>
            </w:r>
          </w:p>
        </w:tc>
        <w:tc>
          <w:tcPr>
            <w:tcW w:w="1054" w:type="dxa"/>
            <w:tcBorders>
              <w:top w:val="single" w:sz="4" w:space="0" w:color="auto"/>
              <w:left w:val="single" w:sz="4" w:space="0" w:color="auto"/>
              <w:bottom w:val="single" w:sz="4" w:space="0" w:color="auto"/>
              <w:right w:val="single" w:sz="4" w:space="0" w:color="auto"/>
            </w:tcBorders>
            <w:vAlign w:val="center"/>
          </w:tcPr>
          <w:p w14:paraId="4B408533"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wysoki</w:t>
            </w:r>
          </w:p>
        </w:tc>
        <w:tc>
          <w:tcPr>
            <w:tcW w:w="2756" w:type="dxa"/>
            <w:tcBorders>
              <w:top w:val="single" w:sz="4" w:space="0" w:color="auto"/>
              <w:left w:val="single" w:sz="4" w:space="0" w:color="auto"/>
              <w:bottom w:val="single" w:sz="4" w:space="0" w:color="auto"/>
              <w:right w:val="single" w:sz="4" w:space="0" w:color="auto"/>
            </w:tcBorders>
            <w:vAlign w:val="center"/>
          </w:tcPr>
          <w:p w14:paraId="0542C69B" w14:textId="3ADD252C" w:rsidR="009C507B" w:rsidRPr="00821AF6" w:rsidRDefault="000E7555" w:rsidP="004B2765">
            <w:pPr>
              <w:spacing w:before="40" w:after="20" w:line="264" w:lineRule="auto"/>
              <w:ind w:firstLine="0"/>
              <w:jc w:val="left"/>
              <w:rPr>
                <w:rFonts w:cs="Tahoma"/>
                <w:sz w:val="20"/>
                <w:szCs w:val="20"/>
              </w:rPr>
            </w:pPr>
            <w:r w:rsidRPr="00821AF6">
              <w:rPr>
                <w:rFonts w:cs="Tahoma"/>
                <w:sz w:val="20"/>
                <w:szCs w:val="20"/>
              </w:rPr>
              <w:t>wyprzedzające ogłaszanie przetargów</w:t>
            </w:r>
          </w:p>
        </w:tc>
      </w:tr>
      <w:tr w:rsidR="00462293" w:rsidRPr="00821AF6" w14:paraId="016E5DFA"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3729154B" w14:textId="0F9ADACB" w:rsidR="00462293" w:rsidRPr="00821AF6" w:rsidRDefault="00462293" w:rsidP="004B2765">
            <w:pPr>
              <w:spacing w:before="40" w:after="20" w:line="264" w:lineRule="auto"/>
              <w:ind w:firstLine="0"/>
              <w:jc w:val="left"/>
              <w:rPr>
                <w:rFonts w:cs="Tahoma"/>
                <w:sz w:val="20"/>
                <w:szCs w:val="20"/>
              </w:rPr>
            </w:pPr>
            <w:r w:rsidRPr="00821AF6">
              <w:rPr>
                <w:rFonts w:cs="Tahoma"/>
                <w:sz w:val="20"/>
                <w:szCs w:val="20"/>
              </w:rPr>
              <w:t>Wyższe ceny oleju</w:t>
            </w:r>
            <w:r w:rsidR="006F777B">
              <w:rPr>
                <w:rFonts w:cs="Tahoma"/>
                <w:sz w:val="20"/>
                <w:szCs w:val="20"/>
              </w:rPr>
              <w:t xml:space="preserve"> </w:t>
            </w:r>
            <w:r w:rsidRPr="00821AF6">
              <w:rPr>
                <w:rFonts w:cs="Tahoma"/>
                <w:sz w:val="20"/>
                <w:szCs w:val="20"/>
              </w:rPr>
              <w:t xml:space="preserve">napędowego </w:t>
            </w:r>
          </w:p>
        </w:tc>
        <w:tc>
          <w:tcPr>
            <w:tcW w:w="1054" w:type="dxa"/>
            <w:tcBorders>
              <w:top w:val="single" w:sz="4" w:space="0" w:color="auto"/>
              <w:left w:val="single" w:sz="4" w:space="0" w:color="auto"/>
              <w:bottom w:val="single" w:sz="4" w:space="0" w:color="auto"/>
              <w:right w:val="single" w:sz="4" w:space="0" w:color="auto"/>
            </w:tcBorders>
            <w:vAlign w:val="center"/>
          </w:tcPr>
          <w:p w14:paraId="3E22B10B" w14:textId="77777777" w:rsidR="00462293" w:rsidRPr="00821AF6" w:rsidRDefault="00462293" w:rsidP="004B2765">
            <w:pPr>
              <w:spacing w:before="40" w:after="20" w:line="264" w:lineRule="auto"/>
              <w:ind w:firstLine="0"/>
              <w:jc w:val="center"/>
              <w:rPr>
                <w:rFonts w:cs="Tahoma"/>
                <w:sz w:val="20"/>
                <w:szCs w:val="20"/>
              </w:rPr>
            </w:pPr>
            <w:r w:rsidRPr="00821AF6">
              <w:rPr>
                <w:rFonts w:cs="Tahoma"/>
                <w:sz w:val="20"/>
                <w:szCs w:val="20"/>
              </w:rPr>
              <w:t>B</w:t>
            </w:r>
          </w:p>
        </w:tc>
        <w:tc>
          <w:tcPr>
            <w:tcW w:w="1055" w:type="dxa"/>
            <w:tcBorders>
              <w:top w:val="single" w:sz="4" w:space="0" w:color="auto"/>
              <w:left w:val="single" w:sz="4" w:space="0" w:color="auto"/>
              <w:bottom w:val="single" w:sz="4" w:space="0" w:color="auto"/>
              <w:right w:val="single" w:sz="4" w:space="0" w:color="auto"/>
            </w:tcBorders>
            <w:vAlign w:val="center"/>
          </w:tcPr>
          <w:p w14:paraId="53EEC1D2" w14:textId="77777777" w:rsidR="00462293" w:rsidRPr="00821AF6" w:rsidRDefault="00462293"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098E726E" w14:textId="00776FE4" w:rsidR="00462293"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38C890F8" w14:textId="77777777" w:rsidR="00462293" w:rsidRPr="00821AF6" w:rsidRDefault="00462293" w:rsidP="004B2765">
            <w:pPr>
              <w:spacing w:before="40" w:after="20" w:line="264" w:lineRule="auto"/>
              <w:ind w:firstLine="0"/>
              <w:jc w:val="left"/>
              <w:rPr>
                <w:rFonts w:cs="Tahoma"/>
                <w:sz w:val="20"/>
                <w:szCs w:val="20"/>
              </w:rPr>
            </w:pPr>
            <w:r w:rsidRPr="00821AF6">
              <w:rPr>
                <w:rFonts w:cs="Tahoma"/>
                <w:sz w:val="20"/>
                <w:szCs w:val="20"/>
              </w:rPr>
              <w:t>dywersyfikacja napędów</w:t>
            </w:r>
            <w:r w:rsidRPr="00821AF6">
              <w:rPr>
                <w:rFonts w:cs="Tahoma"/>
                <w:sz w:val="20"/>
                <w:szCs w:val="20"/>
              </w:rPr>
              <w:br/>
              <w:t>autobusów</w:t>
            </w:r>
          </w:p>
        </w:tc>
      </w:tr>
      <w:tr w:rsidR="009C507B" w:rsidRPr="00821AF6" w14:paraId="46D1E435"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71555E78" w14:textId="1D1CA423" w:rsidR="009C507B" w:rsidRPr="00821AF6" w:rsidRDefault="009C507B" w:rsidP="004B2765">
            <w:pPr>
              <w:spacing w:before="40" w:after="20" w:line="264" w:lineRule="auto"/>
              <w:ind w:firstLine="0"/>
              <w:jc w:val="left"/>
              <w:rPr>
                <w:rFonts w:cs="Tahoma"/>
                <w:sz w:val="20"/>
                <w:szCs w:val="20"/>
              </w:rPr>
            </w:pPr>
            <w:r w:rsidRPr="00821AF6">
              <w:rPr>
                <w:rFonts w:cs="Tahoma"/>
                <w:sz w:val="20"/>
                <w:szCs w:val="20"/>
              </w:rPr>
              <w:t>Wyższe ceny energii</w:t>
            </w:r>
            <w:r w:rsidR="006F777B">
              <w:rPr>
                <w:rFonts w:cs="Tahoma"/>
                <w:sz w:val="20"/>
                <w:szCs w:val="20"/>
              </w:rPr>
              <w:t xml:space="preserve"> </w:t>
            </w:r>
            <w:r w:rsidRPr="00821AF6">
              <w:rPr>
                <w:rFonts w:cs="Tahoma"/>
                <w:sz w:val="20"/>
                <w:szCs w:val="20"/>
              </w:rPr>
              <w:t>elektrycznej</w:t>
            </w:r>
          </w:p>
        </w:tc>
        <w:tc>
          <w:tcPr>
            <w:tcW w:w="1054" w:type="dxa"/>
            <w:tcBorders>
              <w:top w:val="single" w:sz="4" w:space="0" w:color="auto"/>
              <w:left w:val="single" w:sz="4" w:space="0" w:color="auto"/>
              <w:bottom w:val="single" w:sz="4" w:space="0" w:color="auto"/>
              <w:right w:val="single" w:sz="4" w:space="0" w:color="auto"/>
            </w:tcBorders>
            <w:vAlign w:val="center"/>
          </w:tcPr>
          <w:p w14:paraId="731610B6" w14:textId="1C91C494" w:rsidR="009C507B" w:rsidRPr="00821AF6" w:rsidRDefault="00461179"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308BFE58" w14:textId="6F59BA25"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I</w:t>
            </w:r>
            <w:r w:rsidR="00461179" w:rsidRPr="00821AF6">
              <w:rPr>
                <w:rFonts w:cs="Tahoma"/>
                <w:sz w:val="20"/>
                <w:szCs w:val="20"/>
              </w:rPr>
              <w:t>II</w:t>
            </w:r>
          </w:p>
        </w:tc>
        <w:tc>
          <w:tcPr>
            <w:tcW w:w="1054" w:type="dxa"/>
            <w:tcBorders>
              <w:top w:val="single" w:sz="4" w:space="0" w:color="auto"/>
              <w:left w:val="single" w:sz="4" w:space="0" w:color="auto"/>
              <w:bottom w:val="single" w:sz="4" w:space="0" w:color="auto"/>
              <w:right w:val="single" w:sz="4" w:space="0" w:color="auto"/>
            </w:tcBorders>
            <w:vAlign w:val="center"/>
          </w:tcPr>
          <w:p w14:paraId="05A942ED" w14:textId="4BB5500B" w:rsidR="009C507B"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4979201D" w14:textId="77777777" w:rsidR="009C507B" w:rsidRPr="00821AF6" w:rsidRDefault="009C507B" w:rsidP="004B2765">
            <w:pPr>
              <w:spacing w:before="40" w:after="20" w:line="264" w:lineRule="auto"/>
              <w:ind w:firstLine="0"/>
              <w:jc w:val="left"/>
              <w:rPr>
                <w:rFonts w:cs="Tahoma"/>
                <w:sz w:val="20"/>
                <w:szCs w:val="20"/>
              </w:rPr>
            </w:pPr>
            <w:r w:rsidRPr="00821AF6">
              <w:rPr>
                <w:rFonts w:cs="Tahoma"/>
                <w:sz w:val="20"/>
                <w:szCs w:val="20"/>
              </w:rPr>
              <w:t>głównie nocne ładowanie,</w:t>
            </w:r>
            <w:r w:rsidR="00252FF7" w:rsidRPr="00821AF6">
              <w:rPr>
                <w:rFonts w:cs="Tahoma"/>
                <w:sz w:val="20"/>
                <w:szCs w:val="20"/>
              </w:rPr>
              <w:br/>
            </w:r>
            <w:r w:rsidRPr="00821AF6">
              <w:rPr>
                <w:rFonts w:cs="Tahoma"/>
                <w:sz w:val="20"/>
                <w:szCs w:val="20"/>
              </w:rPr>
              <w:t>dodatkowe baterie</w:t>
            </w:r>
          </w:p>
        </w:tc>
      </w:tr>
      <w:tr w:rsidR="006F777B" w:rsidRPr="00821AF6" w14:paraId="41918D21"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42D861FA" w14:textId="2BBBC4A1" w:rsidR="006F777B" w:rsidRPr="00821AF6" w:rsidRDefault="006F777B" w:rsidP="004B2765">
            <w:pPr>
              <w:spacing w:before="40" w:after="20" w:line="264" w:lineRule="auto"/>
              <w:ind w:firstLine="0"/>
              <w:jc w:val="left"/>
              <w:rPr>
                <w:rFonts w:cs="Tahoma"/>
                <w:sz w:val="20"/>
                <w:szCs w:val="20"/>
              </w:rPr>
            </w:pPr>
            <w:r>
              <w:rPr>
                <w:rFonts w:cs="Tahoma"/>
                <w:sz w:val="20"/>
                <w:szCs w:val="20"/>
              </w:rPr>
              <w:t>Wyższe ceny CNG</w:t>
            </w:r>
          </w:p>
        </w:tc>
        <w:tc>
          <w:tcPr>
            <w:tcW w:w="1054" w:type="dxa"/>
            <w:tcBorders>
              <w:top w:val="single" w:sz="4" w:space="0" w:color="auto"/>
              <w:left w:val="single" w:sz="4" w:space="0" w:color="auto"/>
              <w:bottom w:val="single" w:sz="4" w:space="0" w:color="auto"/>
              <w:right w:val="single" w:sz="4" w:space="0" w:color="auto"/>
            </w:tcBorders>
            <w:vAlign w:val="center"/>
          </w:tcPr>
          <w:p w14:paraId="023386FF" w14:textId="5D7326D5" w:rsidR="006F777B" w:rsidRPr="00821AF6" w:rsidRDefault="006F777B" w:rsidP="004B2765">
            <w:pPr>
              <w:spacing w:before="40" w:after="20" w:line="264" w:lineRule="auto"/>
              <w:ind w:firstLine="0"/>
              <w:jc w:val="center"/>
              <w:rPr>
                <w:rFonts w:cs="Tahoma"/>
                <w:sz w:val="20"/>
                <w:szCs w:val="20"/>
              </w:rPr>
            </w:pPr>
            <w:r>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0DCE8994" w14:textId="25A5AB1F" w:rsidR="006F777B" w:rsidRPr="00821AF6" w:rsidRDefault="006F777B" w:rsidP="004B2765">
            <w:pPr>
              <w:spacing w:before="40" w:after="20" w:line="264" w:lineRule="auto"/>
              <w:ind w:firstLine="0"/>
              <w:jc w:val="center"/>
              <w:rPr>
                <w:rFonts w:cs="Tahoma"/>
                <w:sz w:val="20"/>
                <w:szCs w:val="20"/>
              </w:rPr>
            </w:pPr>
            <w:r>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4780BB4C" w14:textId="5FA293C2" w:rsidR="006F777B" w:rsidRPr="00821AF6" w:rsidRDefault="006F777B"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309E3CDC" w14:textId="11CA376F" w:rsidR="006F777B" w:rsidRPr="00821AF6" w:rsidRDefault="006742B7" w:rsidP="004B2765">
            <w:pPr>
              <w:spacing w:before="40" w:after="20" w:line="264" w:lineRule="auto"/>
              <w:ind w:firstLine="0"/>
              <w:jc w:val="left"/>
              <w:rPr>
                <w:rFonts w:cs="Tahoma"/>
                <w:sz w:val="20"/>
                <w:szCs w:val="20"/>
              </w:rPr>
            </w:pPr>
            <w:r>
              <w:rPr>
                <w:rFonts w:cs="Tahoma"/>
                <w:sz w:val="20"/>
                <w:szCs w:val="20"/>
              </w:rPr>
              <w:t>kontrakty długoterminowe</w:t>
            </w:r>
            <w:r w:rsidR="006F777B">
              <w:rPr>
                <w:rFonts w:cs="Tahoma"/>
                <w:sz w:val="20"/>
                <w:szCs w:val="20"/>
              </w:rPr>
              <w:t>, ograniczenie przewozów</w:t>
            </w:r>
            <w:r w:rsidR="00803AF9">
              <w:rPr>
                <w:rFonts w:cs="Tahoma"/>
                <w:sz w:val="20"/>
                <w:szCs w:val="20"/>
              </w:rPr>
              <w:br/>
            </w:r>
            <w:r w:rsidR="006F777B">
              <w:rPr>
                <w:rFonts w:cs="Tahoma"/>
                <w:sz w:val="20"/>
                <w:szCs w:val="20"/>
              </w:rPr>
              <w:t>taborem CNG</w:t>
            </w:r>
          </w:p>
        </w:tc>
      </w:tr>
      <w:tr w:rsidR="009C507B" w:rsidRPr="00821AF6" w14:paraId="4DB58896"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7D2C9FC4" w14:textId="7C6A009C" w:rsidR="009C507B" w:rsidRPr="00821AF6" w:rsidRDefault="009C507B" w:rsidP="004B2765">
            <w:pPr>
              <w:spacing w:before="40" w:after="20" w:line="264" w:lineRule="auto"/>
              <w:ind w:firstLine="0"/>
              <w:jc w:val="left"/>
              <w:rPr>
                <w:rFonts w:cs="Tahoma"/>
                <w:sz w:val="20"/>
                <w:szCs w:val="20"/>
              </w:rPr>
            </w:pPr>
            <w:r w:rsidRPr="00821AF6">
              <w:rPr>
                <w:rFonts w:cs="Tahoma"/>
                <w:sz w:val="20"/>
                <w:szCs w:val="20"/>
              </w:rPr>
              <w:lastRenderedPageBreak/>
              <w:t>Wzrost cen baterii</w:t>
            </w:r>
          </w:p>
        </w:tc>
        <w:tc>
          <w:tcPr>
            <w:tcW w:w="1054" w:type="dxa"/>
            <w:tcBorders>
              <w:top w:val="single" w:sz="4" w:space="0" w:color="auto"/>
              <w:left w:val="single" w:sz="4" w:space="0" w:color="auto"/>
              <w:bottom w:val="single" w:sz="4" w:space="0" w:color="auto"/>
              <w:right w:val="single" w:sz="4" w:space="0" w:color="auto"/>
            </w:tcBorders>
            <w:vAlign w:val="center"/>
          </w:tcPr>
          <w:p w14:paraId="33FA0C3A"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1AB3E7D0" w14:textId="77777777" w:rsidR="009C507B" w:rsidRPr="00821AF6" w:rsidRDefault="009C507B" w:rsidP="004B2765">
            <w:pPr>
              <w:spacing w:before="40" w:after="20" w:line="264" w:lineRule="auto"/>
              <w:ind w:firstLine="0"/>
              <w:jc w:val="center"/>
              <w:rPr>
                <w:rFonts w:cs="Tahoma"/>
                <w:sz w:val="20"/>
                <w:szCs w:val="20"/>
              </w:rPr>
            </w:pPr>
            <w:r w:rsidRPr="00821AF6">
              <w:rPr>
                <w:rFonts w:cs="Tahoma"/>
                <w:sz w:val="20"/>
                <w:szCs w:val="20"/>
              </w:rPr>
              <w:t>II</w:t>
            </w:r>
          </w:p>
        </w:tc>
        <w:tc>
          <w:tcPr>
            <w:tcW w:w="1054" w:type="dxa"/>
            <w:tcBorders>
              <w:top w:val="single" w:sz="4" w:space="0" w:color="auto"/>
              <w:left w:val="single" w:sz="4" w:space="0" w:color="auto"/>
              <w:bottom w:val="single" w:sz="4" w:space="0" w:color="auto"/>
              <w:right w:val="single" w:sz="4" w:space="0" w:color="auto"/>
            </w:tcBorders>
            <w:vAlign w:val="center"/>
          </w:tcPr>
          <w:p w14:paraId="02D0C8C5" w14:textId="148FC5B0" w:rsidR="009C507B"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1EB2D581" w14:textId="77777777" w:rsidR="009C507B" w:rsidRPr="00821AF6" w:rsidRDefault="009C507B" w:rsidP="004B2765">
            <w:pPr>
              <w:spacing w:before="40" w:after="20" w:line="264" w:lineRule="auto"/>
              <w:ind w:firstLine="0"/>
              <w:jc w:val="left"/>
              <w:rPr>
                <w:rFonts w:cs="Tahoma"/>
                <w:sz w:val="20"/>
                <w:szCs w:val="20"/>
              </w:rPr>
            </w:pPr>
            <w:r w:rsidRPr="00821AF6">
              <w:rPr>
                <w:rFonts w:cs="Tahoma"/>
                <w:sz w:val="20"/>
                <w:szCs w:val="20"/>
              </w:rPr>
              <w:t>wydłużona eksploatacja</w:t>
            </w:r>
          </w:p>
        </w:tc>
      </w:tr>
      <w:tr w:rsidR="00820EEC" w:rsidRPr="00821AF6" w14:paraId="00446550" w14:textId="77777777" w:rsidTr="00A51185">
        <w:trPr>
          <w:cantSplit/>
          <w:jc w:val="center"/>
        </w:trPr>
        <w:tc>
          <w:tcPr>
            <w:tcW w:w="907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16799E" w14:textId="32019342" w:rsidR="00820EEC" w:rsidRPr="00821AF6" w:rsidRDefault="00820EEC" w:rsidP="004B2765">
            <w:pPr>
              <w:spacing w:before="40" w:after="20" w:line="264" w:lineRule="auto"/>
              <w:ind w:firstLine="0"/>
              <w:jc w:val="center"/>
              <w:rPr>
                <w:rFonts w:cs="Tahoma"/>
                <w:sz w:val="20"/>
                <w:szCs w:val="20"/>
              </w:rPr>
            </w:pPr>
            <w:r w:rsidRPr="00821AF6">
              <w:rPr>
                <w:rFonts w:cs="Tahoma"/>
                <w:b/>
                <w:sz w:val="20"/>
                <w:szCs w:val="20"/>
              </w:rPr>
              <w:t xml:space="preserve">Wariant </w:t>
            </w:r>
            <w:r w:rsidR="004B2765">
              <w:rPr>
                <w:rFonts w:cs="Tahoma"/>
                <w:b/>
                <w:sz w:val="20"/>
                <w:szCs w:val="20"/>
              </w:rPr>
              <w:t>wodorowy</w:t>
            </w:r>
          </w:p>
        </w:tc>
      </w:tr>
      <w:tr w:rsidR="00792788" w:rsidRPr="00821AF6" w14:paraId="47DAA111"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2CF5EB0C" w14:textId="77777777" w:rsidR="00792788" w:rsidRPr="00821AF6" w:rsidRDefault="00792788" w:rsidP="004B2765">
            <w:pPr>
              <w:spacing w:before="40" w:after="20" w:line="264" w:lineRule="auto"/>
              <w:ind w:firstLine="0"/>
              <w:jc w:val="left"/>
              <w:rPr>
                <w:rFonts w:cs="Tahoma"/>
                <w:sz w:val="20"/>
                <w:szCs w:val="20"/>
              </w:rPr>
            </w:pPr>
            <w:r w:rsidRPr="00821AF6">
              <w:rPr>
                <w:rFonts w:cs="Tahoma"/>
                <w:sz w:val="20"/>
                <w:szCs w:val="20"/>
              </w:rPr>
              <w:t>Długotrwałe utrzymywanie się niskiego popytu na przewozy</w:t>
            </w:r>
            <w:r w:rsidRPr="00821AF6">
              <w:rPr>
                <w:rFonts w:cs="Tahoma"/>
                <w:sz w:val="20"/>
                <w:szCs w:val="20"/>
              </w:rPr>
              <w:br/>
              <w:t>komunikacji miejskiej</w:t>
            </w:r>
          </w:p>
        </w:tc>
        <w:tc>
          <w:tcPr>
            <w:tcW w:w="1054" w:type="dxa"/>
            <w:tcBorders>
              <w:top w:val="single" w:sz="4" w:space="0" w:color="auto"/>
              <w:left w:val="single" w:sz="4" w:space="0" w:color="auto"/>
              <w:bottom w:val="single" w:sz="4" w:space="0" w:color="auto"/>
              <w:right w:val="single" w:sz="4" w:space="0" w:color="auto"/>
            </w:tcBorders>
            <w:vAlign w:val="center"/>
          </w:tcPr>
          <w:p w14:paraId="714705CC" w14:textId="77777777" w:rsidR="00792788" w:rsidRPr="00821AF6" w:rsidRDefault="00792788" w:rsidP="004B2765">
            <w:pPr>
              <w:spacing w:before="40" w:after="20" w:line="264" w:lineRule="auto"/>
              <w:ind w:firstLine="0"/>
              <w:jc w:val="center"/>
              <w:rPr>
                <w:rFonts w:cs="Tahoma"/>
                <w:sz w:val="20"/>
                <w:szCs w:val="20"/>
              </w:rPr>
            </w:pPr>
            <w:r w:rsidRPr="00821AF6">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4CB6462A" w14:textId="77777777" w:rsidR="00792788" w:rsidRPr="00821AF6" w:rsidRDefault="00792788"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07AE9832" w14:textId="77777777" w:rsidR="00792788" w:rsidRPr="00821AF6" w:rsidRDefault="00792788" w:rsidP="004B2765">
            <w:pPr>
              <w:spacing w:before="40" w:after="20" w:line="264" w:lineRule="auto"/>
              <w:ind w:firstLine="0"/>
              <w:jc w:val="center"/>
              <w:rPr>
                <w:rFonts w:cs="Tahoma"/>
                <w:sz w:val="20"/>
                <w:szCs w:val="20"/>
              </w:rPr>
            </w:pPr>
            <w:r w:rsidRPr="00821AF6">
              <w:rPr>
                <w:rFonts w:cs="Tahoma"/>
                <w:sz w:val="20"/>
                <w:szCs w:val="20"/>
              </w:rPr>
              <w:t>wysoki</w:t>
            </w:r>
          </w:p>
        </w:tc>
        <w:tc>
          <w:tcPr>
            <w:tcW w:w="2756" w:type="dxa"/>
            <w:tcBorders>
              <w:top w:val="single" w:sz="4" w:space="0" w:color="auto"/>
              <w:left w:val="single" w:sz="4" w:space="0" w:color="auto"/>
              <w:bottom w:val="single" w:sz="4" w:space="0" w:color="auto"/>
              <w:right w:val="single" w:sz="4" w:space="0" w:color="auto"/>
            </w:tcBorders>
            <w:vAlign w:val="center"/>
          </w:tcPr>
          <w:p w14:paraId="50116EF6" w14:textId="1B39157E" w:rsidR="00792788" w:rsidRPr="00821AF6" w:rsidRDefault="00792788" w:rsidP="004B2765">
            <w:pPr>
              <w:spacing w:before="40" w:after="20" w:line="264" w:lineRule="auto"/>
              <w:ind w:firstLine="0"/>
              <w:jc w:val="left"/>
              <w:rPr>
                <w:rFonts w:cs="Tahoma"/>
                <w:sz w:val="20"/>
                <w:szCs w:val="20"/>
              </w:rPr>
            </w:pPr>
            <w:r w:rsidRPr="00821AF6">
              <w:rPr>
                <w:rFonts w:cs="Tahoma"/>
                <w:sz w:val="20"/>
                <w:szCs w:val="20"/>
              </w:rPr>
              <w:t>różnorodne działania Miasta promujące korzystanie</w:t>
            </w:r>
            <w:r w:rsidR="00803AF9">
              <w:rPr>
                <w:rFonts w:cs="Tahoma"/>
                <w:sz w:val="20"/>
                <w:szCs w:val="20"/>
              </w:rPr>
              <w:br/>
            </w:r>
            <w:r w:rsidRPr="00821AF6">
              <w:rPr>
                <w:rFonts w:cs="Tahoma"/>
                <w:sz w:val="20"/>
                <w:szCs w:val="20"/>
              </w:rPr>
              <w:t>z komunikacji miejskiej</w:t>
            </w:r>
          </w:p>
        </w:tc>
      </w:tr>
      <w:tr w:rsidR="006F777B" w:rsidRPr="00821AF6" w14:paraId="123B40A5" w14:textId="77777777" w:rsidTr="00180C04">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5AA547EE" w14:textId="77777777" w:rsidR="006F777B" w:rsidRPr="00821AF6" w:rsidRDefault="006F777B" w:rsidP="004B2765">
            <w:pPr>
              <w:spacing w:before="40" w:after="20" w:line="264" w:lineRule="auto"/>
              <w:ind w:firstLine="0"/>
              <w:jc w:val="left"/>
              <w:rPr>
                <w:rFonts w:cs="Tahoma"/>
                <w:sz w:val="20"/>
                <w:szCs w:val="20"/>
              </w:rPr>
            </w:pPr>
            <w:r w:rsidRPr="00A51185">
              <w:rPr>
                <w:rFonts w:cs="Tahoma"/>
                <w:sz w:val="20"/>
                <w:szCs w:val="20"/>
              </w:rPr>
              <w:t xml:space="preserve">Brak możliwości sfinansowania przez Miasto pełnego </w:t>
            </w:r>
            <w:r w:rsidRPr="006F777B">
              <w:rPr>
                <w:rFonts w:cs="Tahoma"/>
                <w:sz w:val="20"/>
                <w:szCs w:val="20"/>
              </w:rPr>
              <w:t>programu wymiany taboru</w:t>
            </w:r>
          </w:p>
        </w:tc>
        <w:tc>
          <w:tcPr>
            <w:tcW w:w="1054" w:type="dxa"/>
            <w:tcBorders>
              <w:top w:val="single" w:sz="4" w:space="0" w:color="auto"/>
              <w:left w:val="single" w:sz="4" w:space="0" w:color="auto"/>
              <w:bottom w:val="single" w:sz="4" w:space="0" w:color="auto"/>
              <w:right w:val="single" w:sz="4" w:space="0" w:color="auto"/>
            </w:tcBorders>
            <w:vAlign w:val="center"/>
          </w:tcPr>
          <w:p w14:paraId="11C552F9" w14:textId="77777777" w:rsidR="006F777B" w:rsidRPr="00821AF6" w:rsidRDefault="006F777B" w:rsidP="004B2765">
            <w:pPr>
              <w:spacing w:before="40" w:after="20" w:line="264" w:lineRule="auto"/>
              <w:ind w:firstLine="0"/>
              <w:jc w:val="center"/>
              <w:rPr>
                <w:rFonts w:cs="Tahoma"/>
                <w:sz w:val="20"/>
                <w:szCs w:val="20"/>
              </w:rPr>
            </w:pPr>
            <w:r>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5A0CE84E" w14:textId="77777777" w:rsidR="006F777B" w:rsidRPr="00821AF6" w:rsidRDefault="006F777B" w:rsidP="004B2765">
            <w:pPr>
              <w:spacing w:before="40" w:after="20" w:line="264" w:lineRule="auto"/>
              <w:ind w:firstLine="0"/>
              <w:jc w:val="center"/>
              <w:rPr>
                <w:rFonts w:cs="Tahoma"/>
                <w:sz w:val="20"/>
                <w:szCs w:val="20"/>
              </w:rPr>
            </w:pPr>
            <w:r w:rsidRPr="00821AF6">
              <w:rPr>
                <w:rFonts w:cs="Tahoma"/>
                <w:sz w:val="20"/>
                <w:szCs w:val="20"/>
              </w:rPr>
              <w:t>V</w:t>
            </w:r>
          </w:p>
        </w:tc>
        <w:tc>
          <w:tcPr>
            <w:tcW w:w="1054" w:type="dxa"/>
            <w:tcBorders>
              <w:top w:val="single" w:sz="4" w:space="0" w:color="auto"/>
              <w:left w:val="single" w:sz="4" w:space="0" w:color="auto"/>
              <w:bottom w:val="single" w:sz="4" w:space="0" w:color="auto"/>
              <w:right w:val="single" w:sz="4" w:space="0" w:color="auto"/>
            </w:tcBorders>
            <w:vAlign w:val="center"/>
          </w:tcPr>
          <w:p w14:paraId="3C38EDF9" w14:textId="77777777" w:rsidR="006F777B" w:rsidRPr="00821AF6" w:rsidRDefault="006F777B" w:rsidP="004B2765">
            <w:pPr>
              <w:spacing w:before="40" w:after="20" w:line="264" w:lineRule="auto"/>
              <w:ind w:firstLine="0"/>
              <w:jc w:val="center"/>
              <w:rPr>
                <w:rFonts w:cs="Tahoma"/>
                <w:sz w:val="20"/>
                <w:szCs w:val="20"/>
              </w:rPr>
            </w:pPr>
            <w:r w:rsidRPr="00821AF6">
              <w:rPr>
                <w:rFonts w:cs="Tahoma"/>
                <w:sz w:val="20"/>
                <w:szCs w:val="20"/>
              </w:rPr>
              <w:t>bardzo</w:t>
            </w:r>
            <w:r w:rsidRPr="00821AF6">
              <w:rPr>
                <w:rFonts w:cs="Tahoma"/>
                <w:sz w:val="20"/>
                <w:szCs w:val="20"/>
              </w:rPr>
              <w:br/>
              <w:t>wysoki</w:t>
            </w:r>
          </w:p>
        </w:tc>
        <w:tc>
          <w:tcPr>
            <w:tcW w:w="2756" w:type="dxa"/>
            <w:tcBorders>
              <w:top w:val="single" w:sz="4" w:space="0" w:color="auto"/>
              <w:left w:val="single" w:sz="4" w:space="0" w:color="auto"/>
              <w:bottom w:val="single" w:sz="4" w:space="0" w:color="auto"/>
              <w:right w:val="single" w:sz="4" w:space="0" w:color="auto"/>
            </w:tcBorders>
            <w:vAlign w:val="center"/>
          </w:tcPr>
          <w:p w14:paraId="6F0E4A09" w14:textId="77777777" w:rsidR="006F777B" w:rsidRPr="00821AF6" w:rsidRDefault="006F777B" w:rsidP="004B2765">
            <w:pPr>
              <w:spacing w:before="40" w:after="20" w:line="264" w:lineRule="auto"/>
              <w:ind w:firstLine="0"/>
              <w:jc w:val="left"/>
              <w:rPr>
                <w:rFonts w:cs="Tahoma"/>
                <w:sz w:val="20"/>
                <w:szCs w:val="20"/>
              </w:rPr>
            </w:pPr>
            <w:r w:rsidRPr="006F777B">
              <w:rPr>
                <w:rFonts w:cs="Tahoma"/>
                <w:sz w:val="20"/>
                <w:szCs w:val="20"/>
              </w:rPr>
              <w:t>korzystanie z instrumentów wsparcia krajowych i europejskich oraz z zewnętrznych źródeł finansowania</w:t>
            </w:r>
          </w:p>
        </w:tc>
      </w:tr>
      <w:tr w:rsidR="006F777B" w:rsidRPr="00821AF6" w14:paraId="6BBF91C6" w14:textId="77777777" w:rsidTr="00180C04">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4224922B" w14:textId="1FC505AA" w:rsidR="006F777B" w:rsidRPr="00821AF6" w:rsidRDefault="006F777B" w:rsidP="00A14995">
            <w:pPr>
              <w:spacing w:before="40" w:after="20" w:line="264" w:lineRule="auto"/>
              <w:ind w:firstLine="0"/>
              <w:jc w:val="left"/>
              <w:rPr>
                <w:rFonts w:cs="Tahoma"/>
                <w:sz w:val="20"/>
                <w:szCs w:val="20"/>
              </w:rPr>
            </w:pPr>
            <w:r>
              <w:rPr>
                <w:rFonts w:cs="Tahoma"/>
                <w:sz w:val="20"/>
                <w:szCs w:val="20"/>
              </w:rPr>
              <w:t xml:space="preserve">Brak możliwości finansowych zakupu jednostek taborowych przez </w:t>
            </w:r>
            <w:r w:rsidR="00C73F5E">
              <w:rPr>
                <w:rFonts w:cs="Tahoma"/>
                <w:sz w:val="20"/>
                <w:szCs w:val="20"/>
              </w:rPr>
              <w:t>MPK</w:t>
            </w:r>
          </w:p>
        </w:tc>
        <w:tc>
          <w:tcPr>
            <w:tcW w:w="1054" w:type="dxa"/>
            <w:tcBorders>
              <w:top w:val="single" w:sz="4" w:space="0" w:color="auto"/>
              <w:left w:val="single" w:sz="4" w:space="0" w:color="auto"/>
              <w:bottom w:val="single" w:sz="4" w:space="0" w:color="auto"/>
              <w:right w:val="single" w:sz="4" w:space="0" w:color="auto"/>
            </w:tcBorders>
            <w:vAlign w:val="center"/>
          </w:tcPr>
          <w:p w14:paraId="10084F52" w14:textId="2E4DE2E5" w:rsidR="006F777B" w:rsidRDefault="00A14995" w:rsidP="004B2765">
            <w:pPr>
              <w:spacing w:before="40" w:after="20" w:line="264" w:lineRule="auto"/>
              <w:ind w:firstLine="0"/>
              <w:jc w:val="center"/>
              <w:rPr>
                <w:rFonts w:cs="Tahoma"/>
                <w:sz w:val="20"/>
                <w:szCs w:val="20"/>
              </w:rPr>
            </w:pPr>
            <w:r>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29D7AC25" w14:textId="486DC2A5" w:rsidR="006F777B" w:rsidRDefault="00A14995" w:rsidP="004B2765">
            <w:pPr>
              <w:spacing w:before="40" w:after="20" w:line="264" w:lineRule="auto"/>
              <w:ind w:firstLine="0"/>
              <w:jc w:val="center"/>
              <w:rPr>
                <w:rFonts w:cs="Tahoma"/>
                <w:sz w:val="20"/>
                <w:szCs w:val="20"/>
              </w:rPr>
            </w:pPr>
            <w:r>
              <w:rPr>
                <w:rFonts w:cs="Tahoma"/>
                <w:sz w:val="20"/>
                <w:szCs w:val="20"/>
              </w:rPr>
              <w:t>I</w:t>
            </w:r>
          </w:p>
        </w:tc>
        <w:tc>
          <w:tcPr>
            <w:tcW w:w="1054" w:type="dxa"/>
            <w:tcBorders>
              <w:top w:val="single" w:sz="4" w:space="0" w:color="auto"/>
              <w:left w:val="single" w:sz="4" w:space="0" w:color="auto"/>
              <w:bottom w:val="single" w:sz="4" w:space="0" w:color="auto"/>
              <w:right w:val="single" w:sz="4" w:space="0" w:color="auto"/>
            </w:tcBorders>
            <w:vAlign w:val="center"/>
          </w:tcPr>
          <w:p w14:paraId="51F3D97D" w14:textId="2EBA3276" w:rsidR="006F777B" w:rsidRDefault="00A14995" w:rsidP="004B2765">
            <w:pPr>
              <w:spacing w:before="40" w:after="20" w:line="264" w:lineRule="auto"/>
              <w:ind w:firstLine="0"/>
              <w:jc w:val="center"/>
              <w:rPr>
                <w:rFonts w:cs="Tahoma"/>
                <w:sz w:val="20"/>
                <w:szCs w:val="20"/>
              </w:rPr>
            </w:pPr>
            <w:r>
              <w:rPr>
                <w:rFonts w:cs="Tahoma"/>
                <w:sz w:val="20"/>
                <w:szCs w:val="20"/>
              </w:rPr>
              <w:t>niski</w:t>
            </w:r>
          </w:p>
        </w:tc>
        <w:tc>
          <w:tcPr>
            <w:tcW w:w="2756" w:type="dxa"/>
            <w:tcBorders>
              <w:top w:val="single" w:sz="4" w:space="0" w:color="auto"/>
              <w:left w:val="single" w:sz="4" w:space="0" w:color="auto"/>
              <w:bottom w:val="single" w:sz="4" w:space="0" w:color="auto"/>
              <w:right w:val="single" w:sz="4" w:space="0" w:color="auto"/>
            </w:tcBorders>
            <w:vAlign w:val="center"/>
          </w:tcPr>
          <w:p w14:paraId="12EB6648" w14:textId="55B23EE7" w:rsidR="006F777B" w:rsidRDefault="006F777B" w:rsidP="004B2765">
            <w:pPr>
              <w:spacing w:before="40" w:after="20" w:line="264" w:lineRule="auto"/>
              <w:ind w:firstLine="0"/>
              <w:jc w:val="left"/>
              <w:rPr>
                <w:rFonts w:cs="Tahoma"/>
                <w:sz w:val="20"/>
                <w:szCs w:val="20"/>
              </w:rPr>
            </w:pPr>
            <w:r>
              <w:rPr>
                <w:rFonts w:cs="Tahoma"/>
                <w:sz w:val="20"/>
                <w:szCs w:val="20"/>
              </w:rPr>
              <w:t>sfinansowanie zakupu</w:t>
            </w:r>
            <w:r w:rsidR="00803AF9">
              <w:rPr>
                <w:rFonts w:cs="Tahoma"/>
                <w:sz w:val="20"/>
                <w:szCs w:val="20"/>
              </w:rPr>
              <w:br/>
            </w:r>
            <w:r>
              <w:rPr>
                <w:rFonts w:cs="Tahoma"/>
                <w:sz w:val="20"/>
                <w:szCs w:val="20"/>
              </w:rPr>
              <w:t>taboru przez Miasto</w:t>
            </w:r>
          </w:p>
        </w:tc>
      </w:tr>
      <w:tr w:rsidR="00A51185" w:rsidRPr="00821AF6" w14:paraId="2B9BCC9C"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6D81E5E2" w14:textId="0FC5FFB0" w:rsidR="00A51185" w:rsidRPr="00821AF6" w:rsidRDefault="00A51185" w:rsidP="006D2BD2">
            <w:pPr>
              <w:spacing w:before="40" w:after="20" w:line="264" w:lineRule="auto"/>
              <w:ind w:firstLine="0"/>
              <w:jc w:val="left"/>
              <w:rPr>
                <w:rFonts w:cs="Tahoma"/>
                <w:sz w:val="20"/>
                <w:szCs w:val="20"/>
              </w:rPr>
            </w:pPr>
            <w:r w:rsidRPr="00A51185">
              <w:rPr>
                <w:rFonts w:cs="Tahoma"/>
                <w:sz w:val="20"/>
                <w:szCs w:val="20"/>
              </w:rPr>
              <w:t xml:space="preserve">Brak możliwości sfinansowania przez Miasto </w:t>
            </w:r>
            <w:r w:rsidR="006F777B" w:rsidRPr="006F777B">
              <w:rPr>
                <w:rFonts w:cs="Tahoma"/>
                <w:sz w:val="20"/>
                <w:szCs w:val="20"/>
              </w:rPr>
              <w:t xml:space="preserve">pełnej rekompensaty dla </w:t>
            </w:r>
            <w:r w:rsidR="00C73F5E">
              <w:rPr>
                <w:rFonts w:cs="Tahoma"/>
                <w:sz w:val="20"/>
                <w:szCs w:val="20"/>
              </w:rPr>
              <w:t xml:space="preserve">MPK </w:t>
            </w:r>
          </w:p>
        </w:tc>
        <w:tc>
          <w:tcPr>
            <w:tcW w:w="1054" w:type="dxa"/>
            <w:tcBorders>
              <w:top w:val="single" w:sz="4" w:space="0" w:color="auto"/>
              <w:left w:val="single" w:sz="4" w:space="0" w:color="auto"/>
              <w:bottom w:val="single" w:sz="4" w:space="0" w:color="auto"/>
              <w:right w:val="single" w:sz="4" w:space="0" w:color="auto"/>
            </w:tcBorders>
            <w:vAlign w:val="center"/>
          </w:tcPr>
          <w:p w14:paraId="2B5D0BDC" w14:textId="1AC30365" w:rsidR="00A51185" w:rsidRPr="00821AF6" w:rsidRDefault="006F777B" w:rsidP="004B2765">
            <w:pPr>
              <w:spacing w:before="40" w:after="20" w:line="264" w:lineRule="auto"/>
              <w:ind w:firstLine="0"/>
              <w:jc w:val="center"/>
              <w:rPr>
                <w:rFonts w:cs="Tahoma"/>
                <w:sz w:val="20"/>
                <w:szCs w:val="20"/>
              </w:rPr>
            </w:pPr>
            <w:r>
              <w:rPr>
                <w:rFonts w:cs="Tahoma"/>
                <w:sz w:val="20"/>
                <w:szCs w:val="20"/>
              </w:rPr>
              <w:t>A</w:t>
            </w:r>
          </w:p>
        </w:tc>
        <w:tc>
          <w:tcPr>
            <w:tcW w:w="1055" w:type="dxa"/>
            <w:tcBorders>
              <w:top w:val="single" w:sz="4" w:space="0" w:color="auto"/>
              <w:left w:val="single" w:sz="4" w:space="0" w:color="auto"/>
              <w:bottom w:val="single" w:sz="4" w:space="0" w:color="auto"/>
              <w:right w:val="single" w:sz="4" w:space="0" w:color="auto"/>
            </w:tcBorders>
            <w:vAlign w:val="center"/>
          </w:tcPr>
          <w:p w14:paraId="2B9CBB09" w14:textId="4665F7BB" w:rsidR="00A51185" w:rsidRPr="00821AF6" w:rsidRDefault="006F777B" w:rsidP="004B2765">
            <w:pPr>
              <w:spacing w:before="40" w:after="20" w:line="264" w:lineRule="auto"/>
              <w:ind w:firstLine="0"/>
              <w:jc w:val="center"/>
              <w:rPr>
                <w:rFonts w:cs="Tahoma"/>
                <w:sz w:val="20"/>
                <w:szCs w:val="20"/>
              </w:rPr>
            </w:pPr>
            <w:r>
              <w:rPr>
                <w:rFonts w:cs="Tahoma"/>
                <w:sz w:val="20"/>
                <w:szCs w:val="20"/>
              </w:rPr>
              <w:t>I</w:t>
            </w:r>
            <w:r w:rsidR="00A51185" w:rsidRPr="00821AF6">
              <w:rPr>
                <w:rFonts w:cs="Tahoma"/>
                <w:sz w:val="20"/>
                <w:szCs w:val="20"/>
              </w:rPr>
              <w:t>V</w:t>
            </w:r>
          </w:p>
        </w:tc>
        <w:tc>
          <w:tcPr>
            <w:tcW w:w="1054" w:type="dxa"/>
            <w:tcBorders>
              <w:top w:val="single" w:sz="4" w:space="0" w:color="auto"/>
              <w:left w:val="single" w:sz="4" w:space="0" w:color="auto"/>
              <w:bottom w:val="single" w:sz="4" w:space="0" w:color="auto"/>
              <w:right w:val="single" w:sz="4" w:space="0" w:color="auto"/>
            </w:tcBorders>
            <w:vAlign w:val="center"/>
          </w:tcPr>
          <w:p w14:paraId="36C00004" w14:textId="62D1D538" w:rsidR="00A51185" w:rsidRPr="00821AF6" w:rsidRDefault="006F777B" w:rsidP="004B2765">
            <w:pPr>
              <w:spacing w:before="40" w:after="20" w:line="264" w:lineRule="auto"/>
              <w:ind w:firstLine="0"/>
              <w:jc w:val="center"/>
              <w:rPr>
                <w:rFonts w:cs="Tahoma"/>
                <w:sz w:val="20"/>
                <w:szCs w:val="20"/>
              </w:rPr>
            </w:pPr>
            <w:r>
              <w:rPr>
                <w:rFonts w:cs="Tahoma"/>
                <w:sz w:val="20"/>
                <w:szCs w:val="20"/>
              </w:rPr>
              <w:t>niski</w:t>
            </w:r>
          </w:p>
        </w:tc>
        <w:tc>
          <w:tcPr>
            <w:tcW w:w="2756" w:type="dxa"/>
            <w:tcBorders>
              <w:top w:val="single" w:sz="4" w:space="0" w:color="auto"/>
              <w:left w:val="single" w:sz="4" w:space="0" w:color="auto"/>
              <w:bottom w:val="single" w:sz="4" w:space="0" w:color="auto"/>
              <w:right w:val="single" w:sz="4" w:space="0" w:color="auto"/>
            </w:tcBorders>
            <w:vAlign w:val="center"/>
          </w:tcPr>
          <w:p w14:paraId="7ECD78AF" w14:textId="0D6221A7" w:rsidR="00A51185" w:rsidRPr="00821AF6" w:rsidRDefault="006F777B" w:rsidP="004B2765">
            <w:pPr>
              <w:spacing w:before="40" w:after="20" w:line="264" w:lineRule="auto"/>
              <w:ind w:firstLine="0"/>
              <w:jc w:val="left"/>
              <w:rPr>
                <w:rFonts w:cs="Tahoma"/>
                <w:sz w:val="20"/>
                <w:szCs w:val="20"/>
              </w:rPr>
            </w:pPr>
            <w:r w:rsidRPr="006F777B">
              <w:rPr>
                <w:rFonts w:cs="Tahoma"/>
                <w:sz w:val="20"/>
                <w:szCs w:val="20"/>
              </w:rPr>
              <w:t xml:space="preserve">zmniejszenie zakresu pracy eksploatacyjnej, </w:t>
            </w:r>
            <w:r>
              <w:rPr>
                <w:rFonts w:cs="Tahoma"/>
                <w:sz w:val="20"/>
                <w:szCs w:val="20"/>
              </w:rPr>
              <w:t xml:space="preserve">alternatywne formy </w:t>
            </w:r>
            <w:r w:rsidRPr="006F777B">
              <w:rPr>
                <w:rFonts w:cs="Tahoma"/>
                <w:sz w:val="20"/>
                <w:szCs w:val="20"/>
              </w:rPr>
              <w:t>rekompensaty</w:t>
            </w:r>
          </w:p>
        </w:tc>
      </w:tr>
      <w:tr w:rsidR="00A14995" w:rsidRPr="00821AF6" w14:paraId="1AC2EECC"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1FE24635" w14:textId="1ECD63BC" w:rsidR="00A14995" w:rsidRPr="00A51185" w:rsidRDefault="00A14995" w:rsidP="00A14995">
            <w:pPr>
              <w:spacing w:before="40" w:after="20" w:line="264" w:lineRule="auto"/>
              <w:ind w:firstLine="0"/>
              <w:jc w:val="left"/>
              <w:rPr>
                <w:rFonts w:cs="Tahoma"/>
                <w:sz w:val="20"/>
                <w:szCs w:val="20"/>
              </w:rPr>
            </w:pPr>
            <w:r>
              <w:rPr>
                <w:rFonts w:cs="Tahoma"/>
                <w:sz w:val="20"/>
                <w:szCs w:val="20"/>
              </w:rPr>
              <w:t>Trudności w pozyskaniu</w:t>
            </w:r>
            <w:r>
              <w:rPr>
                <w:rFonts w:cs="Tahoma"/>
                <w:sz w:val="20"/>
                <w:szCs w:val="20"/>
              </w:rPr>
              <w:br/>
              <w:t>dostawcy wodoru</w:t>
            </w:r>
          </w:p>
        </w:tc>
        <w:tc>
          <w:tcPr>
            <w:tcW w:w="1054" w:type="dxa"/>
            <w:tcBorders>
              <w:top w:val="single" w:sz="4" w:space="0" w:color="auto"/>
              <w:left w:val="single" w:sz="4" w:space="0" w:color="auto"/>
              <w:bottom w:val="single" w:sz="4" w:space="0" w:color="auto"/>
              <w:right w:val="single" w:sz="4" w:space="0" w:color="auto"/>
            </w:tcBorders>
            <w:vAlign w:val="center"/>
          </w:tcPr>
          <w:p w14:paraId="46AC13A1" w14:textId="1883FF1F" w:rsidR="00A14995" w:rsidRDefault="00A14995" w:rsidP="004B2765">
            <w:pPr>
              <w:spacing w:before="40" w:after="20" w:line="264" w:lineRule="auto"/>
              <w:ind w:firstLine="0"/>
              <w:jc w:val="center"/>
              <w:rPr>
                <w:rFonts w:cs="Tahoma"/>
                <w:sz w:val="20"/>
                <w:szCs w:val="20"/>
              </w:rPr>
            </w:pPr>
            <w:r>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5279E00D" w14:textId="7A707672" w:rsidR="00A14995" w:rsidRDefault="00004EEC" w:rsidP="004B2765">
            <w:pPr>
              <w:spacing w:before="40" w:after="20" w:line="264" w:lineRule="auto"/>
              <w:ind w:firstLine="0"/>
              <w:jc w:val="center"/>
              <w:rPr>
                <w:rFonts w:cs="Tahoma"/>
                <w:sz w:val="20"/>
                <w:szCs w:val="20"/>
              </w:rPr>
            </w:pPr>
            <w:r>
              <w:rPr>
                <w:rFonts w:cs="Tahoma"/>
                <w:sz w:val="20"/>
                <w:szCs w:val="20"/>
              </w:rPr>
              <w:t>IV</w:t>
            </w:r>
          </w:p>
        </w:tc>
        <w:tc>
          <w:tcPr>
            <w:tcW w:w="1054" w:type="dxa"/>
            <w:tcBorders>
              <w:top w:val="single" w:sz="4" w:space="0" w:color="auto"/>
              <w:left w:val="single" w:sz="4" w:space="0" w:color="auto"/>
              <w:bottom w:val="single" w:sz="4" w:space="0" w:color="auto"/>
              <w:right w:val="single" w:sz="4" w:space="0" w:color="auto"/>
            </w:tcBorders>
            <w:vAlign w:val="center"/>
          </w:tcPr>
          <w:p w14:paraId="28954763" w14:textId="6B617AD3" w:rsidR="00A14995" w:rsidRDefault="00004EEC" w:rsidP="004B2765">
            <w:pPr>
              <w:spacing w:before="40" w:after="20" w:line="264" w:lineRule="auto"/>
              <w:ind w:firstLine="0"/>
              <w:jc w:val="center"/>
              <w:rPr>
                <w:rFonts w:cs="Tahoma"/>
                <w:sz w:val="20"/>
                <w:szCs w:val="20"/>
              </w:rPr>
            </w:pPr>
            <w:r>
              <w:rPr>
                <w:rFonts w:cs="Tahoma"/>
                <w:sz w:val="20"/>
                <w:szCs w:val="20"/>
              </w:rPr>
              <w:t>bardzo wysoki</w:t>
            </w:r>
          </w:p>
        </w:tc>
        <w:tc>
          <w:tcPr>
            <w:tcW w:w="2756" w:type="dxa"/>
            <w:tcBorders>
              <w:top w:val="single" w:sz="4" w:space="0" w:color="auto"/>
              <w:left w:val="single" w:sz="4" w:space="0" w:color="auto"/>
              <w:bottom w:val="single" w:sz="4" w:space="0" w:color="auto"/>
              <w:right w:val="single" w:sz="4" w:space="0" w:color="auto"/>
            </w:tcBorders>
            <w:vAlign w:val="center"/>
          </w:tcPr>
          <w:p w14:paraId="01E073B1" w14:textId="544FD085" w:rsidR="00A14995" w:rsidRPr="006F777B" w:rsidRDefault="00DC19D6" w:rsidP="00DC19D6">
            <w:pPr>
              <w:spacing w:before="40" w:after="20" w:line="264" w:lineRule="auto"/>
              <w:ind w:firstLine="0"/>
              <w:jc w:val="left"/>
              <w:rPr>
                <w:rFonts w:cs="Tahoma"/>
                <w:sz w:val="20"/>
                <w:szCs w:val="20"/>
              </w:rPr>
            </w:pPr>
            <w:r>
              <w:rPr>
                <w:rFonts w:cs="Tahoma"/>
                <w:sz w:val="20"/>
                <w:szCs w:val="20"/>
              </w:rPr>
              <w:t xml:space="preserve">Budowa przez Miasto lub MPK instalacji do produkcji wodoru </w:t>
            </w:r>
            <w:r>
              <w:rPr>
                <w:rFonts w:cs="Tahoma"/>
                <w:sz w:val="20"/>
                <w:szCs w:val="20"/>
              </w:rPr>
              <w:br/>
            </w:r>
            <w:r w:rsidR="00004EEC">
              <w:rPr>
                <w:rFonts w:cs="Tahoma"/>
                <w:sz w:val="20"/>
                <w:szCs w:val="20"/>
              </w:rPr>
              <w:t>ograniczenie zakupów</w:t>
            </w:r>
            <w:r w:rsidR="00004EEC">
              <w:rPr>
                <w:rFonts w:cs="Tahoma"/>
                <w:sz w:val="20"/>
                <w:szCs w:val="20"/>
              </w:rPr>
              <w:br/>
              <w:t>pojazdów wodorowych</w:t>
            </w:r>
          </w:p>
        </w:tc>
      </w:tr>
      <w:tr w:rsidR="009F7F3E" w:rsidRPr="00821AF6" w14:paraId="51CE12F7"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433955CF" w14:textId="77777777" w:rsidR="009F7F3E" w:rsidRPr="00821AF6" w:rsidRDefault="009F7F3E" w:rsidP="004B2765">
            <w:pPr>
              <w:spacing w:before="40" w:after="20" w:line="264" w:lineRule="auto"/>
              <w:ind w:firstLine="0"/>
              <w:jc w:val="left"/>
              <w:rPr>
                <w:rFonts w:cs="Tahoma"/>
                <w:sz w:val="20"/>
                <w:szCs w:val="20"/>
              </w:rPr>
            </w:pPr>
            <w:r w:rsidRPr="00821AF6">
              <w:rPr>
                <w:rFonts w:cs="Tahoma"/>
                <w:sz w:val="20"/>
                <w:szCs w:val="20"/>
              </w:rPr>
              <w:t>Opóźnienie dostaw taboru</w:t>
            </w:r>
          </w:p>
        </w:tc>
        <w:tc>
          <w:tcPr>
            <w:tcW w:w="1054" w:type="dxa"/>
            <w:tcBorders>
              <w:top w:val="single" w:sz="4" w:space="0" w:color="auto"/>
              <w:left w:val="single" w:sz="4" w:space="0" w:color="auto"/>
              <w:bottom w:val="single" w:sz="4" w:space="0" w:color="auto"/>
              <w:right w:val="single" w:sz="4" w:space="0" w:color="auto"/>
            </w:tcBorders>
            <w:vAlign w:val="center"/>
          </w:tcPr>
          <w:p w14:paraId="099DB88D" w14:textId="77777777" w:rsidR="009F7F3E" w:rsidRPr="00821AF6" w:rsidRDefault="009F7F3E"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02BD9E3E" w14:textId="77777777" w:rsidR="009F7F3E" w:rsidRPr="00821AF6" w:rsidRDefault="009F7F3E" w:rsidP="004B2765">
            <w:pPr>
              <w:spacing w:before="40" w:after="20" w:line="264" w:lineRule="auto"/>
              <w:ind w:firstLine="0"/>
              <w:jc w:val="center"/>
              <w:rPr>
                <w:rFonts w:cs="Tahoma"/>
                <w:sz w:val="20"/>
                <w:szCs w:val="20"/>
              </w:rPr>
            </w:pPr>
            <w:r w:rsidRPr="00821AF6">
              <w:rPr>
                <w:rFonts w:cs="Tahoma"/>
                <w:sz w:val="20"/>
                <w:szCs w:val="20"/>
              </w:rPr>
              <w:t>IV</w:t>
            </w:r>
          </w:p>
        </w:tc>
        <w:tc>
          <w:tcPr>
            <w:tcW w:w="1054" w:type="dxa"/>
            <w:tcBorders>
              <w:top w:val="single" w:sz="4" w:space="0" w:color="auto"/>
              <w:left w:val="single" w:sz="4" w:space="0" w:color="auto"/>
              <w:bottom w:val="single" w:sz="4" w:space="0" w:color="auto"/>
              <w:right w:val="single" w:sz="4" w:space="0" w:color="auto"/>
            </w:tcBorders>
            <w:vAlign w:val="center"/>
          </w:tcPr>
          <w:p w14:paraId="3F6C59A9" w14:textId="77777777" w:rsidR="009F7F3E" w:rsidRPr="00821AF6" w:rsidRDefault="009F7F3E" w:rsidP="004B2765">
            <w:pPr>
              <w:spacing w:before="40" w:after="20" w:line="264" w:lineRule="auto"/>
              <w:ind w:firstLine="0"/>
              <w:jc w:val="center"/>
              <w:rPr>
                <w:rFonts w:cs="Tahoma"/>
                <w:sz w:val="20"/>
                <w:szCs w:val="20"/>
              </w:rPr>
            </w:pPr>
            <w:r w:rsidRPr="00821AF6">
              <w:rPr>
                <w:rFonts w:cs="Tahoma"/>
                <w:sz w:val="20"/>
                <w:szCs w:val="20"/>
              </w:rPr>
              <w:t>wysoki</w:t>
            </w:r>
          </w:p>
        </w:tc>
        <w:tc>
          <w:tcPr>
            <w:tcW w:w="2756" w:type="dxa"/>
            <w:tcBorders>
              <w:top w:val="single" w:sz="4" w:space="0" w:color="auto"/>
              <w:left w:val="single" w:sz="4" w:space="0" w:color="auto"/>
              <w:bottom w:val="single" w:sz="4" w:space="0" w:color="auto"/>
              <w:right w:val="single" w:sz="4" w:space="0" w:color="auto"/>
            </w:tcBorders>
            <w:vAlign w:val="center"/>
          </w:tcPr>
          <w:p w14:paraId="3AB87786" w14:textId="17CA0B23" w:rsidR="009F7F3E" w:rsidRPr="00821AF6" w:rsidRDefault="00CF73A9" w:rsidP="004B2765">
            <w:pPr>
              <w:spacing w:before="40" w:after="20" w:line="264" w:lineRule="auto"/>
              <w:ind w:firstLine="0"/>
              <w:jc w:val="left"/>
              <w:rPr>
                <w:rFonts w:cs="Tahoma"/>
                <w:sz w:val="20"/>
                <w:szCs w:val="20"/>
              </w:rPr>
            </w:pPr>
            <w:r w:rsidRPr="00821AF6">
              <w:rPr>
                <w:rFonts w:cs="Tahoma"/>
                <w:sz w:val="20"/>
                <w:szCs w:val="20"/>
              </w:rPr>
              <w:t>wyprzedzające ogłaszanie przetargów</w:t>
            </w:r>
          </w:p>
        </w:tc>
      </w:tr>
      <w:tr w:rsidR="00A51185" w:rsidRPr="00821AF6" w14:paraId="016437D2"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69BA6BEA" w14:textId="76C675B9" w:rsidR="00A51185" w:rsidRPr="00821AF6" w:rsidRDefault="006F777B" w:rsidP="004B2765">
            <w:pPr>
              <w:spacing w:before="40" w:after="20" w:line="264" w:lineRule="auto"/>
              <w:ind w:firstLine="0"/>
              <w:jc w:val="left"/>
              <w:rPr>
                <w:rFonts w:cs="Tahoma"/>
                <w:sz w:val="20"/>
                <w:szCs w:val="20"/>
              </w:rPr>
            </w:pPr>
            <w:r w:rsidRPr="00821AF6">
              <w:rPr>
                <w:rFonts w:cs="Tahoma"/>
                <w:sz w:val="20"/>
                <w:szCs w:val="20"/>
              </w:rPr>
              <w:t xml:space="preserve">Wyższe </w:t>
            </w:r>
            <w:r>
              <w:rPr>
                <w:rFonts w:cs="Tahoma"/>
                <w:sz w:val="20"/>
                <w:szCs w:val="20"/>
              </w:rPr>
              <w:t xml:space="preserve">lub zbyt wysokie </w:t>
            </w:r>
            <w:r w:rsidRPr="00821AF6">
              <w:rPr>
                <w:rFonts w:cs="Tahoma"/>
                <w:sz w:val="20"/>
                <w:szCs w:val="20"/>
              </w:rPr>
              <w:t>ceny taboru</w:t>
            </w:r>
          </w:p>
        </w:tc>
        <w:tc>
          <w:tcPr>
            <w:tcW w:w="1054" w:type="dxa"/>
            <w:tcBorders>
              <w:top w:val="single" w:sz="4" w:space="0" w:color="auto"/>
              <w:left w:val="single" w:sz="4" w:space="0" w:color="auto"/>
              <w:bottom w:val="single" w:sz="4" w:space="0" w:color="auto"/>
              <w:right w:val="single" w:sz="4" w:space="0" w:color="auto"/>
            </w:tcBorders>
            <w:vAlign w:val="center"/>
          </w:tcPr>
          <w:p w14:paraId="2FCAD636" w14:textId="77777777"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1388A62B" w14:textId="77777777"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II</w:t>
            </w:r>
          </w:p>
        </w:tc>
        <w:tc>
          <w:tcPr>
            <w:tcW w:w="1054" w:type="dxa"/>
            <w:tcBorders>
              <w:top w:val="single" w:sz="4" w:space="0" w:color="auto"/>
              <w:left w:val="single" w:sz="4" w:space="0" w:color="auto"/>
              <w:bottom w:val="single" w:sz="4" w:space="0" w:color="auto"/>
              <w:right w:val="single" w:sz="4" w:space="0" w:color="auto"/>
            </w:tcBorders>
            <w:vAlign w:val="center"/>
          </w:tcPr>
          <w:p w14:paraId="7C5B7D35" w14:textId="0AA11A9B" w:rsidR="00A51185"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5CDF664B" w14:textId="7D0645A0" w:rsidR="00A51185" w:rsidRPr="00821AF6" w:rsidRDefault="006947DC" w:rsidP="004B2765">
            <w:pPr>
              <w:spacing w:before="40" w:after="20" w:line="264" w:lineRule="auto"/>
              <w:ind w:firstLine="0"/>
              <w:jc w:val="left"/>
              <w:rPr>
                <w:rFonts w:cs="Tahoma"/>
                <w:sz w:val="20"/>
                <w:szCs w:val="20"/>
              </w:rPr>
            </w:pPr>
            <w:r w:rsidRPr="00821AF6">
              <w:rPr>
                <w:rFonts w:cs="Tahoma"/>
                <w:sz w:val="20"/>
                <w:szCs w:val="20"/>
              </w:rPr>
              <w:t xml:space="preserve">wyprzedzające ogłaszanie przetargów, </w:t>
            </w:r>
            <w:r>
              <w:rPr>
                <w:rFonts w:cs="Tahoma"/>
                <w:sz w:val="20"/>
                <w:szCs w:val="20"/>
              </w:rPr>
              <w:t>zmiany kompletacji</w:t>
            </w:r>
            <w:r w:rsidR="00A14995">
              <w:rPr>
                <w:rFonts w:cs="Tahoma"/>
                <w:sz w:val="20"/>
                <w:szCs w:val="20"/>
              </w:rPr>
              <w:t xml:space="preserve"> i struktury</w:t>
            </w:r>
          </w:p>
        </w:tc>
      </w:tr>
      <w:tr w:rsidR="00A51185" w:rsidRPr="00821AF6" w14:paraId="2AA2BD70"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7CBE2E54" w14:textId="4CD59355" w:rsidR="00A51185" w:rsidRPr="00821AF6" w:rsidRDefault="00A51185" w:rsidP="004B2765">
            <w:pPr>
              <w:spacing w:before="40" w:after="20" w:line="264" w:lineRule="auto"/>
              <w:ind w:firstLine="0"/>
              <w:jc w:val="left"/>
              <w:rPr>
                <w:rFonts w:cs="Tahoma"/>
                <w:sz w:val="20"/>
                <w:szCs w:val="20"/>
              </w:rPr>
            </w:pPr>
            <w:r w:rsidRPr="00821AF6">
              <w:rPr>
                <w:rFonts w:cs="Tahoma"/>
                <w:sz w:val="20"/>
                <w:szCs w:val="20"/>
              </w:rPr>
              <w:t>Wyższe koszty infrastruktury</w:t>
            </w:r>
            <w:r w:rsidRPr="00821AF6">
              <w:rPr>
                <w:rFonts w:cs="Tahoma"/>
                <w:sz w:val="20"/>
                <w:szCs w:val="20"/>
              </w:rPr>
              <w:br/>
              <w:t>i dostosowania obiektów</w:t>
            </w:r>
          </w:p>
        </w:tc>
        <w:tc>
          <w:tcPr>
            <w:tcW w:w="1054" w:type="dxa"/>
            <w:tcBorders>
              <w:top w:val="single" w:sz="4" w:space="0" w:color="auto"/>
              <w:left w:val="single" w:sz="4" w:space="0" w:color="auto"/>
              <w:bottom w:val="single" w:sz="4" w:space="0" w:color="auto"/>
              <w:right w:val="single" w:sz="4" w:space="0" w:color="auto"/>
            </w:tcBorders>
            <w:vAlign w:val="center"/>
          </w:tcPr>
          <w:p w14:paraId="270451D1" w14:textId="0B4D4395"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6BC38355" w14:textId="2E26510B"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46924DDD" w14:textId="796926F5" w:rsidR="00A51185"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75C1E608" w14:textId="7A6AED89" w:rsidR="00A51185" w:rsidRPr="00821AF6" w:rsidRDefault="006947DC" w:rsidP="004B2765">
            <w:pPr>
              <w:spacing w:before="40" w:after="20" w:line="264" w:lineRule="auto"/>
              <w:ind w:firstLine="0"/>
              <w:jc w:val="left"/>
              <w:rPr>
                <w:rFonts w:cs="Tahoma"/>
                <w:sz w:val="20"/>
                <w:szCs w:val="20"/>
              </w:rPr>
            </w:pPr>
            <w:r>
              <w:rPr>
                <w:rFonts w:cs="Tahoma"/>
                <w:sz w:val="20"/>
                <w:szCs w:val="20"/>
              </w:rPr>
              <w:t xml:space="preserve">ograniczenie wymogów, </w:t>
            </w:r>
            <w:r w:rsidRPr="00821AF6">
              <w:rPr>
                <w:rFonts w:cs="Tahoma"/>
                <w:sz w:val="20"/>
                <w:szCs w:val="20"/>
              </w:rPr>
              <w:t>wyprzedzające ogłaszanie przetargów</w:t>
            </w:r>
          </w:p>
        </w:tc>
      </w:tr>
      <w:tr w:rsidR="00A51185" w:rsidRPr="00821AF6" w14:paraId="2644CC1E"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404A4755" w14:textId="1DED7168" w:rsidR="00A51185" w:rsidRPr="00821AF6" w:rsidRDefault="00A51185" w:rsidP="004B2765">
            <w:pPr>
              <w:spacing w:before="40" w:after="20" w:line="264" w:lineRule="auto"/>
              <w:ind w:firstLine="0"/>
              <w:jc w:val="left"/>
              <w:rPr>
                <w:rFonts w:cs="Tahoma"/>
                <w:sz w:val="20"/>
                <w:szCs w:val="20"/>
              </w:rPr>
            </w:pPr>
            <w:r w:rsidRPr="00821AF6">
              <w:rPr>
                <w:rFonts w:cs="Tahoma"/>
                <w:sz w:val="20"/>
                <w:szCs w:val="20"/>
              </w:rPr>
              <w:t>Opóźnienie w realizacji</w:t>
            </w:r>
            <w:r w:rsidRPr="00821AF6">
              <w:rPr>
                <w:rFonts w:cs="Tahoma"/>
                <w:sz w:val="20"/>
                <w:szCs w:val="20"/>
              </w:rPr>
              <w:br/>
              <w:t>infrastruktury</w:t>
            </w:r>
            <w:r w:rsidR="00004EEC">
              <w:rPr>
                <w:rFonts w:cs="Tahoma"/>
                <w:sz w:val="20"/>
                <w:szCs w:val="20"/>
              </w:rPr>
              <w:t xml:space="preserve"> ładowania</w:t>
            </w:r>
          </w:p>
        </w:tc>
        <w:tc>
          <w:tcPr>
            <w:tcW w:w="1054" w:type="dxa"/>
            <w:tcBorders>
              <w:top w:val="single" w:sz="4" w:space="0" w:color="auto"/>
              <w:left w:val="single" w:sz="4" w:space="0" w:color="auto"/>
              <w:bottom w:val="single" w:sz="4" w:space="0" w:color="auto"/>
              <w:right w:val="single" w:sz="4" w:space="0" w:color="auto"/>
            </w:tcBorders>
            <w:vAlign w:val="center"/>
          </w:tcPr>
          <w:p w14:paraId="7C9F52F4" w14:textId="77777777"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073E5AFF" w14:textId="77777777"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IV</w:t>
            </w:r>
          </w:p>
        </w:tc>
        <w:tc>
          <w:tcPr>
            <w:tcW w:w="1054" w:type="dxa"/>
            <w:tcBorders>
              <w:top w:val="single" w:sz="4" w:space="0" w:color="auto"/>
              <w:left w:val="single" w:sz="4" w:space="0" w:color="auto"/>
              <w:bottom w:val="single" w:sz="4" w:space="0" w:color="auto"/>
              <w:right w:val="single" w:sz="4" w:space="0" w:color="auto"/>
            </w:tcBorders>
            <w:vAlign w:val="center"/>
          </w:tcPr>
          <w:p w14:paraId="7E35A1F4" w14:textId="77777777"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wysoki</w:t>
            </w:r>
          </w:p>
        </w:tc>
        <w:tc>
          <w:tcPr>
            <w:tcW w:w="2756" w:type="dxa"/>
            <w:tcBorders>
              <w:top w:val="single" w:sz="4" w:space="0" w:color="auto"/>
              <w:left w:val="single" w:sz="4" w:space="0" w:color="auto"/>
              <w:bottom w:val="single" w:sz="4" w:space="0" w:color="auto"/>
              <w:right w:val="single" w:sz="4" w:space="0" w:color="auto"/>
            </w:tcBorders>
            <w:vAlign w:val="center"/>
          </w:tcPr>
          <w:p w14:paraId="6A930C1E" w14:textId="264E3F34" w:rsidR="00A51185" w:rsidRPr="00821AF6" w:rsidRDefault="006947DC" w:rsidP="004B2765">
            <w:pPr>
              <w:spacing w:before="40" w:after="20" w:line="264" w:lineRule="auto"/>
              <w:ind w:firstLine="0"/>
              <w:jc w:val="left"/>
              <w:rPr>
                <w:rFonts w:cs="Tahoma"/>
                <w:sz w:val="20"/>
                <w:szCs w:val="20"/>
              </w:rPr>
            </w:pPr>
            <w:r w:rsidRPr="00821AF6">
              <w:rPr>
                <w:rFonts w:cs="Tahoma"/>
                <w:sz w:val="20"/>
                <w:szCs w:val="20"/>
              </w:rPr>
              <w:t>wyprzedzające ogłaszanie przetargów</w:t>
            </w:r>
          </w:p>
        </w:tc>
      </w:tr>
      <w:tr w:rsidR="00004EEC" w:rsidRPr="00821AF6" w14:paraId="74460527"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26F05EB1" w14:textId="49FBECAE" w:rsidR="00004EEC" w:rsidRPr="00821AF6" w:rsidRDefault="00004EEC" w:rsidP="004B2765">
            <w:pPr>
              <w:spacing w:before="40" w:after="20" w:line="264" w:lineRule="auto"/>
              <w:ind w:firstLine="0"/>
              <w:jc w:val="left"/>
              <w:rPr>
                <w:rFonts w:cs="Tahoma"/>
                <w:sz w:val="20"/>
                <w:szCs w:val="20"/>
              </w:rPr>
            </w:pPr>
            <w:r>
              <w:rPr>
                <w:rFonts w:cs="Tahoma"/>
                <w:sz w:val="20"/>
                <w:szCs w:val="20"/>
              </w:rPr>
              <w:t>Opóźnienie w realizacji</w:t>
            </w:r>
            <w:r>
              <w:rPr>
                <w:rFonts w:cs="Tahoma"/>
                <w:sz w:val="20"/>
                <w:szCs w:val="20"/>
              </w:rPr>
              <w:br/>
              <w:t>stacji tankowania wodoru</w:t>
            </w:r>
          </w:p>
        </w:tc>
        <w:tc>
          <w:tcPr>
            <w:tcW w:w="1054" w:type="dxa"/>
            <w:tcBorders>
              <w:top w:val="single" w:sz="4" w:space="0" w:color="auto"/>
              <w:left w:val="single" w:sz="4" w:space="0" w:color="auto"/>
              <w:bottom w:val="single" w:sz="4" w:space="0" w:color="auto"/>
              <w:right w:val="single" w:sz="4" w:space="0" w:color="auto"/>
            </w:tcBorders>
            <w:vAlign w:val="center"/>
          </w:tcPr>
          <w:p w14:paraId="6E6D817E" w14:textId="60B39D6F" w:rsidR="00004EEC" w:rsidRPr="00821AF6" w:rsidRDefault="00004EEC" w:rsidP="004B2765">
            <w:pPr>
              <w:spacing w:before="40" w:after="20" w:line="264" w:lineRule="auto"/>
              <w:ind w:firstLine="0"/>
              <w:jc w:val="center"/>
              <w:rPr>
                <w:rFonts w:cs="Tahoma"/>
                <w:sz w:val="20"/>
                <w:szCs w:val="20"/>
              </w:rPr>
            </w:pPr>
            <w:r>
              <w:rPr>
                <w:rFonts w:cs="Tahoma"/>
                <w:sz w:val="20"/>
                <w:szCs w:val="20"/>
              </w:rPr>
              <w:t>D</w:t>
            </w:r>
          </w:p>
        </w:tc>
        <w:tc>
          <w:tcPr>
            <w:tcW w:w="1055" w:type="dxa"/>
            <w:tcBorders>
              <w:top w:val="single" w:sz="4" w:space="0" w:color="auto"/>
              <w:left w:val="single" w:sz="4" w:space="0" w:color="auto"/>
              <w:bottom w:val="single" w:sz="4" w:space="0" w:color="auto"/>
              <w:right w:val="single" w:sz="4" w:space="0" w:color="auto"/>
            </w:tcBorders>
            <w:vAlign w:val="center"/>
          </w:tcPr>
          <w:p w14:paraId="7A0DACC4" w14:textId="65AB9D70" w:rsidR="00004EEC" w:rsidRPr="00821AF6" w:rsidRDefault="00004EEC" w:rsidP="004B2765">
            <w:pPr>
              <w:spacing w:before="40" w:after="20" w:line="264" w:lineRule="auto"/>
              <w:ind w:firstLine="0"/>
              <w:jc w:val="center"/>
              <w:rPr>
                <w:rFonts w:cs="Tahoma"/>
                <w:sz w:val="20"/>
                <w:szCs w:val="20"/>
              </w:rPr>
            </w:pPr>
            <w:r>
              <w:rPr>
                <w:rFonts w:cs="Tahoma"/>
                <w:sz w:val="20"/>
                <w:szCs w:val="20"/>
              </w:rPr>
              <w:t>IV</w:t>
            </w:r>
          </w:p>
        </w:tc>
        <w:tc>
          <w:tcPr>
            <w:tcW w:w="1054" w:type="dxa"/>
            <w:tcBorders>
              <w:top w:val="single" w:sz="4" w:space="0" w:color="auto"/>
              <w:left w:val="single" w:sz="4" w:space="0" w:color="auto"/>
              <w:bottom w:val="single" w:sz="4" w:space="0" w:color="auto"/>
              <w:right w:val="single" w:sz="4" w:space="0" w:color="auto"/>
            </w:tcBorders>
            <w:vAlign w:val="center"/>
          </w:tcPr>
          <w:p w14:paraId="79A9CDEA" w14:textId="62DA5B64" w:rsidR="00004EEC" w:rsidRPr="00821AF6" w:rsidRDefault="00004EEC" w:rsidP="004B2765">
            <w:pPr>
              <w:spacing w:before="40" w:after="20" w:line="264" w:lineRule="auto"/>
              <w:ind w:firstLine="0"/>
              <w:jc w:val="center"/>
              <w:rPr>
                <w:rFonts w:cs="Tahoma"/>
                <w:sz w:val="20"/>
                <w:szCs w:val="20"/>
              </w:rPr>
            </w:pPr>
            <w:r>
              <w:rPr>
                <w:rFonts w:cs="Tahoma"/>
                <w:sz w:val="20"/>
                <w:szCs w:val="20"/>
              </w:rPr>
              <w:t>bardzo wysoki</w:t>
            </w:r>
          </w:p>
        </w:tc>
        <w:tc>
          <w:tcPr>
            <w:tcW w:w="2756" w:type="dxa"/>
            <w:tcBorders>
              <w:top w:val="single" w:sz="4" w:space="0" w:color="auto"/>
              <w:left w:val="single" w:sz="4" w:space="0" w:color="auto"/>
              <w:bottom w:val="single" w:sz="4" w:space="0" w:color="auto"/>
              <w:right w:val="single" w:sz="4" w:space="0" w:color="auto"/>
            </w:tcBorders>
            <w:vAlign w:val="center"/>
          </w:tcPr>
          <w:p w14:paraId="024D8DD0" w14:textId="4DB51893" w:rsidR="00004EEC" w:rsidRPr="00821AF6" w:rsidRDefault="00004EEC" w:rsidP="004B2765">
            <w:pPr>
              <w:spacing w:before="40" w:after="20" w:line="264" w:lineRule="auto"/>
              <w:ind w:firstLine="0"/>
              <w:jc w:val="left"/>
              <w:rPr>
                <w:rFonts w:cs="Tahoma"/>
                <w:sz w:val="20"/>
                <w:szCs w:val="20"/>
              </w:rPr>
            </w:pPr>
            <w:r>
              <w:rPr>
                <w:rFonts w:cs="Tahoma"/>
                <w:sz w:val="20"/>
                <w:szCs w:val="20"/>
              </w:rPr>
              <w:t>opóźnienie zakupów</w:t>
            </w:r>
            <w:r>
              <w:rPr>
                <w:rFonts w:cs="Tahoma"/>
                <w:sz w:val="20"/>
                <w:szCs w:val="20"/>
              </w:rPr>
              <w:br/>
              <w:t>autobusów wodorowych</w:t>
            </w:r>
          </w:p>
        </w:tc>
      </w:tr>
      <w:tr w:rsidR="00A51185" w:rsidRPr="00821AF6" w14:paraId="3EDD6EE5"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38575FFC" w14:textId="77777777" w:rsidR="00A51185" w:rsidRPr="00821AF6" w:rsidRDefault="00A51185" w:rsidP="004B2765">
            <w:pPr>
              <w:spacing w:before="40" w:after="20" w:line="264" w:lineRule="auto"/>
              <w:ind w:firstLine="0"/>
              <w:jc w:val="left"/>
              <w:rPr>
                <w:rFonts w:cs="Tahoma"/>
                <w:sz w:val="20"/>
                <w:szCs w:val="20"/>
              </w:rPr>
            </w:pPr>
            <w:r w:rsidRPr="00821AF6">
              <w:rPr>
                <w:rFonts w:cs="Tahoma"/>
                <w:sz w:val="20"/>
                <w:szCs w:val="20"/>
              </w:rPr>
              <w:t xml:space="preserve">Wyższe ceny oleju napędowego </w:t>
            </w:r>
          </w:p>
        </w:tc>
        <w:tc>
          <w:tcPr>
            <w:tcW w:w="1054" w:type="dxa"/>
            <w:tcBorders>
              <w:top w:val="single" w:sz="4" w:space="0" w:color="auto"/>
              <w:left w:val="single" w:sz="4" w:space="0" w:color="auto"/>
              <w:bottom w:val="single" w:sz="4" w:space="0" w:color="auto"/>
              <w:right w:val="single" w:sz="4" w:space="0" w:color="auto"/>
            </w:tcBorders>
            <w:vAlign w:val="center"/>
          </w:tcPr>
          <w:p w14:paraId="0B0A0C29" w14:textId="77777777"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B</w:t>
            </w:r>
          </w:p>
        </w:tc>
        <w:tc>
          <w:tcPr>
            <w:tcW w:w="1055" w:type="dxa"/>
            <w:tcBorders>
              <w:top w:val="single" w:sz="4" w:space="0" w:color="auto"/>
              <w:left w:val="single" w:sz="4" w:space="0" w:color="auto"/>
              <w:bottom w:val="single" w:sz="4" w:space="0" w:color="auto"/>
              <w:right w:val="single" w:sz="4" w:space="0" w:color="auto"/>
            </w:tcBorders>
            <w:vAlign w:val="center"/>
          </w:tcPr>
          <w:p w14:paraId="1B812A8F" w14:textId="77777777"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454A6320" w14:textId="2BE27451" w:rsidR="00A51185"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51C99EC9" w14:textId="77777777" w:rsidR="00A51185" w:rsidRPr="00821AF6" w:rsidRDefault="00A51185" w:rsidP="004B2765">
            <w:pPr>
              <w:spacing w:before="40" w:after="20" w:line="264" w:lineRule="auto"/>
              <w:ind w:firstLine="0"/>
              <w:jc w:val="left"/>
              <w:rPr>
                <w:rFonts w:cs="Tahoma"/>
                <w:sz w:val="20"/>
                <w:szCs w:val="20"/>
              </w:rPr>
            </w:pPr>
            <w:r w:rsidRPr="00821AF6">
              <w:rPr>
                <w:rFonts w:cs="Tahoma"/>
                <w:sz w:val="20"/>
                <w:szCs w:val="20"/>
              </w:rPr>
              <w:t>dywersyfikacja napędów</w:t>
            </w:r>
            <w:r w:rsidRPr="00821AF6">
              <w:rPr>
                <w:rFonts w:cs="Tahoma"/>
                <w:sz w:val="20"/>
                <w:szCs w:val="20"/>
              </w:rPr>
              <w:br/>
              <w:t>autobusów</w:t>
            </w:r>
          </w:p>
        </w:tc>
      </w:tr>
      <w:tr w:rsidR="00A51185" w:rsidRPr="00821AF6" w14:paraId="2828ACC9"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4FF413EB" w14:textId="476AD631" w:rsidR="00A51185" w:rsidRPr="00821AF6" w:rsidRDefault="00A51185" w:rsidP="004B2765">
            <w:pPr>
              <w:spacing w:before="40" w:after="20" w:line="264" w:lineRule="auto"/>
              <w:ind w:firstLine="0"/>
              <w:jc w:val="left"/>
              <w:rPr>
                <w:rFonts w:cs="Tahoma"/>
                <w:sz w:val="20"/>
                <w:szCs w:val="20"/>
              </w:rPr>
            </w:pPr>
            <w:r w:rsidRPr="00821AF6">
              <w:rPr>
                <w:rFonts w:cs="Tahoma"/>
                <w:sz w:val="20"/>
                <w:szCs w:val="20"/>
              </w:rPr>
              <w:t>Wyższe ceny energii</w:t>
            </w:r>
            <w:r w:rsidRPr="00821AF6">
              <w:rPr>
                <w:rFonts w:cs="Tahoma"/>
                <w:sz w:val="20"/>
                <w:szCs w:val="20"/>
              </w:rPr>
              <w:br/>
              <w:t>elektrycznej</w:t>
            </w:r>
          </w:p>
        </w:tc>
        <w:tc>
          <w:tcPr>
            <w:tcW w:w="1054" w:type="dxa"/>
            <w:tcBorders>
              <w:top w:val="single" w:sz="4" w:space="0" w:color="auto"/>
              <w:left w:val="single" w:sz="4" w:space="0" w:color="auto"/>
              <w:bottom w:val="single" w:sz="4" w:space="0" w:color="auto"/>
              <w:right w:val="single" w:sz="4" w:space="0" w:color="auto"/>
            </w:tcBorders>
            <w:vAlign w:val="center"/>
          </w:tcPr>
          <w:p w14:paraId="61ACF835" w14:textId="77777777"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43BB014A" w14:textId="77777777" w:rsidR="00A51185" w:rsidRPr="00821AF6" w:rsidRDefault="00A51185" w:rsidP="004B2765">
            <w:pPr>
              <w:spacing w:before="40" w:after="20" w:line="264" w:lineRule="auto"/>
              <w:ind w:firstLine="0"/>
              <w:jc w:val="center"/>
              <w:rPr>
                <w:rFonts w:cs="Tahoma"/>
                <w:sz w:val="20"/>
                <w:szCs w:val="20"/>
              </w:rPr>
            </w:pPr>
            <w:r w:rsidRPr="00821AF6">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782D4D45" w14:textId="55334D07" w:rsidR="00A51185"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7CFA44A7" w14:textId="77777777" w:rsidR="00A51185" w:rsidRPr="00821AF6" w:rsidRDefault="00A51185" w:rsidP="004B2765">
            <w:pPr>
              <w:spacing w:before="40" w:after="20" w:line="264" w:lineRule="auto"/>
              <w:ind w:firstLine="0"/>
              <w:jc w:val="left"/>
              <w:rPr>
                <w:rFonts w:cs="Tahoma"/>
                <w:sz w:val="20"/>
                <w:szCs w:val="20"/>
              </w:rPr>
            </w:pPr>
            <w:r w:rsidRPr="00821AF6">
              <w:rPr>
                <w:rFonts w:cs="Tahoma"/>
                <w:sz w:val="20"/>
                <w:szCs w:val="20"/>
              </w:rPr>
              <w:t>głównie nocne ładowanie,</w:t>
            </w:r>
            <w:r w:rsidRPr="00821AF6">
              <w:rPr>
                <w:rFonts w:cs="Tahoma"/>
                <w:sz w:val="20"/>
                <w:szCs w:val="20"/>
              </w:rPr>
              <w:br/>
              <w:t>dodatkowe baterie</w:t>
            </w:r>
          </w:p>
        </w:tc>
      </w:tr>
      <w:tr w:rsidR="006947DC" w:rsidRPr="00821AF6" w14:paraId="720C3B5F"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60DE777A" w14:textId="1E584BEA" w:rsidR="006947DC" w:rsidRPr="00821AF6" w:rsidRDefault="006947DC" w:rsidP="004B2765">
            <w:pPr>
              <w:spacing w:before="40" w:after="20" w:line="264" w:lineRule="auto"/>
              <w:ind w:firstLine="0"/>
              <w:jc w:val="left"/>
              <w:rPr>
                <w:rFonts w:cs="Tahoma"/>
                <w:sz w:val="20"/>
                <w:szCs w:val="20"/>
              </w:rPr>
            </w:pPr>
            <w:r>
              <w:rPr>
                <w:rFonts w:cs="Tahoma"/>
                <w:sz w:val="20"/>
                <w:szCs w:val="20"/>
              </w:rPr>
              <w:t>Wyższe ceny CNG</w:t>
            </w:r>
          </w:p>
        </w:tc>
        <w:tc>
          <w:tcPr>
            <w:tcW w:w="1054" w:type="dxa"/>
            <w:tcBorders>
              <w:top w:val="single" w:sz="4" w:space="0" w:color="auto"/>
              <w:left w:val="single" w:sz="4" w:space="0" w:color="auto"/>
              <w:bottom w:val="single" w:sz="4" w:space="0" w:color="auto"/>
              <w:right w:val="single" w:sz="4" w:space="0" w:color="auto"/>
            </w:tcBorders>
            <w:vAlign w:val="center"/>
          </w:tcPr>
          <w:p w14:paraId="519A7E80" w14:textId="3C6517A4" w:rsidR="006947DC" w:rsidRPr="00821AF6" w:rsidRDefault="006947DC" w:rsidP="004B2765">
            <w:pPr>
              <w:spacing w:before="40" w:after="20" w:line="264" w:lineRule="auto"/>
              <w:ind w:firstLine="0"/>
              <w:jc w:val="center"/>
              <w:rPr>
                <w:rFonts w:cs="Tahoma"/>
                <w:sz w:val="20"/>
                <w:szCs w:val="20"/>
              </w:rPr>
            </w:pPr>
            <w:r>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2EF3E605" w14:textId="0D48BAEF" w:rsidR="006947DC" w:rsidRPr="00821AF6" w:rsidRDefault="006947DC" w:rsidP="004B2765">
            <w:pPr>
              <w:spacing w:before="40" w:after="20" w:line="264" w:lineRule="auto"/>
              <w:ind w:firstLine="0"/>
              <w:jc w:val="center"/>
              <w:rPr>
                <w:rFonts w:cs="Tahoma"/>
                <w:sz w:val="20"/>
                <w:szCs w:val="20"/>
              </w:rPr>
            </w:pPr>
            <w:r>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5DCC0869" w14:textId="3A3819D3" w:rsidR="006947DC" w:rsidRPr="00821AF6" w:rsidRDefault="006947DC"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776B7FA1" w14:textId="2BADB76C" w:rsidR="006947DC" w:rsidRPr="00821AF6" w:rsidRDefault="006742B7" w:rsidP="004B2765">
            <w:pPr>
              <w:spacing w:before="40" w:after="20" w:line="264" w:lineRule="auto"/>
              <w:ind w:firstLine="0"/>
              <w:jc w:val="left"/>
              <w:rPr>
                <w:rFonts w:cs="Tahoma"/>
                <w:sz w:val="20"/>
                <w:szCs w:val="20"/>
              </w:rPr>
            </w:pPr>
            <w:r>
              <w:rPr>
                <w:rFonts w:cs="Tahoma"/>
                <w:sz w:val="20"/>
                <w:szCs w:val="20"/>
              </w:rPr>
              <w:t>kontrakty długoterminowe</w:t>
            </w:r>
            <w:r w:rsidR="006947DC">
              <w:rPr>
                <w:rFonts w:cs="Tahoma"/>
                <w:sz w:val="20"/>
                <w:szCs w:val="20"/>
              </w:rPr>
              <w:t>, ograniczenie przewozów</w:t>
            </w:r>
            <w:r w:rsidR="00803AF9">
              <w:rPr>
                <w:rFonts w:cs="Tahoma"/>
                <w:sz w:val="20"/>
                <w:szCs w:val="20"/>
              </w:rPr>
              <w:br/>
            </w:r>
            <w:r w:rsidR="006947DC">
              <w:rPr>
                <w:rFonts w:cs="Tahoma"/>
                <w:sz w:val="20"/>
                <w:szCs w:val="20"/>
              </w:rPr>
              <w:t>taborem CNG</w:t>
            </w:r>
          </w:p>
        </w:tc>
      </w:tr>
      <w:tr w:rsidR="00004EEC" w:rsidRPr="00821AF6" w14:paraId="4C98DF12"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159AFE66" w14:textId="1BE2CFAB" w:rsidR="00004EEC" w:rsidRDefault="00004EEC" w:rsidP="004B2765">
            <w:pPr>
              <w:spacing w:before="40" w:after="20" w:line="264" w:lineRule="auto"/>
              <w:ind w:firstLine="0"/>
              <w:jc w:val="left"/>
              <w:rPr>
                <w:rFonts w:cs="Tahoma"/>
                <w:sz w:val="20"/>
                <w:szCs w:val="20"/>
              </w:rPr>
            </w:pPr>
            <w:r>
              <w:rPr>
                <w:rFonts w:cs="Tahoma"/>
                <w:sz w:val="20"/>
                <w:szCs w:val="20"/>
              </w:rPr>
              <w:t>Wyższe ceny wodoru</w:t>
            </w:r>
          </w:p>
        </w:tc>
        <w:tc>
          <w:tcPr>
            <w:tcW w:w="1054" w:type="dxa"/>
            <w:tcBorders>
              <w:top w:val="single" w:sz="4" w:space="0" w:color="auto"/>
              <w:left w:val="single" w:sz="4" w:space="0" w:color="auto"/>
              <w:bottom w:val="single" w:sz="4" w:space="0" w:color="auto"/>
              <w:right w:val="single" w:sz="4" w:space="0" w:color="auto"/>
            </w:tcBorders>
            <w:vAlign w:val="center"/>
          </w:tcPr>
          <w:p w14:paraId="761E5A5B" w14:textId="447C1DC2" w:rsidR="00004EEC" w:rsidRDefault="00004EEC" w:rsidP="004B2765">
            <w:pPr>
              <w:spacing w:before="40" w:after="20" w:line="264" w:lineRule="auto"/>
              <w:ind w:firstLine="0"/>
              <w:jc w:val="center"/>
              <w:rPr>
                <w:rFonts w:cs="Tahoma"/>
                <w:sz w:val="20"/>
                <w:szCs w:val="20"/>
              </w:rPr>
            </w:pPr>
            <w:r>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057D43F5" w14:textId="3C06984C" w:rsidR="00004EEC" w:rsidRDefault="00004EEC" w:rsidP="004B2765">
            <w:pPr>
              <w:spacing w:before="40" w:after="20" w:line="264" w:lineRule="auto"/>
              <w:ind w:firstLine="0"/>
              <w:jc w:val="center"/>
              <w:rPr>
                <w:rFonts w:cs="Tahoma"/>
                <w:sz w:val="20"/>
                <w:szCs w:val="20"/>
              </w:rPr>
            </w:pPr>
            <w:r>
              <w:rPr>
                <w:rFonts w:cs="Tahoma"/>
                <w:sz w:val="20"/>
                <w:szCs w:val="20"/>
              </w:rPr>
              <w:t>III</w:t>
            </w:r>
          </w:p>
        </w:tc>
        <w:tc>
          <w:tcPr>
            <w:tcW w:w="1054" w:type="dxa"/>
            <w:tcBorders>
              <w:top w:val="single" w:sz="4" w:space="0" w:color="auto"/>
              <w:left w:val="single" w:sz="4" w:space="0" w:color="auto"/>
              <w:bottom w:val="single" w:sz="4" w:space="0" w:color="auto"/>
              <w:right w:val="single" w:sz="4" w:space="0" w:color="auto"/>
            </w:tcBorders>
            <w:vAlign w:val="center"/>
          </w:tcPr>
          <w:p w14:paraId="31A4BAE3" w14:textId="47C75F8E" w:rsidR="00004EEC" w:rsidRDefault="00004EEC"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17A268BD" w14:textId="1CB00727" w:rsidR="00004EEC" w:rsidRDefault="00004EEC" w:rsidP="00004EEC">
            <w:pPr>
              <w:spacing w:before="40" w:after="20" w:line="264" w:lineRule="auto"/>
              <w:ind w:firstLine="0"/>
              <w:jc w:val="left"/>
              <w:rPr>
                <w:rFonts w:cs="Tahoma"/>
                <w:sz w:val="20"/>
                <w:szCs w:val="20"/>
              </w:rPr>
            </w:pPr>
            <w:r w:rsidRPr="00004EEC">
              <w:rPr>
                <w:rFonts w:cs="Tahoma"/>
                <w:sz w:val="20"/>
                <w:szCs w:val="20"/>
              </w:rPr>
              <w:t>ograniczenie przewozów</w:t>
            </w:r>
            <w:r w:rsidRPr="00004EEC">
              <w:rPr>
                <w:rFonts w:cs="Tahoma"/>
                <w:sz w:val="20"/>
                <w:szCs w:val="20"/>
              </w:rPr>
              <w:br/>
              <w:t xml:space="preserve">taborem </w:t>
            </w:r>
            <w:r>
              <w:rPr>
                <w:rFonts w:cs="Tahoma"/>
                <w:sz w:val="20"/>
                <w:szCs w:val="20"/>
              </w:rPr>
              <w:t>wodorowym</w:t>
            </w:r>
          </w:p>
        </w:tc>
      </w:tr>
      <w:tr w:rsidR="006947DC" w:rsidRPr="00821AF6" w14:paraId="5EA69DE4" w14:textId="77777777" w:rsidTr="00A51185">
        <w:trPr>
          <w:cantSplit/>
          <w:jc w:val="center"/>
        </w:trPr>
        <w:tc>
          <w:tcPr>
            <w:tcW w:w="3153" w:type="dxa"/>
            <w:tcBorders>
              <w:top w:val="single" w:sz="4" w:space="0" w:color="auto"/>
              <w:left w:val="single" w:sz="4" w:space="0" w:color="auto"/>
              <w:bottom w:val="single" w:sz="4" w:space="0" w:color="auto"/>
              <w:right w:val="single" w:sz="4" w:space="0" w:color="auto"/>
            </w:tcBorders>
            <w:vAlign w:val="center"/>
          </w:tcPr>
          <w:p w14:paraId="3B796713" w14:textId="77777777" w:rsidR="006947DC" w:rsidRPr="00821AF6" w:rsidRDefault="006947DC" w:rsidP="004B2765">
            <w:pPr>
              <w:spacing w:before="40" w:after="20" w:line="264" w:lineRule="auto"/>
              <w:ind w:firstLine="0"/>
              <w:jc w:val="left"/>
              <w:rPr>
                <w:rFonts w:cs="Tahoma"/>
                <w:sz w:val="20"/>
                <w:szCs w:val="20"/>
              </w:rPr>
            </w:pPr>
            <w:r w:rsidRPr="00821AF6">
              <w:rPr>
                <w:rFonts w:cs="Tahoma"/>
                <w:sz w:val="20"/>
                <w:szCs w:val="20"/>
              </w:rPr>
              <w:t>Wzrost cen baterii</w:t>
            </w:r>
          </w:p>
        </w:tc>
        <w:tc>
          <w:tcPr>
            <w:tcW w:w="1054" w:type="dxa"/>
            <w:tcBorders>
              <w:top w:val="single" w:sz="4" w:space="0" w:color="auto"/>
              <w:left w:val="single" w:sz="4" w:space="0" w:color="auto"/>
              <w:bottom w:val="single" w:sz="4" w:space="0" w:color="auto"/>
              <w:right w:val="single" w:sz="4" w:space="0" w:color="auto"/>
            </w:tcBorders>
            <w:vAlign w:val="center"/>
          </w:tcPr>
          <w:p w14:paraId="3B740564" w14:textId="77777777" w:rsidR="006947DC" w:rsidRPr="00821AF6" w:rsidRDefault="006947DC" w:rsidP="004B2765">
            <w:pPr>
              <w:spacing w:before="40" w:after="20" w:line="264" w:lineRule="auto"/>
              <w:ind w:firstLine="0"/>
              <w:jc w:val="center"/>
              <w:rPr>
                <w:rFonts w:cs="Tahoma"/>
                <w:sz w:val="20"/>
                <w:szCs w:val="20"/>
              </w:rPr>
            </w:pPr>
            <w:r w:rsidRPr="00821AF6">
              <w:rPr>
                <w:rFonts w:cs="Tahoma"/>
                <w:sz w:val="20"/>
                <w:szCs w:val="20"/>
              </w:rPr>
              <w:t>C</w:t>
            </w:r>
          </w:p>
        </w:tc>
        <w:tc>
          <w:tcPr>
            <w:tcW w:w="1055" w:type="dxa"/>
            <w:tcBorders>
              <w:top w:val="single" w:sz="4" w:space="0" w:color="auto"/>
              <w:left w:val="single" w:sz="4" w:space="0" w:color="auto"/>
              <w:bottom w:val="single" w:sz="4" w:space="0" w:color="auto"/>
              <w:right w:val="single" w:sz="4" w:space="0" w:color="auto"/>
            </w:tcBorders>
            <w:vAlign w:val="center"/>
          </w:tcPr>
          <w:p w14:paraId="6CFF9DB9" w14:textId="77777777" w:rsidR="006947DC" w:rsidRPr="00821AF6" w:rsidRDefault="006947DC" w:rsidP="004B2765">
            <w:pPr>
              <w:spacing w:before="40" w:after="20" w:line="264" w:lineRule="auto"/>
              <w:ind w:firstLine="0"/>
              <w:jc w:val="center"/>
              <w:rPr>
                <w:rFonts w:cs="Tahoma"/>
                <w:sz w:val="20"/>
                <w:szCs w:val="20"/>
              </w:rPr>
            </w:pPr>
            <w:r w:rsidRPr="00821AF6">
              <w:rPr>
                <w:rFonts w:cs="Tahoma"/>
                <w:sz w:val="20"/>
                <w:szCs w:val="20"/>
              </w:rPr>
              <w:t>II</w:t>
            </w:r>
          </w:p>
        </w:tc>
        <w:tc>
          <w:tcPr>
            <w:tcW w:w="1054" w:type="dxa"/>
            <w:tcBorders>
              <w:top w:val="single" w:sz="4" w:space="0" w:color="auto"/>
              <w:left w:val="single" w:sz="4" w:space="0" w:color="auto"/>
              <w:bottom w:val="single" w:sz="4" w:space="0" w:color="auto"/>
              <w:right w:val="single" w:sz="4" w:space="0" w:color="auto"/>
            </w:tcBorders>
            <w:vAlign w:val="center"/>
          </w:tcPr>
          <w:p w14:paraId="2552BE97" w14:textId="36E56A5A" w:rsidR="006947DC" w:rsidRPr="00821AF6" w:rsidRDefault="0064714E" w:rsidP="004B2765">
            <w:pPr>
              <w:spacing w:before="40" w:after="20" w:line="264" w:lineRule="auto"/>
              <w:ind w:firstLine="0"/>
              <w:jc w:val="center"/>
              <w:rPr>
                <w:rFonts w:cs="Tahoma"/>
                <w:sz w:val="20"/>
                <w:szCs w:val="20"/>
              </w:rPr>
            </w:pPr>
            <w:r>
              <w:rPr>
                <w:rFonts w:cs="Tahoma"/>
                <w:sz w:val="20"/>
                <w:szCs w:val="20"/>
              </w:rPr>
              <w:t>średni</w:t>
            </w:r>
          </w:p>
        </w:tc>
        <w:tc>
          <w:tcPr>
            <w:tcW w:w="2756" w:type="dxa"/>
            <w:tcBorders>
              <w:top w:val="single" w:sz="4" w:space="0" w:color="auto"/>
              <w:left w:val="single" w:sz="4" w:space="0" w:color="auto"/>
              <w:bottom w:val="single" w:sz="4" w:space="0" w:color="auto"/>
              <w:right w:val="single" w:sz="4" w:space="0" w:color="auto"/>
            </w:tcBorders>
            <w:vAlign w:val="center"/>
          </w:tcPr>
          <w:p w14:paraId="72666E69" w14:textId="77777777" w:rsidR="006947DC" w:rsidRPr="00821AF6" w:rsidRDefault="006947DC" w:rsidP="004B2765">
            <w:pPr>
              <w:spacing w:before="40" w:after="20" w:line="264" w:lineRule="auto"/>
              <w:ind w:firstLine="0"/>
              <w:jc w:val="left"/>
              <w:rPr>
                <w:rFonts w:cs="Tahoma"/>
                <w:sz w:val="20"/>
                <w:szCs w:val="20"/>
              </w:rPr>
            </w:pPr>
            <w:r w:rsidRPr="00821AF6">
              <w:rPr>
                <w:rFonts w:cs="Tahoma"/>
                <w:sz w:val="20"/>
                <w:szCs w:val="20"/>
              </w:rPr>
              <w:t>wydłużona eksploatacja</w:t>
            </w:r>
          </w:p>
        </w:tc>
      </w:tr>
    </w:tbl>
    <w:p w14:paraId="4845C15A" w14:textId="0DE8D9C8" w:rsidR="000C512A" w:rsidRPr="00821AF6" w:rsidRDefault="000C512A" w:rsidP="004B2765">
      <w:pPr>
        <w:spacing w:before="120" w:after="240"/>
        <w:ind w:firstLine="0"/>
        <w:jc w:val="left"/>
        <w:rPr>
          <w:rFonts w:cs="Tahoma"/>
          <w:sz w:val="20"/>
          <w:szCs w:val="20"/>
        </w:rPr>
      </w:pPr>
      <w:r w:rsidRPr="00821AF6">
        <w:rPr>
          <w:rFonts w:cs="Tahoma"/>
          <w:sz w:val="20"/>
          <w:szCs w:val="20"/>
        </w:rPr>
        <w:t>Źródło: opracowanie własne.</w:t>
      </w:r>
    </w:p>
    <w:p w14:paraId="42D6904B" w14:textId="662A78ED" w:rsidR="000076A8" w:rsidRDefault="00BA4E62" w:rsidP="00DC19D6">
      <w:pPr>
        <w:rPr>
          <w:rFonts w:cs="Tahoma"/>
          <w:color w:val="000000"/>
        </w:rPr>
      </w:pPr>
      <w:r w:rsidRPr="00821AF6">
        <w:rPr>
          <w:rFonts w:cs="Tahoma"/>
          <w:color w:val="000000"/>
        </w:rPr>
        <w:lastRenderedPageBreak/>
        <w:t>Bardzo wysokim ryzykiem jest ograniczona możliwość sfinansowania</w:t>
      </w:r>
      <w:r w:rsidR="000204C9">
        <w:rPr>
          <w:rFonts w:cs="Tahoma"/>
          <w:color w:val="000000"/>
        </w:rPr>
        <w:t xml:space="preserve"> przez Miasto zwiększonych </w:t>
      </w:r>
      <w:r w:rsidR="00986E74">
        <w:rPr>
          <w:rFonts w:cs="Tahoma"/>
          <w:color w:val="000000"/>
        </w:rPr>
        <w:t xml:space="preserve">znacznych </w:t>
      </w:r>
      <w:r w:rsidR="000204C9">
        <w:rPr>
          <w:rFonts w:cs="Tahoma"/>
          <w:color w:val="000000"/>
        </w:rPr>
        <w:t>wydatków na</w:t>
      </w:r>
      <w:r w:rsidRPr="00821AF6">
        <w:rPr>
          <w:rFonts w:cs="Tahoma"/>
          <w:color w:val="000000"/>
        </w:rPr>
        <w:t xml:space="preserve"> zakupów </w:t>
      </w:r>
      <w:r w:rsidR="00986E74">
        <w:rPr>
          <w:rFonts w:cs="Tahoma"/>
          <w:color w:val="000000"/>
        </w:rPr>
        <w:t>jednostek taborowych dla</w:t>
      </w:r>
      <w:r w:rsidR="000204C9">
        <w:rPr>
          <w:rFonts w:cs="Tahoma"/>
          <w:color w:val="000000"/>
        </w:rPr>
        <w:t xml:space="preserve"> komunikacji miejskiej</w:t>
      </w:r>
      <w:r w:rsidR="00986E74">
        <w:rPr>
          <w:rFonts w:cs="Tahoma"/>
          <w:color w:val="000000"/>
        </w:rPr>
        <w:t xml:space="preserve"> ora</w:t>
      </w:r>
      <w:r w:rsidR="00153EE1">
        <w:rPr>
          <w:rFonts w:cs="Tahoma"/>
          <w:color w:val="000000"/>
        </w:rPr>
        <w:t>z</w:t>
      </w:r>
      <w:r w:rsidR="00986E74">
        <w:rPr>
          <w:rFonts w:cs="Tahoma"/>
          <w:color w:val="000000"/>
        </w:rPr>
        <w:t xml:space="preserve"> infrastruktury zasilającej</w:t>
      </w:r>
      <w:r w:rsidR="00DC19D6">
        <w:rPr>
          <w:rFonts w:cs="Tahoma"/>
          <w:color w:val="000000"/>
        </w:rPr>
        <w:t xml:space="preserve"> w wariantach elektrycznym i wodorowym</w:t>
      </w:r>
      <w:r>
        <w:rPr>
          <w:rFonts w:cs="Tahoma"/>
          <w:color w:val="000000"/>
        </w:rPr>
        <w:t xml:space="preserve">. </w:t>
      </w:r>
      <w:r w:rsidR="00E36B73" w:rsidRPr="00821AF6">
        <w:rPr>
          <w:rFonts w:cs="Tahoma"/>
          <w:color w:val="000000"/>
        </w:rPr>
        <w:t>Autobusy elektryczne w zasadzie nie występują na rynku wtórnym,</w:t>
      </w:r>
      <w:r w:rsidR="00E36B73">
        <w:rPr>
          <w:rFonts w:cs="Tahoma"/>
          <w:color w:val="000000"/>
        </w:rPr>
        <w:t xml:space="preserve"> </w:t>
      </w:r>
      <w:r w:rsidR="00DC19D6">
        <w:rPr>
          <w:rFonts w:cs="Tahoma"/>
          <w:color w:val="000000"/>
        </w:rPr>
        <w:t xml:space="preserve">a wodorowe dopiero wchodzą do produkcji seryjnej, </w:t>
      </w:r>
      <w:r w:rsidR="00E36B73">
        <w:rPr>
          <w:rFonts w:cs="Tahoma"/>
          <w:color w:val="000000"/>
        </w:rPr>
        <w:t>k</w:t>
      </w:r>
      <w:r w:rsidR="00E36B73" w:rsidRPr="00821AF6">
        <w:rPr>
          <w:rFonts w:cs="Tahoma"/>
          <w:color w:val="000000"/>
        </w:rPr>
        <w:t>onieczne jest więc dokonanie zakupu takich pojazdów jako fabrycznie nowych, co wiąże się z wysokimi nakładami finansowymi.</w:t>
      </w:r>
      <w:r w:rsidR="00E36B73">
        <w:rPr>
          <w:rFonts w:cs="Tahoma"/>
          <w:color w:val="000000"/>
        </w:rPr>
        <w:t xml:space="preserve"> </w:t>
      </w:r>
      <w:r w:rsidR="00986E74">
        <w:rPr>
          <w:rFonts w:cs="Tahoma"/>
          <w:color w:val="000000"/>
        </w:rPr>
        <w:t xml:space="preserve">Konieczne jest także zbudowanie dedykowanej infrastruktury zasilającej. </w:t>
      </w:r>
      <w:r w:rsidR="000076A8" w:rsidRPr="000076A8">
        <w:rPr>
          <w:rFonts w:cs="Tahoma"/>
          <w:color w:val="000000"/>
        </w:rPr>
        <w:t>Bez zaangażowania finansowego Miasta, odnowę taboru w</w:t>
      </w:r>
      <w:r w:rsidR="000076A8">
        <w:rPr>
          <w:rFonts w:cs="Tahoma"/>
          <w:color w:val="000000"/>
        </w:rPr>
        <w:t>e wszystkich</w:t>
      </w:r>
      <w:r w:rsidR="000076A8" w:rsidRPr="000076A8">
        <w:rPr>
          <w:rFonts w:cs="Tahoma"/>
          <w:color w:val="000000"/>
        </w:rPr>
        <w:t xml:space="preserve"> wariantach</w:t>
      </w:r>
      <w:r w:rsidR="000076A8">
        <w:rPr>
          <w:rFonts w:cs="Tahoma"/>
          <w:color w:val="000000"/>
        </w:rPr>
        <w:t xml:space="preserve">, poza scenariuszem bazowym, </w:t>
      </w:r>
      <w:r w:rsidR="000076A8" w:rsidRPr="000076A8">
        <w:rPr>
          <w:rFonts w:cs="Tahoma"/>
          <w:color w:val="000000"/>
        </w:rPr>
        <w:t xml:space="preserve">można uznać ze </w:t>
      </w:r>
      <w:r w:rsidR="000076A8">
        <w:rPr>
          <w:rFonts w:cs="Tahoma"/>
          <w:color w:val="000000"/>
        </w:rPr>
        <w:t>zupełnie</w:t>
      </w:r>
      <w:r w:rsidR="000076A8" w:rsidRPr="000076A8">
        <w:rPr>
          <w:rFonts w:cs="Tahoma"/>
          <w:color w:val="000000"/>
        </w:rPr>
        <w:t xml:space="preserve"> nierealną. </w:t>
      </w:r>
      <w:r w:rsidR="00DC19D6">
        <w:rPr>
          <w:rFonts w:cs="Tahoma"/>
          <w:color w:val="000000"/>
        </w:rPr>
        <w:t>Ryzyko to może być zmniejszone poprzez skuteczne pozyskanie zewnętrznych źródeł finansowania środkami pomocowymi, krajowymi i europejskimi.</w:t>
      </w:r>
    </w:p>
    <w:p w14:paraId="066E036D" w14:textId="47F0CE28" w:rsidR="00DC19D6" w:rsidRDefault="00DC19D6" w:rsidP="00DC19D6">
      <w:pPr>
        <w:rPr>
          <w:rFonts w:cs="Tahoma"/>
          <w:color w:val="000000"/>
        </w:rPr>
      </w:pPr>
      <w:r>
        <w:rPr>
          <w:rFonts w:cs="Tahoma"/>
          <w:color w:val="000000"/>
        </w:rPr>
        <w:t xml:space="preserve">Bardzo wysokie ryzyko jest związane z pozyskaniem dostawcy wodoru, który jednocześnie zrealizuje budowę stacji tankowania wodoru na terenie bazy MPK. Technologia produkcji wodoru i jego dystrybucja wymaga poniesienia znaczących nakładów inwestycyjnych, przy niepewnej stopie ich zwrotu, wymaga więc pozyskania </w:t>
      </w:r>
      <w:r w:rsidR="00775611">
        <w:rPr>
          <w:rFonts w:cs="Tahoma"/>
          <w:color w:val="000000"/>
        </w:rPr>
        <w:t xml:space="preserve">przez inwestora </w:t>
      </w:r>
      <w:r>
        <w:rPr>
          <w:rFonts w:cs="Tahoma"/>
          <w:color w:val="000000"/>
        </w:rPr>
        <w:t>wsparcia finansowego z funduszy pomocowych.</w:t>
      </w:r>
      <w:r w:rsidR="00775611">
        <w:rPr>
          <w:rFonts w:cs="Tahoma"/>
          <w:color w:val="000000"/>
        </w:rPr>
        <w:t xml:space="preserve"> Alternatywnym rozwiązaniem jest budowa własnej instalacji produkcji wodoru przez Miasto lub MPK, co z uwagi na wysoki koszt instalacji wiąże się z koniecznością pozyskania zewnętrznego dofinansowania.</w:t>
      </w:r>
    </w:p>
    <w:p w14:paraId="7C21BCC1" w14:textId="1AA69247" w:rsidR="00775611" w:rsidRDefault="00775611" w:rsidP="00DC19D6">
      <w:pPr>
        <w:rPr>
          <w:rFonts w:cs="Tahoma"/>
          <w:color w:val="000000"/>
        </w:rPr>
      </w:pPr>
      <w:r>
        <w:rPr>
          <w:rFonts w:cs="Tahoma"/>
          <w:color w:val="000000"/>
        </w:rPr>
        <w:t>W związku z powyższym bardzo wysokim ryzykiem jest obarczone zapewnienie dostaw wodoru w założonych terminach, w szczególności poprzez opóźnienia w budowie stacji tankowania wodoru.</w:t>
      </w:r>
    </w:p>
    <w:p w14:paraId="304C657B" w14:textId="7702344A" w:rsidR="000076A8" w:rsidRPr="00821AF6" w:rsidRDefault="000076A8" w:rsidP="00775611">
      <w:pPr>
        <w:rPr>
          <w:rFonts w:cs="Tahoma"/>
          <w:color w:val="000000"/>
        </w:rPr>
      </w:pPr>
      <w:r>
        <w:rPr>
          <w:rFonts w:cs="Tahoma"/>
          <w:color w:val="000000"/>
        </w:rPr>
        <w:t>Z w</w:t>
      </w:r>
      <w:r w:rsidRPr="00821AF6">
        <w:rPr>
          <w:rFonts w:cs="Tahoma"/>
          <w:color w:val="000000"/>
        </w:rPr>
        <w:t xml:space="preserve">ysokim ryzykiem </w:t>
      </w:r>
      <w:r>
        <w:rPr>
          <w:rFonts w:cs="Tahoma"/>
          <w:color w:val="000000"/>
        </w:rPr>
        <w:t xml:space="preserve">wiąże się wzrost zainteresowania mieszkańców podróżami </w:t>
      </w:r>
      <w:r w:rsidR="00153EE1">
        <w:rPr>
          <w:rFonts w:cs="Tahoma"/>
          <w:color w:val="000000"/>
        </w:rPr>
        <w:t xml:space="preserve">autobusami komunikacji miejskiej. </w:t>
      </w:r>
      <w:r>
        <w:rPr>
          <w:rFonts w:cs="Tahoma"/>
          <w:color w:val="000000"/>
        </w:rPr>
        <w:t xml:space="preserve">Ograniczenie możliwości korzystania ze środków transportu publicznego w okresie stanu epidemii zmieniło zachowania komunikacyjne mieszkańców, którzy w pierwszej kolejności zaczęli korzystać z transportu indywidualnego, zwłaszcza samochodów osobowych. Brak zainteresowania społeczeństwa z korzystania z pojazdów komunikacji miejskiej stwarza ryzyko nacisków na ograniczenia </w:t>
      </w:r>
      <w:r w:rsidR="00775611">
        <w:rPr>
          <w:rFonts w:cs="Tahoma"/>
          <w:color w:val="000000"/>
        </w:rPr>
        <w:t>zakresu funkcjonowania komunikacji miejskiej</w:t>
      </w:r>
      <w:r>
        <w:rPr>
          <w:rFonts w:cs="Tahoma"/>
          <w:color w:val="000000"/>
        </w:rPr>
        <w:t xml:space="preserve"> i ponoszonych nakładów finansowych, wpływają</w:t>
      </w:r>
      <w:r w:rsidR="00775611">
        <w:rPr>
          <w:rFonts w:cs="Tahoma"/>
          <w:color w:val="000000"/>
        </w:rPr>
        <w:t>c</w:t>
      </w:r>
      <w:r>
        <w:rPr>
          <w:rFonts w:cs="Tahoma"/>
          <w:color w:val="000000"/>
        </w:rPr>
        <w:t xml:space="preserve"> na ograniczenie lub zahamowania programu wymiany taboru.</w:t>
      </w:r>
    </w:p>
    <w:p w14:paraId="381576C1" w14:textId="701354C9" w:rsidR="0064714E" w:rsidRPr="00821AF6" w:rsidRDefault="0064714E" w:rsidP="00775611">
      <w:pPr>
        <w:rPr>
          <w:rFonts w:cs="Tahoma"/>
          <w:color w:val="000000"/>
        </w:rPr>
      </w:pPr>
      <w:r w:rsidRPr="00821AF6">
        <w:rPr>
          <w:rFonts w:cs="Tahoma"/>
          <w:color w:val="000000"/>
        </w:rPr>
        <w:t>Wysokim ryzykiem obarczone są terminowe dostawy taboru zeroemisyjnego, wynikające z prawdopodobnego jednoczesnego zamówienia dużej liczby takich pojazdów przez wiele miast, przy niewielkiej dotychczas ich podaży na rynku oraz ograniczonych zdolnościach wzrostu produkcji – zarówno komponentów, jak i całych pojazdów. Wysokim ryzykiem realizacji w</w:t>
      </w:r>
      <w:r w:rsidR="00775611">
        <w:rPr>
          <w:rFonts w:cs="Tahoma"/>
          <w:color w:val="000000"/>
        </w:rPr>
        <w:t>e</w:t>
      </w:r>
      <w:r w:rsidRPr="00821AF6">
        <w:rPr>
          <w:rFonts w:cs="Tahoma"/>
          <w:color w:val="000000"/>
        </w:rPr>
        <w:t> </w:t>
      </w:r>
      <w:r w:rsidR="00775611">
        <w:rPr>
          <w:rFonts w:cs="Tahoma"/>
          <w:color w:val="000000"/>
        </w:rPr>
        <w:t>wszystkich</w:t>
      </w:r>
      <w:r w:rsidRPr="00821AF6">
        <w:rPr>
          <w:rFonts w:cs="Tahoma"/>
          <w:color w:val="000000"/>
        </w:rPr>
        <w:t xml:space="preserve"> wariantach </w:t>
      </w:r>
      <w:r>
        <w:rPr>
          <w:rFonts w:cs="Tahoma"/>
          <w:color w:val="000000"/>
        </w:rPr>
        <w:t xml:space="preserve">procesu wymiany </w:t>
      </w:r>
      <w:r w:rsidRPr="00821AF6">
        <w:rPr>
          <w:rFonts w:cs="Tahoma"/>
          <w:color w:val="000000"/>
        </w:rPr>
        <w:t xml:space="preserve">taboru </w:t>
      </w:r>
      <w:r w:rsidR="00775611">
        <w:rPr>
          <w:rFonts w:cs="Tahoma"/>
          <w:color w:val="000000"/>
        </w:rPr>
        <w:t xml:space="preserve">na </w:t>
      </w:r>
      <w:r w:rsidRPr="00821AF6">
        <w:rPr>
          <w:rFonts w:cs="Tahoma"/>
          <w:color w:val="000000"/>
        </w:rPr>
        <w:t>zeroemisyjn</w:t>
      </w:r>
      <w:r w:rsidR="00775611">
        <w:rPr>
          <w:rFonts w:cs="Tahoma"/>
          <w:color w:val="000000"/>
        </w:rPr>
        <w:t>y</w:t>
      </w:r>
      <w:r w:rsidRPr="00821AF6">
        <w:rPr>
          <w:rFonts w:cs="Tahoma"/>
          <w:color w:val="000000"/>
        </w:rPr>
        <w:t xml:space="preserve"> obarczona jest także budowa niezbędnej infrastruktury zasilającej, związana z procesem uzyskiwania pozwoleń na budowę oraz realizacją inwestycji w obszarach zabudowy miejskiej.</w:t>
      </w:r>
      <w:r w:rsidRPr="0064714E">
        <w:rPr>
          <w:rFonts w:cs="Tahoma"/>
          <w:color w:val="000000"/>
        </w:rPr>
        <w:t xml:space="preserve"> </w:t>
      </w:r>
      <w:r>
        <w:rPr>
          <w:rFonts w:cs="Tahoma"/>
          <w:color w:val="000000"/>
        </w:rPr>
        <w:t xml:space="preserve">Niezbędne byłoby ogłaszanie </w:t>
      </w:r>
      <w:r>
        <w:rPr>
          <w:rFonts w:cs="Tahoma"/>
          <w:color w:val="000000"/>
        </w:rPr>
        <w:lastRenderedPageBreak/>
        <w:t>przetargów z odpowiednim wyprzedzeniem, tak by możliwe były dostawy taboru zeroemisyjnego oraz instalacja urządzeń zasilania w oczekiwanych terminach.</w:t>
      </w:r>
    </w:p>
    <w:p w14:paraId="709190EE" w14:textId="3BA28937" w:rsidR="0064714E" w:rsidRPr="0064714E" w:rsidRDefault="0064714E" w:rsidP="00A84E53">
      <w:pPr>
        <w:rPr>
          <w:rFonts w:cs="Tahoma"/>
          <w:color w:val="000000"/>
        </w:rPr>
      </w:pPr>
      <w:r w:rsidRPr="0064714E">
        <w:rPr>
          <w:rFonts w:cs="Tahoma"/>
          <w:color w:val="000000"/>
        </w:rPr>
        <w:t>Umiarkowane ryzyko związane jest ze stabilnością cen pojazdów zeroemisyjnych</w:t>
      </w:r>
      <w:r w:rsidR="006742B7">
        <w:rPr>
          <w:rFonts w:cs="Tahoma"/>
          <w:color w:val="000000"/>
        </w:rPr>
        <w:t xml:space="preserve"> i urządzeń infrastruktury</w:t>
      </w:r>
      <w:r w:rsidRPr="0064714E">
        <w:rPr>
          <w:rFonts w:cs="Tahoma"/>
          <w:color w:val="000000"/>
        </w:rPr>
        <w:t xml:space="preserve">, gdyż pomimo że obecne ich ceny należy uznać za dość wysokie, to obowiązek ich wprowadzenia do eksploatacji w znacznej liczbie w dość krótkim okresie (kilku lat), może wpłynąć na ograniczoną ich dostępność. To z kolei wywoła wzrost cen, związany z koniecznością realizacji zwiększonych zamówień – przekraczających normalne zdolności produkcyjne dostawców taboru i komponentów. </w:t>
      </w:r>
      <w:r w:rsidR="002B0297" w:rsidRPr="002B0297">
        <w:rPr>
          <w:rFonts w:cs="Tahoma"/>
          <w:color w:val="000000"/>
        </w:rPr>
        <w:t>Podobnie umiarkowane ryzyko związane jest z stabilnością kosztów budowy infrastrukt</w:t>
      </w:r>
      <w:r w:rsidR="002B0297">
        <w:rPr>
          <w:rFonts w:cs="Tahoma"/>
          <w:color w:val="000000"/>
        </w:rPr>
        <w:t>ury zasilającej. Rynek budowlany</w:t>
      </w:r>
      <w:r w:rsidR="002B0297" w:rsidRPr="002B0297">
        <w:rPr>
          <w:rFonts w:cs="Tahoma"/>
          <w:color w:val="000000"/>
        </w:rPr>
        <w:t xml:space="preserve"> podlega ciągłym fluktuacjom, a zwiększone zamówienia realizacyjne przed 2028 r. mogą spowodować okresowy wzrost cen.</w:t>
      </w:r>
    </w:p>
    <w:p w14:paraId="778A9E09" w14:textId="59F36D32" w:rsidR="006742B7" w:rsidRDefault="006742B7" w:rsidP="00A84E53">
      <w:pPr>
        <w:rPr>
          <w:rFonts w:cs="Tahoma"/>
          <w:color w:val="000000"/>
        </w:rPr>
      </w:pPr>
      <w:r>
        <w:rPr>
          <w:rFonts w:cs="Tahoma"/>
          <w:color w:val="000000"/>
        </w:rPr>
        <w:t xml:space="preserve">Dla przeciwdziałania temu ryzyku Miasto może wcześniej przygotować inwestycje budowy stacji ładowania na pętlach, a </w:t>
      </w:r>
      <w:r w:rsidR="00C73F5E">
        <w:rPr>
          <w:rFonts w:cs="Tahoma"/>
          <w:color w:val="000000"/>
        </w:rPr>
        <w:t>MPK</w:t>
      </w:r>
      <w:r w:rsidR="00A84E53">
        <w:rPr>
          <w:rFonts w:cs="Tahoma"/>
          <w:color w:val="000000"/>
        </w:rPr>
        <w:t>-Rzeszów</w:t>
      </w:r>
      <w:r w:rsidR="00C73F5E">
        <w:rPr>
          <w:rFonts w:cs="Tahoma"/>
          <w:color w:val="000000"/>
        </w:rPr>
        <w:t xml:space="preserve"> </w:t>
      </w:r>
      <w:r>
        <w:rPr>
          <w:rFonts w:cs="Tahoma"/>
          <w:color w:val="000000"/>
        </w:rPr>
        <w:t xml:space="preserve">sp. z o.o. </w:t>
      </w:r>
      <w:r w:rsidR="00E04836">
        <w:rPr>
          <w:rFonts w:cs="Tahoma"/>
          <w:color w:val="000000"/>
        </w:rPr>
        <w:t xml:space="preserve">– </w:t>
      </w:r>
      <w:r>
        <w:rPr>
          <w:rFonts w:cs="Tahoma"/>
          <w:color w:val="000000"/>
        </w:rPr>
        <w:t xml:space="preserve">na terenie zajezdni. </w:t>
      </w:r>
      <w:r w:rsidR="00A84E53">
        <w:rPr>
          <w:rFonts w:cs="Tahoma"/>
          <w:color w:val="000000"/>
        </w:rPr>
        <w:t>Miasto może także wyprzedzająco</w:t>
      </w:r>
      <w:r>
        <w:rPr>
          <w:rFonts w:cs="Tahoma"/>
          <w:color w:val="000000"/>
        </w:rPr>
        <w:t xml:space="preserve"> nabyć niezbędny tabor zeroemisyjny w całości lub w części, udostępniając go operatorowi. Sytuacja finansowa</w:t>
      </w:r>
      <w:r w:rsidRPr="00821AF6">
        <w:rPr>
          <w:rFonts w:cs="Tahoma"/>
          <w:color w:val="000000"/>
        </w:rPr>
        <w:t xml:space="preserve"> Miasta </w:t>
      </w:r>
      <w:r>
        <w:rPr>
          <w:rFonts w:cs="Tahoma"/>
          <w:color w:val="000000"/>
        </w:rPr>
        <w:t>stwarza możliwości</w:t>
      </w:r>
      <w:r w:rsidRPr="00821AF6">
        <w:rPr>
          <w:rFonts w:cs="Tahoma"/>
          <w:color w:val="000000"/>
        </w:rPr>
        <w:t xml:space="preserve"> realizacji przez </w:t>
      </w:r>
      <w:r w:rsidR="00E04836">
        <w:rPr>
          <w:rFonts w:cs="Tahoma"/>
          <w:color w:val="000000"/>
        </w:rPr>
        <w:t xml:space="preserve">nie </w:t>
      </w:r>
      <w:r>
        <w:rPr>
          <w:rFonts w:cs="Tahoma"/>
          <w:color w:val="000000"/>
        </w:rPr>
        <w:t>zaprogramowanych</w:t>
      </w:r>
      <w:r w:rsidRPr="00821AF6">
        <w:rPr>
          <w:rFonts w:cs="Tahoma"/>
          <w:color w:val="000000"/>
        </w:rPr>
        <w:t xml:space="preserve"> inwestycji w </w:t>
      </w:r>
      <w:r>
        <w:rPr>
          <w:rFonts w:cs="Tahoma"/>
          <w:color w:val="000000"/>
        </w:rPr>
        <w:t>zakresie odnowy</w:t>
      </w:r>
      <w:r w:rsidRPr="00821AF6">
        <w:rPr>
          <w:rFonts w:cs="Tahoma"/>
          <w:color w:val="000000"/>
        </w:rPr>
        <w:t xml:space="preserve"> taboru komunikacji miejskiej.</w:t>
      </w:r>
    </w:p>
    <w:p w14:paraId="2BB06FF3" w14:textId="37B7D8E9" w:rsidR="0064714E" w:rsidRPr="0064714E" w:rsidRDefault="0064714E" w:rsidP="00A84E53">
      <w:pPr>
        <w:rPr>
          <w:rFonts w:cs="Tahoma"/>
          <w:color w:val="000000"/>
        </w:rPr>
      </w:pPr>
      <w:r w:rsidRPr="0064714E">
        <w:rPr>
          <w:rFonts w:cs="Tahoma"/>
          <w:color w:val="000000"/>
        </w:rPr>
        <w:t>Umiarkowane ryzyko dotyczy także stabilności cen oleju napędowego</w:t>
      </w:r>
      <w:r w:rsidR="00A84E53">
        <w:rPr>
          <w:rFonts w:cs="Tahoma"/>
          <w:color w:val="000000"/>
        </w:rPr>
        <w:t>,</w:t>
      </w:r>
      <w:r>
        <w:rPr>
          <w:rFonts w:cs="Tahoma"/>
          <w:color w:val="000000"/>
        </w:rPr>
        <w:t xml:space="preserve"> CNG</w:t>
      </w:r>
      <w:r w:rsidRPr="0064714E">
        <w:rPr>
          <w:rFonts w:cs="Tahoma"/>
          <w:color w:val="000000"/>
        </w:rPr>
        <w:t xml:space="preserve"> </w:t>
      </w:r>
      <w:r w:rsidR="00A84E53">
        <w:rPr>
          <w:rFonts w:cs="Tahoma"/>
          <w:color w:val="000000"/>
        </w:rPr>
        <w:t xml:space="preserve">wodoru </w:t>
      </w:r>
      <w:r w:rsidRPr="0064714E">
        <w:rPr>
          <w:rFonts w:cs="Tahoma"/>
          <w:color w:val="000000"/>
        </w:rPr>
        <w:t>oraz cen energii elektrycznej</w:t>
      </w:r>
      <w:r w:rsidR="006742B7">
        <w:rPr>
          <w:rFonts w:cs="Tahoma"/>
          <w:color w:val="000000"/>
        </w:rPr>
        <w:t xml:space="preserve"> i baterii</w:t>
      </w:r>
      <w:r w:rsidRPr="0064714E">
        <w:rPr>
          <w:rFonts w:cs="Tahoma"/>
          <w:color w:val="000000"/>
        </w:rPr>
        <w:t>. Ryzyko to może być zmniejszane poprzez zawieranie wieloletnich kontraktów, a przy pojazdach elektrycznych – także poprzez ładowanie głównie w okresie niższych taryf, zapewnianie wymiennych zestawów baterii lub nawet pojazdów rezerwowych i zmniejszenie przez to poboru mocy w okresach szczytowych oraz zmniejszanie poziomu mocy zamówionej.</w:t>
      </w:r>
      <w:r w:rsidR="00A84E53">
        <w:rPr>
          <w:rFonts w:cs="Tahoma"/>
          <w:color w:val="000000"/>
        </w:rPr>
        <w:t xml:space="preserve"> Ryzyko to może być także zmniejszane poprzez zmniejszanie zakresu przewozów wykonywanych autobusami o określonym rodzaju paliwa.</w:t>
      </w:r>
    </w:p>
    <w:p w14:paraId="77594558" w14:textId="1AC70207" w:rsidR="00BA4E62" w:rsidRPr="00821AF6" w:rsidRDefault="000204C9" w:rsidP="00A84E53">
      <w:pPr>
        <w:rPr>
          <w:rFonts w:cs="Tahoma"/>
          <w:color w:val="000000"/>
        </w:rPr>
      </w:pPr>
      <w:r>
        <w:rPr>
          <w:rFonts w:cs="Tahoma"/>
          <w:color w:val="000000"/>
        </w:rPr>
        <w:t xml:space="preserve">Miasto może </w:t>
      </w:r>
      <w:r w:rsidR="006742B7">
        <w:rPr>
          <w:rFonts w:cs="Tahoma"/>
          <w:color w:val="000000"/>
        </w:rPr>
        <w:t>umożliwić</w:t>
      </w:r>
      <w:r>
        <w:rPr>
          <w:rFonts w:cs="Tahoma"/>
          <w:color w:val="000000"/>
        </w:rPr>
        <w:t xml:space="preserve"> dostawy energii dla pojazdów zeroemisyjnych </w:t>
      </w:r>
      <w:r w:rsidR="006742B7">
        <w:rPr>
          <w:rFonts w:cs="Tahoma"/>
          <w:color w:val="000000"/>
        </w:rPr>
        <w:t xml:space="preserve">w korzystnych cenach, </w:t>
      </w:r>
      <w:r>
        <w:rPr>
          <w:rFonts w:cs="Tahoma"/>
          <w:color w:val="000000"/>
        </w:rPr>
        <w:t xml:space="preserve">zawierając </w:t>
      </w:r>
      <w:r w:rsidR="002B0297">
        <w:rPr>
          <w:rFonts w:cs="Tahoma"/>
          <w:color w:val="000000"/>
        </w:rPr>
        <w:t xml:space="preserve">wieloletni </w:t>
      </w:r>
      <w:r w:rsidR="006742B7">
        <w:rPr>
          <w:rFonts w:cs="Tahoma"/>
          <w:color w:val="000000"/>
        </w:rPr>
        <w:t xml:space="preserve">kontrakt z dostawcami </w:t>
      </w:r>
      <w:r>
        <w:rPr>
          <w:rFonts w:cs="Tahoma"/>
          <w:color w:val="000000"/>
        </w:rPr>
        <w:t xml:space="preserve">jako grupa </w:t>
      </w:r>
      <w:r w:rsidR="006742B7">
        <w:rPr>
          <w:rFonts w:cs="Tahoma"/>
          <w:color w:val="000000"/>
        </w:rPr>
        <w:t>odbiorców</w:t>
      </w:r>
      <w:r>
        <w:rPr>
          <w:rFonts w:cs="Tahoma"/>
          <w:color w:val="000000"/>
        </w:rPr>
        <w:t>.</w:t>
      </w:r>
    </w:p>
    <w:p w14:paraId="4DB44ED8" w14:textId="77777777" w:rsidR="000C512A" w:rsidRPr="00821AF6" w:rsidRDefault="000C512A" w:rsidP="000E528A">
      <w:pPr>
        <w:pStyle w:val="Nagwek2"/>
        <w:tabs>
          <w:tab w:val="left" w:pos="539"/>
        </w:tabs>
        <w:spacing w:before="120"/>
        <w:ind w:left="567"/>
        <w:jc w:val="center"/>
        <w:rPr>
          <w:color w:val="000000"/>
        </w:rPr>
      </w:pPr>
      <w:bookmarkStart w:id="102" w:name="_Toc523600893"/>
      <w:bookmarkStart w:id="103" w:name="_Toc524602379"/>
      <w:bookmarkStart w:id="104" w:name="_Toc89417682"/>
      <w:r w:rsidRPr="00821AF6">
        <w:rPr>
          <w:color w:val="000000"/>
        </w:rPr>
        <w:t>Określenie luki w finansowaniu</w:t>
      </w:r>
      <w:bookmarkEnd w:id="102"/>
      <w:bookmarkEnd w:id="103"/>
      <w:bookmarkEnd w:id="104"/>
    </w:p>
    <w:p w14:paraId="05C33E6E" w14:textId="05F2C507" w:rsidR="000C512A" w:rsidRPr="00821AF6" w:rsidRDefault="00252FF7" w:rsidP="000E528A">
      <w:pPr>
        <w:rPr>
          <w:rFonts w:cs="Tahoma"/>
          <w:color w:val="000000"/>
        </w:rPr>
      </w:pPr>
      <w:r w:rsidRPr="00821AF6">
        <w:rPr>
          <w:rFonts w:cs="Tahoma"/>
          <w:color w:val="000000"/>
        </w:rPr>
        <w:t>Określenia niezbędnej wartości dofinansowania dla danego wariantu wymiany taboru dokonano metodą luki w finansowaniu, zgodnie z metodologią przedstawioną w „Wytycznych w zakresie zagadnień związanych z przygotowaniem projektów inwestycyjnych, w tym projektów generujących dochód i projektów hybrydowych na lata 2014-2020”, opracow</w:t>
      </w:r>
      <w:r w:rsidR="008023AC" w:rsidRPr="00821AF6">
        <w:rPr>
          <w:rFonts w:cs="Tahoma"/>
          <w:color w:val="000000"/>
        </w:rPr>
        <w:t>anych i zatwierdzonych w dniu 10</w:t>
      </w:r>
      <w:r w:rsidRPr="00821AF6">
        <w:rPr>
          <w:rFonts w:cs="Tahoma"/>
          <w:color w:val="000000"/>
        </w:rPr>
        <w:t xml:space="preserve"> </w:t>
      </w:r>
      <w:r w:rsidR="008023AC" w:rsidRPr="00821AF6">
        <w:rPr>
          <w:rFonts w:cs="Tahoma"/>
          <w:color w:val="000000"/>
        </w:rPr>
        <w:t>stycznia 2019</w:t>
      </w:r>
      <w:r w:rsidRPr="00821AF6">
        <w:rPr>
          <w:rFonts w:cs="Tahoma"/>
          <w:color w:val="000000"/>
        </w:rPr>
        <w:t xml:space="preserve"> r. przez Ministerstwo </w:t>
      </w:r>
      <w:r w:rsidR="008023AC" w:rsidRPr="00821AF6">
        <w:rPr>
          <w:rFonts w:cs="Tahoma"/>
          <w:color w:val="000000"/>
        </w:rPr>
        <w:t xml:space="preserve">Inwestycji i </w:t>
      </w:r>
      <w:r w:rsidRPr="00821AF6">
        <w:rPr>
          <w:rFonts w:cs="Tahoma"/>
          <w:color w:val="000000"/>
        </w:rPr>
        <w:t xml:space="preserve">Rozwoju. </w:t>
      </w:r>
      <w:r w:rsidR="000C512A" w:rsidRPr="00821AF6">
        <w:rPr>
          <w:rFonts w:cs="Tahoma"/>
          <w:color w:val="000000"/>
        </w:rPr>
        <w:t>Wysokość wyliczonej luki w finansowaniu przedstawiono w tabe</w:t>
      </w:r>
      <w:r w:rsidR="009F5753" w:rsidRPr="00821AF6">
        <w:rPr>
          <w:rFonts w:cs="Tahoma"/>
          <w:color w:val="000000"/>
        </w:rPr>
        <w:t xml:space="preserve">li </w:t>
      </w:r>
      <w:r w:rsidR="001C6574" w:rsidRPr="00821AF6">
        <w:rPr>
          <w:rFonts w:cs="Tahoma"/>
          <w:color w:val="000000"/>
        </w:rPr>
        <w:t>2</w:t>
      </w:r>
      <w:r w:rsidR="0085731E">
        <w:rPr>
          <w:rFonts w:cs="Tahoma"/>
          <w:color w:val="000000"/>
        </w:rPr>
        <w:t>6</w:t>
      </w:r>
      <w:r w:rsidR="000C512A" w:rsidRPr="00821AF6">
        <w:rPr>
          <w:rFonts w:cs="Tahoma"/>
          <w:color w:val="000000"/>
        </w:rPr>
        <w:t>.</w:t>
      </w:r>
    </w:p>
    <w:p w14:paraId="3EE95CEE" w14:textId="77777777" w:rsidR="00F51D0B" w:rsidRPr="00821AF6" w:rsidRDefault="00F51D0B" w:rsidP="007F019A">
      <w:pPr>
        <w:keepNext/>
        <w:rPr>
          <w:rFonts w:cs="Tahoma"/>
          <w:color w:val="000000"/>
        </w:rPr>
      </w:pPr>
      <w:r w:rsidRPr="00821AF6">
        <w:rPr>
          <w:rFonts w:cs="Tahoma"/>
          <w:color w:val="000000"/>
        </w:rPr>
        <w:lastRenderedPageBreak/>
        <w:t>Podstawą ustalenia wartości określenia luki w finansowaniu jest analiza finansowa. Wskaźnik luki w finansowaniu wyliczono według wzoru:</w:t>
      </w:r>
    </w:p>
    <w:p w14:paraId="199EEF1B" w14:textId="77777777" w:rsidR="00F51D0B" w:rsidRPr="00821AF6" w:rsidRDefault="00F51D0B" w:rsidP="000E528A">
      <w:pPr>
        <w:spacing w:before="120"/>
        <w:ind w:firstLine="0"/>
        <w:rPr>
          <w:rFonts w:cs="Tahoma"/>
          <w:color w:val="000000"/>
        </w:rPr>
      </w:pPr>
      <w:r w:rsidRPr="00821AF6">
        <w:rPr>
          <w:rFonts w:cs="Tahoma"/>
          <w:color w:val="000000"/>
        </w:rPr>
        <w:t>R = (DIC – DNR)/DIC</w:t>
      </w:r>
    </w:p>
    <w:p w14:paraId="01478DB8" w14:textId="77777777" w:rsidR="00F51D0B" w:rsidRPr="00821AF6" w:rsidRDefault="00F51D0B" w:rsidP="000E528A">
      <w:pPr>
        <w:ind w:firstLine="0"/>
        <w:rPr>
          <w:rFonts w:cs="Tahoma"/>
          <w:color w:val="000000"/>
        </w:rPr>
      </w:pPr>
      <w:r w:rsidRPr="00821AF6">
        <w:rPr>
          <w:rFonts w:cs="Tahoma"/>
          <w:color w:val="000000"/>
        </w:rPr>
        <w:t xml:space="preserve">gdzie: </w:t>
      </w:r>
    </w:p>
    <w:p w14:paraId="31147415" w14:textId="77777777" w:rsidR="00F51D0B" w:rsidRPr="00821AF6" w:rsidRDefault="00F51D0B" w:rsidP="000E528A">
      <w:pPr>
        <w:ind w:firstLine="0"/>
        <w:rPr>
          <w:rFonts w:cs="Tahoma"/>
          <w:color w:val="000000"/>
        </w:rPr>
      </w:pPr>
      <w:r w:rsidRPr="00821AF6">
        <w:rPr>
          <w:rFonts w:cs="Tahoma"/>
          <w:color w:val="000000"/>
        </w:rPr>
        <w:t>DIC – oznacza sumę zdyskontowanych nakładów inwestycyjnych przewidzianych do poniesienia w danym wariancie,</w:t>
      </w:r>
    </w:p>
    <w:p w14:paraId="24BE9116" w14:textId="6D7BD014" w:rsidR="00F51D0B" w:rsidRPr="00821AF6" w:rsidRDefault="00F51D0B" w:rsidP="000E528A">
      <w:pPr>
        <w:spacing w:after="120"/>
        <w:ind w:firstLine="0"/>
        <w:rPr>
          <w:rFonts w:cs="Tahoma"/>
          <w:color w:val="000000"/>
        </w:rPr>
      </w:pPr>
      <w:r w:rsidRPr="00821AF6">
        <w:rPr>
          <w:rFonts w:cs="Tahoma"/>
          <w:color w:val="000000"/>
        </w:rPr>
        <w:t xml:space="preserve">DNR – oznacza sumę zdyskontowanych dochodów powiększonych o wartość rezydualną. </w:t>
      </w:r>
    </w:p>
    <w:p w14:paraId="34F86040" w14:textId="51513994" w:rsidR="00E04836" w:rsidRPr="00E04836" w:rsidRDefault="00E04836" w:rsidP="000E528A">
      <w:pPr>
        <w:pStyle w:val="Legenda"/>
        <w:keepNext/>
        <w:spacing w:before="240" w:after="0"/>
        <w:ind w:firstLine="0"/>
        <w:jc w:val="left"/>
        <w:rPr>
          <w:color w:val="000000"/>
          <w:sz w:val="22"/>
          <w:szCs w:val="22"/>
        </w:rPr>
      </w:pPr>
      <w:r w:rsidRPr="00E04836">
        <w:rPr>
          <w:color w:val="000000"/>
          <w:sz w:val="22"/>
          <w:szCs w:val="22"/>
        </w:rPr>
        <w:t xml:space="preserve">Tab. </w:t>
      </w:r>
      <w:r w:rsidRPr="00E04836">
        <w:rPr>
          <w:color w:val="000000"/>
          <w:sz w:val="22"/>
          <w:szCs w:val="22"/>
        </w:rPr>
        <w:fldChar w:fldCharType="begin"/>
      </w:r>
      <w:r w:rsidRPr="00E04836">
        <w:rPr>
          <w:color w:val="000000"/>
          <w:sz w:val="22"/>
          <w:szCs w:val="22"/>
        </w:rPr>
        <w:instrText xml:space="preserve"> SEQ Tab. \* ARABIC </w:instrText>
      </w:r>
      <w:r w:rsidRPr="00E04836">
        <w:rPr>
          <w:color w:val="000000"/>
          <w:sz w:val="22"/>
          <w:szCs w:val="22"/>
        </w:rPr>
        <w:fldChar w:fldCharType="separate"/>
      </w:r>
      <w:r w:rsidR="004605BC">
        <w:rPr>
          <w:noProof/>
          <w:color w:val="000000"/>
          <w:sz w:val="22"/>
          <w:szCs w:val="22"/>
        </w:rPr>
        <w:t>26</w:t>
      </w:r>
      <w:r w:rsidRPr="00E04836">
        <w:rPr>
          <w:color w:val="000000"/>
          <w:sz w:val="22"/>
          <w:szCs w:val="22"/>
        </w:rPr>
        <w:fldChar w:fldCharType="end"/>
      </w:r>
      <w:r w:rsidRPr="00E04836">
        <w:rPr>
          <w:color w:val="000000"/>
          <w:sz w:val="22"/>
          <w:szCs w:val="22"/>
        </w:rPr>
        <w:t>. Wysokość luki w finansowaniu dla poszczególnych wariantów</w:t>
      </w:r>
      <w:r w:rsidRPr="00E04836">
        <w:rPr>
          <w:color w:val="000000"/>
          <w:sz w:val="22"/>
          <w:szCs w:val="22"/>
        </w:rPr>
        <w:br/>
        <w:t>w okresie analizy – lata 2021-2035</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394"/>
        <w:gridCol w:w="993"/>
        <w:gridCol w:w="1655"/>
        <w:gridCol w:w="1515"/>
        <w:gridCol w:w="1515"/>
      </w:tblGrid>
      <w:tr w:rsidR="00E04836" w:rsidRPr="00E04836" w14:paraId="42500F85" w14:textId="77777777" w:rsidTr="00B5326D">
        <w:trPr>
          <w:cantSplit/>
          <w:trHeight w:val="401"/>
          <w:tblHeader/>
          <w:jc w:val="center"/>
        </w:trPr>
        <w:tc>
          <w:tcPr>
            <w:tcW w:w="3394" w:type="dxa"/>
            <w:vMerge w:val="restart"/>
            <w:shd w:val="clear" w:color="auto" w:fill="FFFF99"/>
            <w:vAlign w:val="center"/>
          </w:tcPr>
          <w:p w14:paraId="37914D91" w14:textId="77777777" w:rsidR="00E04836" w:rsidRPr="00E04836" w:rsidRDefault="00E04836" w:rsidP="000E528A">
            <w:pPr>
              <w:keepNext/>
              <w:spacing w:before="60" w:after="40" w:line="288" w:lineRule="auto"/>
              <w:ind w:firstLine="0"/>
              <w:jc w:val="center"/>
              <w:rPr>
                <w:rFonts w:cs="Tahoma"/>
                <w:b/>
                <w:sz w:val="20"/>
                <w:szCs w:val="20"/>
              </w:rPr>
            </w:pPr>
            <w:r w:rsidRPr="00E04836">
              <w:rPr>
                <w:rFonts w:cs="Tahoma"/>
                <w:b/>
                <w:sz w:val="20"/>
                <w:szCs w:val="20"/>
              </w:rPr>
              <w:t>Wyszczególnienie</w:t>
            </w:r>
          </w:p>
        </w:tc>
        <w:tc>
          <w:tcPr>
            <w:tcW w:w="993" w:type="dxa"/>
            <w:vMerge w:val="restart"/>
            <w:shd w:val="clear" w:color="auto" w:fill="FFFF99"/>
            <w:vAlign w:val="center"/>
          </w:tcPr>
          <w:p w14:paraId="5C59971B" w14:textId="77777777" w:rsidR="00E04836" w:rsidRPr="00E04836" w:rsidRDefault="00E04836" w:rsidP="000E528A">
            <w:pPr>
              <w:keepNext/>
              <w:spacing w:before="60" w:after="40" w:line="288" w:lineRule="auto"/>
              <w:ind w:firstLine="0"/>
              <w:jc w:val="center"/>
              <w:rPr>
                <w:rFonts w:cs="Tahoma"/>
                <w:b/>
                <w:sz w:val="20"/>
                <w:szCs w:val="20"/>
              </w:rPr>
            </w:pPr>
            <w:r w:rsidRPr="00E04836">
              <w:rPr>
                <w:rFonts w:cs="Tahoma"/>
                <w:b/>
                <w:sz w:val="20"/>
                <w:szCs w:val="20"/>
              </w:rPr>
              <w:t>Jednostka</w:t>
            </w:r>
          </w:p>
        </w:tc>
        <w:tc>
          <w:tcPr>
            <w:tcW w:w="4685" w:type="dxa"/>
            <w:gridSpan w:val="3"/>
            <w:shd w:val="clear" w:color="auto" w:fill="FFFF99"/>
            <w:vAlign w:val="center"/>
          </w:tcPr>
          <w:p w14:paraId="7406C212" w14:textId="77777777" w:rsidR="00E04836" w:rsidRPr="00E04836" w:rsidRDefault="00E04836" w:rsidP="000E528A">
            <w:pPr>
              <w:keepNext/>
              <w:spacing w:before="60" w:after="40" w:line="288" w:lineRule="auto"/>
              <w:ind w:firstLine="0"/>
              <w:jc w:val="center"/>
              <w:rPr>
                <w:rFonts w:cs="Tahoma"/>
                <w:b/>
                <w:sz w:val="20"/>
                <w:szCs w:val="20"/>
              </w:rPr>
            </w:pPr>
            <w:r w:rsidRPr="00E04836">
              <w:rPr>
                <w:rFonts w:cs="Tahoma"/>
                <w:b/>
                <w:sz w:val="20"/>
                <w:szCs w:val="20"/>
              </w:rPr>
              <w:t>Wariant</w:t>
            </w:r>
          </w:p>
        </w:tc>
      </w:tr>
      <w:tr w:rsidR="00E04836" w:rsidRPr="00E04836" w14:paraId="37870D36" w14:textId="77777777" w:rsidTr="00B5326D">
        <w:trPr>
          <w:cantSplit/>
          <w:trHeight w:val="794"/>
          <w:tblHeader/>
          <w:jc w:val="center"/>
        </w:trPr>
        <w:tc>
          <w:tcPr>
            <w:tcW w:w="3394" w:type="dxa"/>
            <w:vMerge/>
            <w:shd w:val="clear" w:color="auto" w:fill="FFFF99"/>
            <w:vAlign w:val="center"/>
          </w:tcPr>
          <w:p w14:paraId="14703936" w14:textId="77777777" w:rsidR="00E04836" w:rsidRPr="00E04836" w:rsidRDefault="00E04836" w:rsidP="000E528A">
            <w:pPr>
              <w:keepNext/>
              <w:spacing w:before="60" w:after="40" w:line="288" w:lineRule="auto"/>
              <w:ind w:firstLine="0"/>
              <w:jc w:val="center"/>
              <w:rPr>
                <w:rFonts w:cs="Tahoma"/>
                <w:b/>
                <w:sz w:val="20"/>
                <w:szCs w:val="20"/>
              </w:rPr>
            </w:pPr>
          </w:p>
        </w:tc>
        <w:tc>
          <w:tcPr>
            <w:tcW w:w="993" w:type="dxa"/>
            <w:vMerge/>
            <w:shd w:val="clear" w:color="auto" w:fill="FFFF99"/>
            <w:vAlign w:val="center"/>
          </w:tcPr>
          <w:p w14:paraId="304F8291" w14:textId="77777777" w:rsidR="00E04836" w:rsidRPr="00E04836" w:rsidRDefault="00E04836" w:rsidP="000E528A">
            <w:pPr>
              <w:keepNext/>
              <w:spacing w:before="60" w:after="40" w:line="288" w:lineRule="auto"/>
              <w:ind w:firstLine="0"/>
              <w:jc w:val="center"/>
              <w:rPr>
                <w:rFonts w:cs="Tahoma"/>
                <w:b/>
                <w:sz w:val="20"/>
                <w:szCs w:val="20"/>
              </w:rPr>
            </w:pPr>
          </w:p>
        </w:tc>
        <w:tc>
          <w:tcPr>
            <w:tcW w:w="1655" w:type="dxa"/>
            <w:shd w:val="clear" w:color="auto" w:fill="FFFF99"/>
            <w:vAlign w:val="center"/>
          </w:tcPr>
          <w:p w14:paraId="7550C61F" w14:textId="77777777" w:rsidR="00E04836" w:rsidRPr="00E04836" w:rsidRDefault="00E04836" w:rsidP="000E528A">
            <w:pPr>
              <w:keepNext/>
              <w:spacing w:before="60" w:after="40" w:line="288" w:lineRule="auto"/>
              <w:ind w:firstLine="0"/>
              <w:jc w:val="center"/>
              <w:rPr>
                <w:rFonts w:cs="Tahoma"/>
                <w:b/>
                <w:sz w:val="19"/>
                <w:szCs w:val="19"/>
              </w:rPr>
            </w:pPr>
            <w:r w:rsidRPr="00E04836">
              <w:rPr>
                <w:rFonts w:cs="Tahoma"/>
                <w:b/>
                <w:sz w:val="19"/>
                <w:szCs w:val="19"/>
              </w:rPr>
              <w:t>konwencjonalny</w:t>
            </w:r>
          </w:p>
        </w:tc>
        <w:tc>
          <w:tcPr>
            <w:tcW w:w="1515" w:type="dxa"/>
            <w:shd w:val="clear" w:color="auto" w:fill="FFFF99"/>
            <w:vAlign w:val="center"/>
          </w:tcPr>
          <w:p w14:paraId="36CD7E1C" w14:textId="5FC059B8" w:rsidR="00E04836" w:rsidRPr="00E04836" w:rsidRDefault="00E04836" w:rsidP="000E528A">
            <w:pPr>
              <w:keepNext/>
              <w:spacing w:before="60" w:after="40" w:line="288" w:lineRule="auto"/>
              <w:ind w:firstLine="0"/>
              <w:jc w:val="center"/>
              <w:rPr>
                <w:rFonts w:cs="Tahoma"/>
                <w:b/>
                <w:sz w:val="19"/>
                <w:szCs w:val="19"/>
              </w:rPr>
            </w:pPr>
            <w:r w:rsidRPr="00E04836">
              <w:rPr>
                <w:rFonts w:cs="Tahoma"/>
                <w:b/>
                <w:sz w:val="19"/>
                <w:szCs w:val="19"/>
              </w:rPr>
              <w:t>elektryczny</w:t>
            </w:r>
          </w:p>
        </w:tc>
        <w:tc>
          <w:tcPr>
            <w:tcW w:w="1515" w:type="dxa"/>
            <w:shd w:val="clear" w:color="auto" w:fill="FFFF99"/>
            <w:vAlign w:val="center"/>
          </w:tcPr>
          <w:p w14:paraId="046BD2EA" w14:textId="3E47F3FF" w:rsidR="00E04836" w:rsidRPr="00E04836" w:rsidRDefault="000E528A" w:rsidP="000E528A">
            <w:pPr>
              <w:keepNext/>
              <w:spacing w:before="60" w:after="40" w:line="288" w:lineRule="auto"/>
              <w:ind w:firstLine="0"/>
              <w:jc w:val="center"/>
              <w:rPr>
                <w:rFonts w:cs="Tahoma"/>
                <w:b/>
                <w:sz w:val="19"/>
                <w:szCs w:val="19"/>
              </w:rPr>
            </w:pPr>
            <w:r>
              <w:rPr>
                <w:rFonts w:cs="Tahoma"/>
                <w:b/>
                <w:sz w:val="19"/>
                <w:szCs w:val="19"/>
              </w:rPr>
              <w:t>wodorowy</w:t>
            </w:r>
          </w:p>
        </w:tc>
      </w:tr>
      <w:tr w:rsidR="00E04836" w:rsidRPr="00E04836" w14:paraId="7DD92F78" w14:textId="77777777" w:rsidTr="00B5326D">
        <w:trPr>
          <w:cantSplit/>
          <w:jc w:val="center"/>
        </w:trPr>
        <w:tc>
          <w:tcPr>
            <w:tcW w:w="3394" w:type="dxa"/>
            <w:tcBorders>
              <w:top w:val="single" w:sz="4" w:space="0" w:color="auto"/>
              <w:left w:val="single" w:sz="4" w:space="0" w:color="auto"/>
              <w:bottom w:val="single" w:sz="4" w:space="0" w:color="auto"/>
              <w:right w:val="single" w:sz="4" w:space="0" w:color="auto"/>
            </w:tcBorders>
            <w:vAlign w:val="center"/>
          </w:tcPr>
          <w:p w14:paraId="53129EEB" w14:textId="6D4673AA" w:rsidR="00E04836" w:rsidRPr="008E7DA6" w:rsidRDefault="00E04836" w:rsidP="000E528A">
            <w:pPr>
              <w:keepNext/>
              <w:spacing w:before="60" w:after="40" w:line="288" w:lineRule="auto"/>
              <w:ind w:firstLine="0"/>
              <w:jc w:val="left"/>
              <w:rPr>
                <w:rFonts w:cs="Tahoma"/>
                <w:bCs/>
                <w:sz w:val="20"/>
                <w:szCs w:val="20"/>
              </w:rPr>
            </w:pPr>
            <w:r w:rsidRPr="00E04836">
              <w:rPr>
                <w:rFonts w:cs="Tahoma"/>
                <w:sz w:val="20"/>
                <w:szCs w:val="20"/>
              </w:rPr>
              <w:t>Suma zdyskontowanych nakładów</w:t>
            </w:r>
            <w:r w:rsidRPr="00E04836">
              <w:rPr>
                <w:rFonts w:cs="Tahoma"/>
                <w:sz w:val="20"/>
                <w:szCs w:val="20"/>
              </w:rPr>
              <w:br/>
              <w:t>inwestycyjnych</w:t>
            </w:r>
            <w:r w:rsidR="008E7DA6">
              <w:rPr>
                <w:rFonts w:cs="Tahoma"/>
                <w:sz w:val="20"/>
                <w:szCs w:val="20"/>
              </w:rPr>
              <w:t xml:space="preserve"> (</w:t>
            </w:r>
            <w:r w:rsidRPr="00E04836">
              <w:rPr>
                <w:rFonts w:cs="Tahoma"/>
                <w:b/>
                <w:sz w:val="20"/>
                <w:szCs w:val="20"/>
              </w:rPr>
              <w:t>DIC</w:t>
            </w:r>
            <w:r w:rsidR="008E7DA6">
              <w:rPr>
                <w:rFonts w:cs="Tahoma"/>
                <w:b/>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C677018" w14:textId="27CFE30F" w:rsidR="00E04836" w:rsidRPr="00E04836" w:rsidRDefault="00E04836" w:rsidP="000E528A">
            <w:pPr>
              <w:keepNext/>
              <w:spacing w:before="60" w:after="40" w:line="288" w:lineRule="auto"/>
              <w:ind w:firstLine="0"/>
              <w:jc w:val="center"/>
              <w:rPr>
                <w:rFonts w:cs="Tahoma"/>
                <w:sz w:val="20"/>
                <w:szCs w:val="20"/>
              </w:rPr>
            </w:pPr>
            <w:r w:rsidRPr="00E04836">
              <w:rPr>
                <w:rFonts w:cs="Tahoma"/>
                <w:sz w:val="20"/>
                <w:szCs w:val="20"/>
              </w:rPr>
              <w:t>tys. zł</w:t>
            </w:r>
          </w:p>
        </w:tc>
        <w:tc>
          <w:tcPr>
            <w:tcW w:w="1655" w:type="dxa"/>
            <w:tcBorders>
              <w:top w:val="single" w:sz="4" w:space="0" w:color="auto"/>
              <w:left w:val="single" w:sz="4" w:space="0" w:color="auto"/>
              <w:bottom w:val="single" w:sz="4" w:space="0" w:color="auto"/>
              <w:right w:val="single" w:sz="4" w:space="0" w:color="auto"/>
            </w:tcBorders>
            <w:vAlign w:val="center"/>
          </w:tcPr>
          <w:p w14:paraId="77441092" w14:textId="5BDB9A72" w:rsidR="00E04836" w:rsidRPr="00E04836" w:rsidRDefault="000E528A" w:rsidP="000E528A">
            <w:pPr>
              <w:keepNext/>
              <w:spacing w:before="60" w:after="40" w:line="288" w:lineRule="auto"/>
              <w:ind w:firstLine="0"/>
              <w:jc w:val="right"/>
              <w:rPr>
                <w:rFonts w:cs="Tahoma"/>
                <w:sz w:val="20"/>
                <w:szCs w:val="20"/>
              </w:rPr>
            </w:pPr>
            <w:r>
              <w:rPr>
                <w:rFonts w:cs="Tahoma"/>
                <w:sz w:val="20"/>
                <w:szCs w:val="20"/>
              </w:rPr>
              <w:t>166 511,9</w:t>
            </w:r>
          </w:p>
        </w:tc>
        <w:tc>
          <w:tcPr>
            <w:tcW w:w="1515" w:type="dxa"/>
            <w:tcBorders>
              <w:top w:val="single" w:sz="4" w:space="0" w:color="auto"/>
              <w:left w:val="single" w:sz="4" w:space="0" w:color="auto"/>
              <w:bottom w:val="single" w:sz="4" w:space="0" w:color="auto"/>
              <w:right w:val="single" w:sz="4" w:space="0" w:color="auto"/>
            </w:tcBorders>
            <w:vAlign w:val="center"/>
          </w:tcPr>
          <w:p w14:paraId="093CB8AA" w14:textId="5D738771" w:rsidR="00E04836" w:rsidRPr="00E04836" w:rsidRDefault="000E528A" w:rsidP="000E528A">
            <w:pPr>
              <w:keepNext/>
              <w:spacing w:before="60" w:after="40" w:line="288" w:lineRule="auto"/>
              <w:ind w:firstLine="0"/>
              <w:jc w:val="right"/>
              <w:rPr>
                <w:rFonts w:cs="Tahoma"/>
                <w:sz w:val="20"/>
                <w:szCs w:val="20"/>
              </w:rPr>
            </w:pPr>
            <w:r>
              <w:rPr>
                <w:rFonts w:cs="Tahoma"/>
                <w:sz w:val="20"/>
                <w:szCs w:val="20"/>
              </w:rPr>
              <w:t>250 220,7</w:t>
            </w:r>
          </w:p>
        </w:tc>
        <w:tc>
          <w:tcPr>
            <w:tcW w:w="1515" w:type="dxa"/>
            <w:tcBorders>
              <w:top w:val="single" w:sz="4" w:space="0" w:color="auto"/>
              <w:left w:val="single" w:sz="4" w:space="0" w:color="auto"/>
              <w:bottom w:val="single" w:sz="4" w:space="0" w:color="auto"/>
              <w:right w:val="single" w:sz="4" w:space="0" w:color="auto"/>
            </w:tcBorders>
            <w:vAlign w:val="center"/>
          </w:tcPr>
          <w:p w14:paraId="7984FC8A" w14:textId="70BBF022" w:rsidR="00E04836" w:rsidRPr="00E04836" w:rsidRDefault="000E528A" w:rsidP="000E528A">
            <w:pPr>
              <w:keepNext/>
              <w:spacing w:before="60" w:after="40" w:line="288" w:lineRule="auto"/>
              <w:ind w:firstLine="0"/>
              <w:jc w:val="right"/>
              <w:rPr>
                <w:rFonts w:cs="Tahoma"/>
                <w:sz w:val="20"/>
                <w:szCs w:val="20"/>
              </w:rPr>
            </w:pPr>
            <w:r>
              <w:rPr>
                <w:rFonts w:cs="Tahoma"/>
                <w:sz w:val="20"/>
                <w:szCs w:val="20"/>
              </w:rPr>
              <w:t>259 393,8</w:t>
            </w:r>
          </w:p>
        </w:tc>
      </w:tr>
      <w:tr w:rsidR="00E04836" w:rsidRPr="00E04836" w14:paraId="2CCA216E" w14:textId="77777777" w:rsidTr="00B5326D">
        <w:trPr>
          <w:cantSplit/>
          <w:jc w:val="center"/>
        </w:trPr>
        <w:tc>
          <w:tcPr>
            <w:tcW w:w="3394" w:type="dxa"/>
            <w:tcBorders>
              <w:top w:val="single" w:sz="4" w:space="0" w:color="auto"/>
              <w:left w:val="single" w:sz="4" w:space="0" w:color="auto"/>
              <w:bottom w:val="single" w:sz="4" w:space="0" w:color="auto"/>
              <w:right w:val="single" w:sz="4" w:space="0" w:color="auto"/>
            </w:tcBorders>
            <w:vAlign w:val="center"/>
          </w:tcPr>
          <w:p w14:paraId="0FFEF9D2" w14:textId="77777777" w:rsidR="00E04836" w:rsidRPr="00E04836" w:rsidRDefault="00E04836" w:rsidP="000E528A">
            <w:pPr>
              <w:spacing w:before="60" w:after="40" w:line="288" w:lineRule="auto"/>
              <w:ind w:firstLine="0"/>
              <w:jc w:val="left"/>
              <w:rPr>
                <w:rFonts w:cs="Tahoma"/>
                <w:sz w:val="20"/>
                <w:szCs w:val="20"/>
              </w:rPr>
            </w:pPr>
            <w:r w:rsidRPr="00E04836">
              <w:rPr>
                <w:rFonts w:cs="Tahoma"/>
                <w:sz w:val="20"/>
                <w:szCs w:val="20"/>
              </w:rPr>
              <w:t>Razem zdyskontowane dochody</w:t>
            </w:r>
            <w:r w:rsidRPr="00E04836">
              <w:rPr>
                <w:rFonts w:cs="Tahoma"/>
                <w:sz w:val="20"/>
                <w:szCs w:val="20"/>
              </w:rPr>
              <w:br/>
              <w:t>i wartość rezydualna (</w:t>
            </w:r>
            <w:r w:rsidRPr="00E04836">
              <w:rPr>
                <w:rFonts w:cs="Tahoma"/>
                <w:b/>
                <w:sz w:val="20"/>
                <w:szCs w:val="20"/>
              </w:rPr>
              <w:t>DNR</w:t>
            </w:r>
            <w:r w:rsidRPr="00E04836">
              <w:rPr>
                <w:rFonts w:cs="Tahoma"/>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43C29E11" w14:textId="77777777" w:rsidR="00E04836" w:rsidRPr="00E04836" w:rsidRDefault="00E04836" w:rsidP="000E528A">
            <w:pPr>
              <w:spacing w:before="60" w:after="40" w:line="288" w:lineRule="auto"/>
              <w:ind w:firstLine="0"/>
              <w:jc w:val="center"/>
              <w:rPr>
                <w:rFonts w:cs="Tahoma"/>
                <w:sz w:val="20"/>
                <w:szCs w:val="20"/>
              </w:rPr>
            </w:pPr>
            <w:r w:rsidRPr="00E04836">
              <w:rPr>
                <w:rFonts w:cs="Tahoma"/>
                <w:sz w:val="20"/>
                <w:szCs w:val="20"/>
              </w:rPr>
              <w:t>tys. zł</w:t>
            </w:r>
          </w:p>
        </w:tc>
        <w:tc>
          <w:tcPr>
            <w:tcW w:w="1655" w:type="dxa"/>
            <w:tcBorders>
              <w:top w:val="single" w:sz="4" w:space="0" w:color="auto"/>
              <w:left w:val="single" w:sz="4" w:space="0" w:color="auto"/>
              <w:bottom w:val="single" w:sz="4" w:space="0" w:color="auto"/>
              <w:right w:val="single" w:sz="4" w:space="0" w:color="auto"/>
            </w:tcBorders>
            <w:vAlign w:val="center"/>
          </w:tcPr>
          <w:p w14:paraId="1C36D589" w14:textId="7A830382" w:rsidR="00E04836" w:rsidRPr="00E04836" w:rsidRDefault="000E528A" w:rsidP="000E528A">
            <w:pPr>
              <w:spacing w:before="60" w:after="40" w:line="288" w:lineRule="auto"/>
              <w:ind w:firstLine="0"/>
              <w:jc w:val="right"/>
              <w:rPr>
                <w:rFonts w:cs="Tahoma"/>
                <w:sz w:val="20"/>
                <w:szCs w:val="20"/>
              </w:rPr>
            </w:pPr>
            <w:r>
              <w:rPr>
                <w:rFonts w:cs="Tahoma"/>
                <w:sz w:val="20"/>
                <w:szCs w:val="20"/>
              </w:rPr>
              <w:t>6 818,5</w:t>
            </w:r>
          </w:p>
        </w:tc>
        <w:tc>
          <w:tcPr>
            <w:tcW w:w="1515" w:type="dxa"/>
            <w:tcBorders>
              <w:top w:val="single" w:sz="4" w:space="0" w:color="auto"/>
              <w:left w:val="single" w:sz="4" w:space="0" w:color="auto"/>
              <w:bottom w:val="single" w:sz="4" w:space="0" w:color="auto"/>
              <w:right w:val="single" w:sz="4" w:space="0" w:color="auto"/>
            </w:tcBorders>
            <w:vAlign w:val="center"/>
          </w:tcPr>
          <w:p w14:paraId="7EAA96B2" w14:textId="6E6935B1" w:rsidR="00E04836" w:rsidRPr="00E04836" w:rsidRDefault="000E528A" w:rsidP="000E528A">
            <w:pPr>
              <w:spacing w:before="60" w:after="40" w:line="288" w:lineRule="auto"/>
              <w:ind w:firstLine="0"/>
              <w:jc w:val="right"/>
              <w:rPr>
                <w:rFonts w:cs="Tahoma"/>
                <w:sz w:val="20"/>
                <w:szCs w:val="20"/>
              </w:rPr>
            </w:pPr>
            <w:r>
              <w:rPr>
                <w:rFonts w:cs="Tahoma"/>
                <w:sz w:val="20"/>
                <w:szCs w:val="20"/>
              </w:rPr>
              <w:t>18 598,9</w:t>
            </w:r>
          </w:p>
        </w:tc>
        <w:tc>
          <w:tcPr>
            <w:tcW w:w="1515" w:type="dxa"/>
            <w:tcBorders>
              <w:top w:val="single" w:sz="4" w:space="0" w:color="auto"/>
              <w:left w:val="single" w:sz="4" w:space="0" w:color="auto"/>
              <w:bottom w:val="single" w:sz="4" w:space="0" w:color="auto"/>
              <w:right w:val="single" w:sz="4" w:space="0" w:color="auto"/>
            </w:tcBorders>
            <w:vAlign w:val="center"/>
          </w:tcPr>
          <w:p w14:paraId="71643820" w14:textId="1EE8FC01" w:rsidR="00E04836" w:rsidRPr="00E04836" w:rsidRDefault="000E528A" w:rsidP="000E528A">
            <w:pPr>
              <w:spacing w:before="60" w:after="40" w:line="288" w:lineRule="auto"/>
              <w:ind w:firstLine="0"/>
              <w:jc w:val="right"/>
              <w:rPr>
                <w:rFonts w:cs="Tahoma"/>
                <w:sz w:val="20"/>
                <w:szCs w:val="20"/>
              </w:rPr>
            </w:pPr>
            <w:r>
              <w:rPr>
                <w:rFonts w:cs="Tahoma"/>
                <w:sz w:val="20"/>
                <w:szCs w:val="20"/>
              </w:rPr>
              <w:t>16 631,0</w:t>
            </w:r>
          </w:p>
        </w:tc>
      </w:tr>
      <w:tr w:rsidR="00E04836" w:rsidRPr="00E04836" w14:paraId="3B9F05FD" w14:textId="77777777" w:rsidTr="00B5326D">
        <w:trPr>
          <w:cantSplit/>
          <w:jc w:val="center"/>
        </w:trPr>
        <w:tc>
          <w:tcPr>
            <w:tcW w:w="3394" w:type="dxa"/>
            <w:tcBorders>
              <w:top w:val="single" w:sz="4" w:space="0" w:color="auto"/>
              <w:left w:val="single" w:sz="4" w:space="0" w:color="auto"/>
              <w:bottom w:val="single" w:sz="4" w:space="0" w:color="auto"/>
              <w:right w:val="single" w:sz="4" w:space="0" w:color="auto"/>
            </w:tcBorders>
            <w:vAlign w:val="center"/>
          </w:tcPr>
          <w:p w14:paraId="617151E6" w14:textId="77777777" w:rsidR="00E04836" w:rsidRPr="00E04836" w:rsidRDefault="00E04836" w:rsidP="000E528A">
            <w:pPr>
              <w:spacing w:before="60" w:after="40" w:line="288" w:lineRule="auto"/>
              <w:ind w:firstLine="0"/>
              <w:jc w:val="left"/>
              <w:rPr>
                <w:rFonts w:cs="Tahoma"/>
                <w:sz w:val="20"/>
                <w:szCs w:val="20"/>
              </w:rPr>
            </w:pPr>
            <w:r w:rsidRPr="00E04836">
              <w:rPr>
                <w:rFonts w:cs="Tahoma"/>
                <w:sz w:val="20"/>
                <w:szCs w:val="20"/>
              </w:rPr>
              <w:t>Wskaźnik luki w finansowaniu (</w:t>
            </w:r>
            <w:r w:rsidRPr="00E04836">
              <w:rPr>
                <w:rFonts w:cs="Tahoma"/>
                <w:b/>
                <w:sz w:val="20"/>
                <w:szCs w:val="20"/>
              </w:rPr>
              <w:t>R</w:t>
            </w:r>
            <w:r w:rsidRPr="00E04836">
              <w:rPr>
                <w:rFonts w:cs="Tahoma"/>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35FD5B2" w14:textId="77777777" w:rsidR="00E04836" w:rsidRPr="00E04836" w:rsidRDefault="00E04836" w:rsidP="000E528A">
            <w:pPr>
              <w:spacing w:before="60" w:after="40" w:line="288" w:lineRule="auto"/>
              <w:ind w:firstLine="0"/>
              <w:jc w:val="center"/>
              <w:rPr>
                <w:rFonts w:cs="Tahoma"/>
                <w:sz w:val="20"/>
                <w:szCs w:val="20"/>
              </w:rPr>
            </w:pPr>
            <w:r w:rsidRPr="00E04836">
              <w:rPr>
                <w:rFonts w:cs="Tahoma"/>
                <w:sz w:val="20"/>
                <w:szCs w:val="20"/>
              </w:rPr>
              <w:t>%</w:t>
            </w:r>
          </w:p>
        </w:tc>
        <w:tc>
          <w:tcPr>
            <w:tcW w:w="1655" w:type="dxa"/>
            <w:tcBorders>
              <w:top w:val="single" w:sz="4" w:space="0" w:color="auto"/>
              <w:left w:val="single" w:sz="4" w:space="0" w:color="auto"/>
              <w:bottom w:val="single" w:sz="4" w:space="0" w:color="auto"/>
              <w:right w:val="single" w:sz="4" w:space="0" w:color="auto"/>
            </w:tcBorders>
            <w:vAlign w:val="center"/>
          </w:tcPr>
          <w:p w14:paraId="1E95F225" w14:textId="6E1E04D8" w:rsidR="00E04836" w:rsidRPr="00E04836" w:rsidRDefault="000E528A" w:rsidP="000E528A">
            <w:pPr>
              <w:spacing w:before="60" w:after="40" w:line="288" w:lineRule="auto"/>
              <w:ind w:firstLine="0"/>
              <w:jc w:val="right"/>
              <w:rPr>
                <w:rFonts w:cs="Tahoma"/>
                <w:sz w:val="20"/>
                <w:szCs w:val="20"/>
              </w:rPr>
            </w:pPr>
            <w:r>
              <w:rPr>
                <w:rFonts w:cs="Tahoma"/>
                <w:sz w:val="20"/>
                <w:szCs w:val="20"/>
              </w:rPr>
              <w:t>95,91</w:t>
            </w:r>
          </w:p>
        </w:tc>
        <w:tc>
          <w:tcPr>
            <w:tcW w:w="1515" w:type="dxa"/>
            <w:tcBorders>
              <w:top w:val="single" w:sz="4" w:space="0" w:color="auto"/>
              <w:left w:val="single" w:sz="4" w:space="0" w:color="auto"/>
              <w:bottom w:val="single" w:sz="4" w:space="0" w:color="auto"/>
              <w:right w:val="single" w:sz="4" w:space="0" w:color="auto"/>
            </w:tcBorders>
            <w:vAlign w:val="center"/>
          </w:tcPr>
          <w:p w14:paraId="79773F2B" w14:textId="39756727" w:rsidR="00E04836" w:rsidRPr="00E04836" w:rsidRDefault="000E528A" w:rsidP="000E528A">
            <w:pPr>
              <w:spacing w:before="60" w:after="40" w:line="288" w:lineRule="auto"/>
              <w:ind w:firstLine="0"/>
              <w:jc w:val="right"/>
              <w:rPr>
                <w:rFonts w:cs="Tahoma"/>
                <w:sz w:val="20"/>
                <w:szCs w:val="20"/>
              </w:rPr>
            </w:pPr>
            <w:r>
              <w:rPr>
                <w:rFonts w:cs="Tahoma"/>
                <w:sz w:val="20"/>
                <w:szCs w:val="20"/>
              </w:rPr>
              <w:t>92,57</w:t>
            </w:r>
          </w:p>
        </w:tc>
        <w:tc>
          <w:tcPr>
            <w:tcW w:w="1515" w:type="dxa"/>
            <w:tcBorders>
              <w:top w:val="single" w:sz="4" w:space="0" w:color="auto"/>
              <w:left w:val="single" w:sz="4" w:space="0" w:color="auto"/>
              <w:bottom w:val="single" w:sz="4" w:space="0" w:color="auto"/>
              <w:right w:val="single" w:sz="4" w:space="0" w:color="auto"/>
            </w:tcBorders>
            <w:vAlign w:val="center"/>
          </w:tcPr>
          <w:p w14:paraId="6EBF4AA1" w14:textId="24A85C84" w:rsidR="00E04836" w:rsidRPr="00E04836" w:rsidRDefault="000E528A" w:rsidP="000E528A">
            <w:pPr>
              <w:spacing w:before="60" w:after="40" w:line="288" w:lineRule="auto"/>
              <w:ind w:firstLine="0"/>
              <w:jc w:val="right"/>
              <w:rPr>
                <w:rFonts w:cs="Tahoma"/>
                <w:sz w:val="20"/>
                <w:szCs w:val="20"/>
              </w:rPr>
            </w:pPr>
            <w:r>
              <w:rPr>
                <w:rFonts w:cs="Tahoma"/>
                <w:sz w:val="20"/>
                <w:szCs w:val="20"/>
              </w:rPr>
              <w:t>93,59</w:t>
            </w:r>
          </w:p>
        </w:tc>
      </w:tr>
      <w:tr w:rsidR="00E04836" w:rsidRPr="00E04836" w14:paraId="00BCCF21" w14:textId="77777777" w:rsidTr="00B5326D">
        <w:trPr>
          <w:cantSplit/>
          <w:jc w:val="center"/>
        </w:trPr>
        <w:tc>
          <w:tcPr>
            <w:tcW w:w="3394" w:type="dxa"/>
            <w:tcBorders>
              <w:top w:val="single" w:sz="4" w:space="0" w:color="auto"/>
              <w:left w:val="single" w:sz="4" w:space="0" w:color="auto"/>
              <w:bottom w:val="single" w:sz="4" w:space="0" w:color="auto"/>
              <w:right w:val="single" w:sz="4" w:space="0" w:color="auto"/>
            </w:tcBorders>
            <w:vAlign w:val="center"/>
          </w:tcPr>
          <w:p w14:paraId="5EB58C5B" w14:textId="77777777" w:rsidR="00E04836" w:rsidRPr="00E04836" w:rsidRDefault="00E04836" w:rsidP="000E528A">
            <w:pPr>
              <w:spacing w:before="60" w:after="40" w:line="288" w:lineRule="auto"/>
              <w:ind w:firstLine="0"/>
              <w:jc w:val="left"/>
              <w:rPr>
                <w:rFonts w:cs="Tahoma"/>
                <w:sz w:val="20"/>
                <w:szCs w:val="20"/>
              </w:rPr>
            </w:pPr>
            <w:r w:rsidRPr="00E04836">
              <w:rPr>
                <w:rFonts w:cs="Tahoma"/>
                <w:sz w:val="20"/>
                <w:szCs w:val="20"/>
              </w:rPr>
              <w:t>Całkowite nakłady inwestycyjne</w:t>
            </w:r>
          </w:p>
        </w:tc>
        <w:tc>
          <w:tcPr>
            <w:tcW w:w="993" w:type="dxa"/>
            <w:tcBorders>
              <w:top w:val="single" w:sz="4" w:space="0" w:color="auto"/>
              <w:left w:val="single" w:sz="4" w:space="0" w:color="auto"/>
              <w:bottom w:val="single" w:sz="4" w:space="0" w:color="auto"/>
              <w:right w:val="single" w:sz="4" w:space="0" w:color="auto"/>
            </w:tcBorders>
            <w:vAlign w:val="center"/>
          </w:tcPr>
          <w:p w14:paraId="75D669E7" w14:textId="77777777" w:rsidR="00E04836" w:rsidRPr="00E04836" w:rsidRDefault="00E04836" w:rsidP="000E528A">
            <w:pPr>
              <w:spacing w:before="60" w:after="40" w:line="288" w:lineRule="auto"/>
              <w:ind w:firstLine="0"/>
              <w:jc w:val="center"/>
              <w:rPr>
                <w:rFonts w:cs="Tahoma"/>
                <w:sz w:val="20"/>
                <w:szCs w:val="20"/>
              </w:rPr>
            </w:pPr>
            <w:r w:rsidRPr="00E04836">
              <w:rPr>
                <w:rFonts w:cs="Tahoma"/>
                <w:sz w:val="20"/>
                <w:szCs w:val="20"/>
              </w:rPr>
              <w:t>tys. zł</w:t>
            </w:r>
          </w:p>
        </w:tc>
        <w:tc>
          <w:tcPr>
            <w:tcW w:w="1655" w:type="dxa"/>
            <w:tcBorders>
              <w:top w:val="single" w:sz="4" w:space="0" w:color="auto"/>
              <w:left w:val="single" w:sz="4" w:space="0" w:color="auto"/>
              <w:bottom w:val="single" w:sz="4" w:space="0" w:color="auto"/>
              <w:right w:val="single" w:sz="4" w:space="0" w:color="auto"/>
            </w:tcBorders>
            <w:vAlign w:val="center"/>
          </w:tcPr>
          <w:p w14:paraId="3DA9C3DF" w14:textId="01500B9C" w:rsidR="00E04836" w:rsidRPr="00E04836" w:rsidRDefault="000E528A" w:rsidP="000E528A">
            <w:pPr>
              <w:spacing w:before="60" w:after="40" w:line="288" w:lineRule="auto"/>
              <w:ind w:firstLine="0"/>
              <w:jc w:val="right"/>
              <w:rPr>
                <w:rFonts w:cs="Tahoma"/>
                <w:sz w:val="20"/>
                <w:szCs w:val="20"/>
              </w:rPr>
            </w:pPr>
            <w:r>
              <w:rPr>
                <w:rFonts w:cs="Tahoma"/>
                <w:sz w:val="20"/>
                <w:szCs w:val="20"/>
              </w:rPr>
              <w:t>232 813,0</w:t>
            </w:r>
          </w:p>
        </w:tc>
        <w:tc>
          <w:tcPr>
            <w:tcW w:w="1515" w:type="dxa"/>
            <w:tcBorders>
              <w:top w:val="single" w:sz="4" w:space="0" w:color="auto"/>
              <w:left w:val="single" w:sz="4" w:space="0" w:color="auto"/>
              <w:bottom w:val="single" w:sz="4" w:space="0" w:color="auto"/>
              <w:right w:val="single" w:sz="4" w:space="0" w:color="auto"/>
            </w:tcBorders>
            <w:vAlign w:val="center"/>
          </w:tcPr>
          <w:p w14:paraId="34CC0CB7" w14:textId="5FD0D6CE" w:rsidR="00E04836" w:rsidRPr="00E04836" w:rsidRDefault="000E528A" w:rsidP="000E528A">
            <w:pPr>
              <w:spacing w:before="60" w:after="40" w:line="288" w:lineRule="auto"/>
              <w:ind w:firstLine="0"/>
              <w:jc w:val="right"/>
              <w:rPr>
                <w:rFonts w:cs="Tahoma"/>
                <w:sz w:val="20"/>
                <w:szCs w:val="20"/>
              </w:rPr>
            </w:pPr>
            <w:r>
              <w:rPr>
                <w:rFonts w:cs="Tahoma"/>
                <w:sz w:val="20"/>
                <w:szCs w:val="20"/>
              </w:rPr>
              <w:t>328 938,0</w:t>
            </w:r>
          </w:p>
        </w:tc>
        <w:tc>
          <w:tcPr>
            <w:tcW w:w="1515" w:type="dxa"/>
            <w:tcBorders>
              <w:top w:val="single" w:sz="4" w:space="0" w:color="auto"/>
              <w:left w:val="single" w:sz="4" w:space="0" w:color="auto"/>
              <w:bottom w:val="single" w:sz="4" w:space="0" w:color="auto"/>
              <w:right w:val="single" w:sz="4" w:space="0" w:color="auto"/>
            </w:tcBorders>
            <w:vAlign w:val="center"/>
          </w:tcPr>
          <w:p w14:paraId="1310A5FE" w14:textId="319E4E63" w:rsidR="00E04836" w:rsidRPr="00E04836" w:rsidRDefault="000E528A" w:rsidP="000E528A">
            <w:pPr>
              <w:spacing w:before="60" w:after="40" w:line="288" w:lineRule="auto"/>
              <w:ind w:firstLine="0"/>
              <w:jc w:val="right"/>
              <w:rPr>
                <w:rFonts w:cs="Tahoma"/>
                <w:sz w:val="20"/>
                <w:szCs w:val="20"/>
              </w:rPr>
            </w:pPr>
            <w:r>
              <w:rPr>
                <w:rFonts w:cs="Tahoma"/>
                <w:sz w:val="20"/>
                <w:szCs w:val="20"/>
              </w:rPr>
              <w:t>340 448,0</w:t>
            </w:r>
          </w:p>
        </w:tc>
      </w:tr>
      <w:tr w:rsidR="00E04836" w:rsidRPr="00E04836" w14:paraId="1C473E48" w14:textId="77777777" w:rsidTr="00B5326D">
        <w:trPr>
          <w:cantSplit/>
          <w:jc w:val="center"/>
        </w:trPr>
        <w:tc>
          <w:tcPr>
            <w:tcW w:w="3394" w:type="dxa"/>
            <w:tcBorders>
              <w:top w:val="single" w:sz="4" w:space="0" w:color="auto"/>
              <w:left w:val="single" w:sz="4" w:space="0" w:color="auto"/>
              <w:bottom w:val="single" w:sz="4" w:space="0" w:color="auto"/>
              <w:right w:val="single" w:sz="4" w:space="0" w:color="auto"/>
            </w:tcBorders>
            <w:vAlign w:val="center"/>
          </w:tcPr>
          <w:p w14:paraId="6662CDE6" w14:textId="77777777" w:rsidR="00E04836" w:rsidRPr="00E04836" w:rsidRDefault="00E04836" w:rsidP="000E528A">
            <w:pPr>
              <w:spacing w:before="60" w:after="40" w:line="288" w:lineRule="auto"/>
              <w:ind w:firstLine="0"/>
              <w:jc w:val="left"/>
              <w:rPr>
                <w:rFonts w:cs="Tahoma"/>
                <w:sz w:val="20"/>
                <w:szCs w:val="20"/>
              </w:rPr>
            </w:pPr>
            <w:r w:rsidRPr="00E04836">
              <w:rPr>
                <w:rFonts w:cs="Tahoma"/>
                <w:sz w:val="20"/>
                <w:szCs w:val="20"/>
              </w:rPr>
              <w:t>Koszty kwalifikowane skorygowane</w:t>
            </w:r>
          </w:p>
        </w:tc>
        <w:tc>
          <w:tcPr>
            <w:tcW w:w="993" w:type="dxa"/>
            <w:tcBorders>
              <w:top w:val="single" w:sz="4" w:space="0" w:color="auto"/>
              <w:left w:val="single" w:sz="4" w:space="0" w:color="auto"/>
              <w:bottom w:val="single" w:sz="4" w:space="0" w:color="auto"/>
              <w:right w:val="single" w:sz="4" w:space="0" w:color="auto"/>
            </w:tcBorders>
            <w:vAlign w:val="center"/>
          </w:tcPr>
          <w:p w14:paraId="7781D123" w14:textId="77777777" w:rsidR="00E04836" w:rsidRPr="00E04836" w:rsidRDefault="00E04836" w:rsidP="000E528A">
            <w:pPr>
              <w:spacing w:before="60" w:after="40" w:line="288" w:lineRule="auto"/>
              <w:ind w:firstLine="0"/>
              <w:jc w:val="center"/>
              <w:rPr>
                <w:rFonts w:cs="Tahoma"/>
                <w:sz w:val="20"/>
                <w:szCs w:val="20"/>
              </w:rPr>
            </w:pPr>
            <w:r w:rsidRPr="00E04836">
              <w:rPr>
                <w:rFonts w:cs="Tahoma"/>
                <w:sz w:val="20"/>
                <w:szCs w:val="20"/>
              </w:rPr>
              <w:t>tys. zł</w:t>
            </w:r>
          </w:p>
        </w:tc>
        <w:tc>
          <w:tcPr>
            <w:tcW w:w="1655" w:type="dxa"/>
            <w:tcBorders>
              <w:top w:val="single" w:sz="4" w:space="0" w:color="auto"/>
              <w:left w:val="single" w:sz="4" w:space="0" w:color="auto"/>
              <w:bottom w:val="single" w:sz="4" w:space="0" w:color="auto"/>
              <w:right w:val="single" w:sz="4" w:space="0" w:color="auto"/>
            </w:tcBorders>
            <w:vAlign w:val="center"/>
          </w:tcPr>
          <w:p w14:paraId="4A411630" w14:textId="06E72321" w:rsidR="00E04836" w:rsidRPr="00E04836" w:rsidRDefault="000E528A" w:rsidP="000E528A">
            <w:pPr>
              <w:spacing w:before="60" w:after="40" w:line="288" w:lineRule="auto"/>
              <w:ind w:firstLine="0"/>
              <w:jc w:val="right"/>
              <w:rPr>
                <w:rFonts w:cs="Tahoma"/>
                <w:sz w:val="20"/>
                <w:szCs w:val="20"/>
              </w:rPr>
            </w:pPr>
            <w:r>
              <w:rPr>
                <w:rFonts w:cs="Tahoma"/>
                <w:sz w:val="20"/>
                <w:szCs w:val="20"/>
              </w:rPr>
              <w:t>223 279,6</w:t>
            </w:r>
          </w:p>
        </w:tc>
        <w:tc>
          <w:tcPr>
            <w:tcW w:w="1515" w:type="dxa"/>
            <w:tcBorders>
              <w:top w:val="single" w:sz="4" w:space="0" w:color="auto"/>
              <w:left w:val="single" w:sz="4" w:space="0" w:color="auto"/>
              <w:bottom w:val="single" w:sz="4" w:space="0" w:color="auto"/>
              <w:right w:val="single" w:sz="4" w:space="0" w:color="auto"/>
            </w:tcBorders>
            <w:vAlign w:val="center"/>
          </w:tcPr>
          <w:p w14:paraId="3DFD0D9F" w14:textId="215383A8" w:rsidR="00E04836" w:rsidRPr="00E04836" w:rsidRDefault="000E528A" w:rsidP="000E528A">
            <w:pPr>
              <w:spacing w:before="60" w:after="40" w:line="288" w:lineRule="auto"/>
              <w:ind w:firstLine="0"/>
              <w:jc w:val="right"/>
              <w:rPr>
                <w:rFonts w:cs="Tahoma"/>
                <w:sz w:val="20"/>
                <w:szCs w:val="20"/>
              </w:rPr>
            </w:pPr>
            <w:r>
              <w:rPr>
                <w:rFonts w:cs="Tahoma"/>
                <w:sz w:val="20"/>
                <w:szCs w:val="20"/>
              </w:rPr>
              <w:t>304 488,0</w:t>
            </w:r>
          </w:p>
        </w:tc>
        <w:tc>
          <w:tcPr>
            <w:tcW w:w="1515" w:type="dxa"/>
            <w:tcBorders>
              <w:top w:val="single" w:sz="4" w:space="0" w:color="auto"/>
              <w:left w:val="single" w:sz="4" w:space="0" w:color="auto"/>
              <w:bottom w:val="single" w:sz="4" w:space="0" w:color="auto"/>
              <w:right w:val="single" w:sz="4" w:space="0" w:color="auto"/>
            </w:tcBorders>
            <w:vAlign w:val="center"/>
          </w:tcPr>
          <w:p w14:paraId="300072F7" w14:textId="1F37E4AB" w:rsidR="00E04836" w:rsidRPr="00E04836" w:rsidRDefault="000E528A" w:rsidP="000E528A">
            <w:pPr>
              <w:spacing w:before="60" w:after="40" w:line="288" w:lineRule="auto"/>
              <w:ind w:firstLine="0"/>
              <w:jc w:val="right"/>
              <w:rPr>
                <w:rFonts w:cs="Tahoma"/>
                <w:sz w:val="20"/>
                <w:szCs w:val="20"/>
              </w:rPr>
            </w:pPr>
            <w:r>
              <w:rPr>
                <w:rFonts w:cs="Tahoma"/>
                <w:sz w:val="20"/>
                <w:szCs w:val="20"/>
              </w:rPr>
              <w:t>318 620,2</w:t>
            </w:r>
          </w:p>
        </w:tc>
      </w:tr>
      <w:tr w:rsidR="00E04836" w:rsidRPr="00E04836" w14:paraId="334F4C72" w14:textId="77777777" w:rsidTr="00B5326D">
        <w:trPr>
          <w:cantSplit/>
          <w:jc w:val="center"/>
        </w:trPr>
        <w:tc>
          <w:tcPr>
            <w:tcW w:w="3394" w:type="dxa"/>
            <w:tcBorders>
              <w:top w:val="single" w:sz="4" w:space="0" w:color="auto"/>
              <w:left w:val="single" w:sz="4" w:space="0" w:color="auto"/>
              <w:bottom w:val="single" w:sz="4" w:space="0" w:color="auto"/>
              <w:right w:val="single" w:sz="4" w:space="0" w:color="auto"/>
            </w:tcBorders>
            <w:vAlign w:val="center"/>
          </w:tcPr>
          <w:p w14:paraId="742D0DBF" w14:textId="77777777" w:rsidR="00E04836" w:rsidRPr="00E04836" w:rsidRDefault="00E04836" w:rsidP="000E528A">
            <w:pPr>
              <w:spacing w:before="60" w:after="40" w:line="288" w:lineRule="auto"/>
              <w:ind w:firstLine="0"/>
              <w:jc w:val="left"/>
              <w:rPr>
                <w:rFonts w:cs="Tahoma"/>
                <w:sz w:val="20"/>
                <w:szCs w:val="20"/>
              </w:rPr>
            </w:pPr>
            <w:r w:rsidRPr="00E04836">
              <w:rPr>
                <w:rFonts w:cs="Tahoma"/>
                <w:sz w:val="20"/>
                <w:szCs w:val="20"/>
              </w:rPr>
              <w:t>Wysokość maksymalnej dotacji</w:t>
            </w:r>
            <w:r w:rsidRPr="00E04836">
              <w:rPr>
                <w:rFonts w:cs="Tahoma"/>
                <w:sz w:val="20"/>
                <w:szCs w:val="20"/>
              </w:rPr>
              <w:br/>
              <w:t>przy stopie współfinansowania 85%</w:t>
            </w:r>
          </w:p>
        </w:tc>
        <w:tc>
          <w:tcPr>
            <w:tcW w:w="993" w:type="dxa"/>
            <w:tcBorders>
              <w:top w:val="single" w:sz="4" w:space="0" w:color="auto"/>
              <w:left w:val="single" w:sz="4" w:space="0" w:color="auto"/>
              <w:bottom w:val="single" w:sz="4" w:space="0" w:color="auto"/>
              <w:right w:val="single" w:sz="4" w:space="0" w:color="auto"/>
            </w:tcBorders>
            <w:vAlign w:val="center"/>
          </w:tcPr>
          <w:p w14:paraId="7F753E10" w14:textId="77777777" w:rsidR="00E04836" w:rsidRPr="00E04836" w:rsidRDefault="00E04836" w:rsidP="000E528A">
            <w:pPr>
              <w:spacing w:before="60" w:after="40" w:line="288" w:lineRule="auto"/>
              <w:ind w:firstLine="0"/>
              <w:jc w:val="center"/>
              <w:rPr>
                <w:rFonts w:cs="Tahoma"/>
                <w:sz w:val="20"/>
                <w:szCs w:val="20"/>
              </w:rPr>
            </w:pPr>
            <w:r w:rsidRPr="00E04836">
              <w:rPr>
                <w:rFonts w:cs="Tahoma"/>
                <w:sz w:val="20"/>
                <w:szCs w:val="20"/>
              </w:rPr>
              <w:t>tys. zł</w:t>
            </w:r>
          </w:p>
        </w:tc>
        <w:tc>
          <w:tcPr>
            <w:tcW w:w="1655" w:type="dxa"/>
            <w:tcBorders>
              <w:top w:val="single" w:sz="4" w:space="0" w:color="auto"/>
              <w:left w:val="single" w:sz="4" w:space="0" w:color="auto"/>
              <w:bottom w:val="single" w:sz="4" w:space="0" w:color="auto"/>
              <w:right w:val="single" w:sz="4" w:space="0" w:color="auto"/>
            </w:tcBorders>
            <w:vAlign w:val="center"/>
          </w:tcPr>
          <w:p w14:paraId="4FDAD862" w14:textId="78E4C5AD" w:rsidR="00E04836" w:rsidRPr="00E04836" w:rsidRDefault="000E528A" w:rsidP="000E528A">
            <w:pPr>
              <w:spacing w:before="60" w:after="40" w:line="288" w:lineRule="auto"/>
              <w:ind w:firstLine="0"/>
              <w:jc w:val="right"/>
              <w:rPr>
                <w:rFonts w:cs="Tahoma"/>
                <w:sz w:val="20"/>
                <w:szCs w:val="20"/>
              </w:rPr>
            </w:pPr>
            <w:r>
              <w:rPr>
                <w:rFonts w:cs="Tahoma"/>
                <w:sz w:val="20"/>
                <w:szCs w:val="20"/>
              </w:rPr>
              <w:t>189 787,6</w:t>
            </w:r>
          </w:p>
        </w:tc>
        <w:tc>
          <w:tcPr>
            <w:tcW w:w="1515" w:type="dxa"/>
            <w:tcBorders>
              <w:top w:val="single" w:sz="4" w:space="0" w:color="auto"/>
              <w:left w:val="single" w:sz="4" w:space="0" w:color="auto"/>
              <w:bottom w:val="single" w:sz="4" w:space="0" w:color="auto"/>
              <w:right w:val="single" w:sz="4" w:space="0" w:color="auto"/>
            </w:tcBorders>
            <w:vAlign w:val="center"/>
          </w:tcPr>
          <w:p w14:paraId="19AC0916" w14:textId="5E108450" w:rsidR="00E04836" w:rsidRPr="00E04836" w:rsidRDefault="000E528A" w:rsidP="000E528A">
            <w:pPr>
              <w:spacing w:before="60" w:after="40" w:line="288" w:lineRule="auto"/>
              <w:ind w:firstLine="0"/>
              <w:jc w:val="right"/>
              <w:rPr>
                <w:rFonts w:cs="Tahoma"/>
                <w:sz w:val="20"/>
                <w:szCs w:val="20"/>
              </w:rPr>
            </w:pPr>
            <w:r>
              <w:rPr>
                <w:rFonts w:cs="Tahoma"/>
                <w:sz w:val="20"/>
                <w:szCs w:val="20"/>
              </w:rPr>
              <w:t>258 814,8</w:t>
            </w:r>
          </w:p>
        </w:tc>
        <w:tc>
          <w:tcPr>
            <w:tcW w:w="1515" w:type="dxa"/>
            <w:tcBorders>
              <w:top w:val="single" w:sz="4" w:space="0" w:color="auto"/>
              <w:left w:val="single" w:sz="4" w:space="0" w:color="auto"/>
              <w:bottom w:val="single" w:sz="4" w:space="0" w:color="auto"/>
              <w:right w:val="single" w:sz="4" w:space="0" w:color="auto"/>
            </w:tcBorders>
            <w:vAlign w:val="center"/>
          </w:tcPr>
          <w:p w14:paraId="77E55087" w14:textId="4FC4E94F" w:rsidR="00E04836" w:rsidRPr="00E04836" w:rsidRDefault="000E528A" w:rsidP="000E528A">
            <w:pPr>
              <w:spacing w:before="60" w:after="40" w:line="288" w:lineRule="auto"/>
              <w:ind w:firstLine="0"/>
              <w:jc w:val="right"/>
              <w:rPr>
                <w:rFonts w:cs="Tahoma"/>
                <w:sz w:val="20"/>
                <w:szCs w:val="20"/>
              </w:rPr>
            </w:pPr>
            <w:r>
              <w:rPr>
                <w:rFonts w:cs="Tahoma"/>
                <w:sz w:val="20"/>
                <w:szCs w:val="20"/>
              </w:rPr>
              <w:t>270 827,1</w:t>
            </w:r>
          </w:p>
        </w:tc>
      </w:tr>
      <w:tr w:rsidR="00E04836" w:rsidRPr="00E04836" w14:paraId="4F6840AA" w14:textId="77777777" w:rsidTr="00B5326D">
        <w:trPr>
          <w:cantSplit/>
          <w:jc w:val="center"/>
        </w:trPr>
        <w:tc>
          <w:tcPr>
            <w:tcW w:w="3394" w:type="dxa"/>
            <w:tcBorders>
              <w:top w:val="single" w:sz="4" w:space="0" w:color="auto"/>
              <w:left w:val="single" w:sz="4" w:space="0" w:color="auto"/>
              <w:bottom w:val="single" w:sz="4" w:space="0" w:color="auto"/>
              <w:right w:val="single" w:sz="4" w:space="0" w:color="auto"/>
            </w:tcBorders>
            <w:vAlign w:val="center"/>
          </w:tcPr>
          <w:p w14:paraId="04347F91" w14:textId="77777777" w:rsidR="00E04836" w:rsidRPr="00E04836" w:rsidRDefault="00E04836" w:rsidP="000E528A">
            <w:pPr>
              <w:spacing w:before="60" w:after="40" w:line="288" w:lineRule="auto"/>
              <w:ind w:firstLine="0"/>
              <w:jc w:val="left"/>
              <w:rPr>
                <w:rFonts w:cs="Tahoma"/>
                <w:sz w:val="20"/>
                <w:szCs w:val="20"/>
              </w:rPr>
            </w:pPr>
            <w:r w:rsidRPr="00E04836">
              <w:rPr>
                <w:rFonts w:cs="Tahoma"/>
                <w:sz w:val="20"/>
                <w:szCs w:val="20"/>
              </w:rPr>
              <w:t>Udział własny (dla 85%)</w:t>
            </w:r>
          </w:p>
        </w:tc>
        <w:tc>
          <w:tcPr>
            <w:tcW w:w="993" w:type="dxa"/>
            <w:tcBorders>
              <w:top w:val="single" w:sz="4" w:space="0" w:color="auto"/>
              <w:left w:val="single" w:sz="4" w:space="0" w:color="auto"/>
              <w:bottom w:val="single" w:sz="4" w:space="0" w:color="auto"/>
              <w:right w:val="single" w:sz="4" w:space="0" w:color="auto"/>
            </w:tcBorders>
            <w:vAlign w:val="center"/>
          </w:tcPr>
          <w:p w14:paraId="6D0EA275" w14:textId="77777777" w:rsidR="00E04836" w:rsidRPr="00E04836" w:rsidRDefault="00E04836" w:rsidP="000E528A">
            <w:pPr>
              <w:spacing w:before="60" w:after="40" w:line="288" w:lineRule="auto"/>
              <w:ind w:firstLine="0"/>
              <w:jc w:val="center"/>
              <w:rPr>
                <w:rFonts w:cs="Tahoma"/>
                <w:sz w:val="20"/>
                <w:szCs w:val="20"/>
              </w:rPr>
            </w:pPr>
            <w:r w:rsidRPr="00E04836">
              <w:rPr>
                <w:rFonts w:cs="Tahoma"/>
                <w:sz w:val="20"/>
                <w:szCs w:val="20"/>
              </w:rPr>
              <w:t>tys. zł</w:t>
            </w:r>
          </w:p>
        </w:tc>
        <w:tc>
          <w:tcPr>
            <w:tcW w:w="1655" w:type="dxa"/>
            <w:tcBorders>
              <w:top w:val="single" w:sz="4" w:space="0" w:color="auto"/>
              <w:left w:val="single" w:sz="4" w:space="0" w:color="auto"/>
              <w:bottom w:val="single" w:sz="4" w:space="0" w:color="auto"/>
              <w:right w:val="single" w:sz="4" w:space="0" w:color="auto"/>
            </w:tcBorders>
            <w:vAlign w:val="center"/>
          </w:tcPr>
          <w:p w14:paraId="657B58F7" w14:textId="46C4EFE9" w:rsidR="00E04836" w:rsidRPr="00E04836" w:rsidRDefault="000E528A" w:rsidP="000E528A">
            <w:pPr>
              <w:spacing w:before="60" w:after="40" w:line="288" w:lineRule="auto"/>
              <w:ind w:firstLine="0"/>
              <w:jc w:val="right"/>
              <w:rPr>
                <w:rFonts w:cs="Tahoma"/>
                <w:sz w:val="20"/>
                <w:szCs w:val="20"/>
              </w:rPr>
            </w:pPr>
            <w:r>
              <w:rPr>
                <w:rFonts w:cs="Tahoma"/>
                <w:sz w:val="20"/>
                <w:szCs w:val="20"/>
              </w:rPr>
              <w:t>43 025,4</w:t>
            </w:r>
          </w:p>
        </w:tc>
        <w:tc>
          <w:tcPr>
            <w:tcW w:w="1515" w:type="dxa"/>
            <w:tcBorders>
              <w:top w:val="single" w:sz="4" w:space="0" w:color="auto"/>
              <w:left w:val="single" w:sz="4" w:space="0" w:color="auto"/>
              <w:bottom w:val="single" w:sz="4" w:space="0" w:color="auto"/>
              <w:right w:val="single" w:sz="4" w:space="0" w:color="auto"/>
            </w:tcBorders>
            <w:vAlign w:val="center"/>
          </w:tcPr>
          <w:p w14:paraId="4810DC50" w14:textId="4D06B2ED" w:rsidR="00E04836" w:rsidRPr="00E04836" w:rsidRDefault="000E528A" w:rsidP="000E528A">
            <w:pPr>
              <w:spacing w:before="60" w:after="40" w:line="288" w:lineRule="auto"/>
              <w:ind w:firstLine="0"/>
              <w:jc w:val="right"/>
              <w:rPr>
                <w:rFonts w:cs="Tahoma"/>
                <w:sz w:val="20"/>
                <w:szCs w:val="20"/>
              </w:rPr>
            </w:pPr>
            <w:r>
              <w:rPr>
                <w:rFonts w:cs="Tahoma"/>
                <w:sz w:val="20"/>
                <w:szCs w:val="20"/>
              </w:rPr>
              <w:t>70 123,2</w:t>
            </w:r>
          </w:p>
        </w:tc>
        <w:tc>
          <w:tcPr>
            <w:tcW w:w="1515" w:type="dxa"/>
            <w:tcBorders>
              <w:top w:val="single" w:sz="4" w:space="0" w:color="auto"/>
              <w:left w:val="single" w:sz="4" w:space="0" w:color="auto"/>
              <w:bottom w:val="single" w:sz="4" w:space="0" w:color="auto"/>
              <w:right w:val="single" w:sz="4" w:space="0" w:color="auto"/>
            </w:tcBorders>
            <w:vAlign w:val="center"/>
          </w:tcPr>
          <w:p w14:paraId="49E0C812" w14:textId="09980913" w:rsidR="00E04836" w:rsidRPr="00E04836" w:rsidRDefault="000E528A" w:rsidP="000E528A">
            <w:pPr>
              <w:spacing w:before="60" w:after="40" w:line="288" w:lineRule="auto"/>
              <w:ind w:firstLine="0"/>
              <w:jc w:val="right"/>
              <w:rPr>
                <w:rFonts w:cs="Tahoma"/>
                <w:sz w:val="20"/>
                <w:szCs w:val="20"/>
              </w:rPr>
            </w:pPr>
            <w:r>
              <w:rPr>
                <w:rFonts w:cs="Tahoma"/>
                <w:sz w:val="20"/>
                <w:szCs w:val="20"/>
              </w:rPr>
              <w:t>69 620,9</w:t>
            </w:r>
          </w:p>
        </w:tc>
      </w:tr>
    </w:tbl>
    <w:p w14:paraId="6D85A9B3" w14:textId="77777777" w:rsidR="00E04836" w:rsidRPr="00E04836" w:rsidRDefault="00E04836" w:rsidP="000E528A">
      <w:pPr>
        <w:spacing w:before="120" w:after="240"/>
        <w:ind w:firstLine="0"/>
        <w:jc w:val="left"/>
        <w:rPr>
          <w:rFonts w:cs="Tahoma"/>
          <w:sz w:val="20"/>
          <w:szCs w:val="20"/>
        </w:rPr>
      </w:pPr>
      <w:r w:rsidRPr="00E04836">
        <w:rPr>
          <w:rFonts w:cs="Tahoma"/>
          <w:sz w:val="20"/>
          <w:szCs w:val="20"/>
        </w:rPr>
        <w:t>Źródło: opracowanie własne.</w:t>
      </w:r>
    </w:p>
    <w:p w14:paraId="3BCC201A" w14:textId="24786EA1" w:rsidR="00E04836" w:rsidRPr="00821AF6" w:rsidRDefault="00E04836" w:rsidP="000E528A">
      <w:pPr>
        <w:rPr>
          <w:rFonts w:cs="Tahoma"/>
          <w:color w:val="000000"/>
        </w:rPr>
      </w:pPr>
      <w:r w:rsidRPr="00E04836">
        <w:rPr>
          <w:rFonts w:cs="Tahoma"/>
          <w:color w:val="000000"/>
        </w:rPr>
        <w:t>Wyniki obliczeń wskazują, że udział własny w wyższej wysokości występ</w:t>
      </w:r>
      <w:r w:rsidR="000E528A">
        <w:rPr>
          <w:rFonts w:cs="Tahoma"/>
          <w:color w:val="000000"/>
        </w:rPr>
        <w:t xml:space="preserve">uje dla wariantu elektrycznego </w:t>
      </w:r>
      <w:r w:rsidRPr="00E04836">
        <w:rPr>
          <w:rFonts w:cs="Tahoma"/>
          <w:color w:val="000000"/>
        </w:rPr>
        <w:t xml:space="preserve">, natomiast w niższej dla wariantu </w:t>
      </w:r>
      <w:r w:rsidR="000E528A">
        <w:rPr>
          <w:rFonts w:cs="Tahoma"/>
          <w:color w:val="000000"/>
        </w:rPr>
        <w:t>wodorowego</w:t>
      </w:r>
      <w:r w:rsidRPr="00E04836">
        <w:rPr>
          <w:rFonts w:cs="Tahoma"/>
          <w:color w:val="000000"/>
        </w:rPr>
        <w:t xml:space="preserve">, różnice są jednak </w:t>
      </w:r>
      <w:r w:rsidR="000E528A">
        <w:rPr>
          <w:rFonts w:cs="Tahoma"/>
          <w:color w:val="000000"/>
        </w:rPr>
        <w:t>niewielkie</w:t>
      </w:r>
      <w:r w:rsidRPr="00E04836">
        <w:rPr>
          <w:rFonts w:cs="Tahoma"/>
          <w:color w:val="000000"/>
        </w:rPr>
        <w:t>. W przypadku decyzji o rea</w:t>
      </w:r>
      <w:r w:rsidR="000E528A">
        <w:rPr>
          <w:rFonts w:cs="Tahoma"/>
          <w:color w:val="000000"/>
        </w:rPr>
        <w:t>lizacji wariantu elektrycznego</w:t>
      </w:r>
      <w:r w:rsidRPr="00E04836">
        <w:rPr>
          <w:rFonts w:cs="Tahoma"/>
          <w:color w:val="000000"/>
        </w:rPr>
        <w:t xml:space="preserve"> wysokość wkładu własnego byłaby wyższa o</w:t>
      </w:r>
      <w:r w:rsidR="000E528A">
        <w:rPr>
          <w:rFonts w:cs="Tahoma"/>
          <w:color w:val="000000"/>
        </w:rPr>
        <w:t> ok. 0,7% (0,5</w:t>
      </w:r>
      <w:r w:rsidRPr="00E04836">
        <w:rPr>
          <w:rFonts w:cs="Tahoma"/>
          <w:color w:val="000000"/>
        </w:rPr>
        <w:t xml:space="preserve"> mln zł) w porównaniu do wariantu </w:t>
      </w:r>
      <w:r w:rsidR="000E528A">
        <w:rPr>
          <w:rFonts w:cs="Tahoma"/>
          <w:color w:val="000000"/>
        </w:rPr>
        <w:t>wodorowego</w:t>
      </w:r>
      <w:r w:rsidRPr="00E04836">
        <w:rPr>
          <w:rFonts w:cs="Tahoma"/>
          <w:color w:val="000000"/>
        </w:rPr>
        <w:t>. Teoretyczna wysokość wkładu własnego dla wariantu konwencjonalnego jest znacznie niższa, lecz wariant taki, zakładający utrzymanie emisyjności środków transportu na zbliżonym poziomie, w obecnych uwarunkowaniach nie otrzymałby dofinansowania.</w:t>
      </w:r>
      <w:r>
        <w:rPr>
          <w:rFonts w:cs="Tahoma"/>
          <w:color w:val="000000"/>
        </w:rPr>
        <w:t xml:space="preserve"> </w:t>
      </w:r>
    </w:p>
    <w:p w14:paraId="20F86AD3" w14:textId="77777777" w:rsidR="00E04836" w:rsidRPr="00821AF6" w:rsidRDefault="00E04836" w:rsidP="000E528A">
      <w:pPr>
        <w:spacing w:line="240" w:lineRule="auto"/>
        <w:ind w:firstLine="0"/>
        <w:jc w:val="left"/>
        <w:rPr>
          <w:b/>
          <w:bCs/>
          <w:color w:val="000000"/>
          <w:kern w:val="32"/>
          <w:sz w:val="28"/>
          <w:szCs w:val="32"/>
        </w:rPr>
      </w:pPr>
      <w:r w:rsidRPr="00821AF6">
        <w:rPr>
          <w:color w:val="000000"/>
        </w:rPr>
        <w:br w:type="page"/>
      </w:r>
    </w:p>
    <w:p w14:paraId="2BC1275F" w14:textId="62EE0FDE" w:rsidR="000C512A" w:rsidRPr="00821AF6" w:rsidRDefault="000C512A" w:rsidP="00A84E53">
      <w:pPr>
        <w:pStyle w:val="Nagwek1"/>
        <w:ind w:left="431" w:hanging="431"/>
        <w:rPr>
          <w:color w:val="000000"/>
        </w:rPr>
      </w:pPr>
      <w:bookmarkStart w:id="105" w:name="_Toc524602380"/>
      <w:bookmarkStart w:id="106" w:name="_Toc89417683"/>
      <w:r w:rsidRPr="00821AF6">
        <w:rPr>
          <w:color w:val="000000"/>
        </w:rPr>
        <w:lastRenderedPageBreak/>
        <w:t>Podsumowanie</w:t>
      </w:r>
      <w:bookmarkEnd w:id="105"/>
      <w:bookmarkEnd w:id="106"/>
    </w:p>
    <w:p w14:paraId="2C102268" w14:textId="32802BEB" w:rsidR="000C512A" w:rsidRPr="00821AF6" w:rsidRDefault="000C512A" w:rsidP="007D16D8">
      <w:pPr>
        <w:rPr>
          <w:rFonts w:cs="Tahoma"/>
          <w:color w:val="000000"/>
        </w:rPr>
      </w:pPr>
      <w:r w:rsidRPr="00821AF6">
        <w:rPr>
          <w:rFonts w:cs="Tahoma"/>
          <w:color w:val="000000"/>
        </w:rPr>
        <w:t xml:space="preserve">Miasto </w:t>
      </w:r>
      <w:r w:rsidR="00C73F5E">
        <w:rPr>
          <w:rFonts w:cs="Tahoma"/>
          <w:color w:val="000000"/>
        </w:rPr>
        <w:t xml:space="preserve">Rzeszów </w:t>
      </w:r>
      <w:r w:rsidRPr="00821AF6">
        <w:rPr>
          <w:rFonts w:cs="Tahoma"/>
          <w:color w:val="000000"/>
        </w:rPr>
        <w:t xml:space="preserve">przekracza poziom 50 </w:t>
      </w:r>
      <w:r w:rsidR="00252FF7" w:rsidRPr="00821AF6">
        <w:rPr>
          <w:rFonts w:cs="Tahoma"/>
          <w:color w:val="000000"/>
        </w:rPr>
        <w:t>000</w:t>
      </w:r>
      <w:r w:rsidRPr="00821AF6">
        <w:rPr>
          <w:rFonts w:cs="Tahoma"/>
          <w:color w:val="000000"/>
        </w:rPr>
        <w:t xml:space="preserve"> mieszkańców, jest zatem jako jednostka samorządu terytorialnego zobligowane do opracowania analizy kosztów i korzyści, o której mowa w</w:t>
      </w:r>
      <w:r w:rsidR="00DE2CFC" w:rsidRPr="00821AF6">
        <w:rPr>
          <w:rFonts w:cs="Tahoma"/>
          <w:color w:val="000000"/>
        </w:rPr>
        <w:t> </w:t>
      </w:r>
      <w:r w:rsidRPr="00821AF6">
        <w:rPr>
          <w:rFonts w:cs="Tahoma"/>
          <w:color w:val="000000"/>
        </w:rPr>
        <w:t>art. 37 ustawy o elektromobilności i paliwach alternatywnych.</w:t>
      </w:r>
    </w:p>
    <w:p w14:paraId="23177A37" w14:textId="6EA6A8FD" w:rsidR="00694F2A" w:rsidRPr="00405DCE" w:rsidRDefault="00694F2A" w:rsidP="00CA0BF2">
      <w:pPr>
        <w:rPr>
          <w:rFonts w:cs="Tahoma"/>
          <w:bCs/>
          <w:szCs w:val="22"/>
        </w:rPr>
      </w:pPr>
      <w:r w:rsidRPr="00405DCE">
        <w:rPr>
          <w:rFonts w:cs="Tahoma"/>
          <w:bCs/>
          <w:szCs w:val="22"/>
        </w:rPr>
        <w:t xml:space="preserve">Wg stanu na dzień </w:t>
      </w:r>
      <w:r w:rsidR="00CA0BF2">
        <w:rPr>
          <w:rFonts w:cs="Tahoma"/>
          <w:bCs/>
          <w:szCs w:val="22"/>
        </w:rPr>
        <w:t>3</w:t>
      </w:r>
      <w:r>
        <w:rPr>
          <w:rFonts w:cs="Tahoma"/>
          <w:bCs/>
          <w:szCs w:val="22"/>
        </w:rPr>
        <w:t>0</w:t>
      </w:r>
      <w:r w:rsidRPr="00405DCE">
        <w:rPr>
          <w:rFonts w:cs="Tahoma"/>
          <w:bCs/>
          <w:szCs w:val="22"/>
        </w:rPr>
        <w:t xml:space="preserve"> </w:t>
      </w:r>
      <w:r w:rsidR="00CA0BF2">
        <w:rPr>
          <w:rFonts w:cs="Tahoma"/>
          <w:bCs/>
          <w:szCs w:val="22"/>
        </w:rPr>
        <w:t>listopada</w:t>
      </w:r>
      <w:r w:rsidRPr="00405DCE">
        <w:rPr>
          <w:rFonts w:cs="Tahoma"/>
          <w:bCs/>
          <w:szCs w:val="22"/>
        </w:rPr>
        <w:t xml:space="preserve"> 2021 r., w ramach </w:t>
      </w:r>
      <w:r w:rsidR="00C73F5E">
        <w:rPr>
          <w:rFonts w:cs="Tahoma"/>
          <w:bCs/>
          <w:szCs w:val="22"/>
        </w:rPr>
        <w:t>rzeszowskie</w:t>
      </w:r>
      <w:r>
        <w:rPr>
          <w:rFonts w:cs="Tahoma"/>
          <w:bCs/>
          <w:szCs w:val="22"/>
        </w:rPr>
        <w:t xml:space="preserve">j </w:t>
      </w:r>
      <w:r w:rsidRPr="00405DCE">
        <w:rPr>
          <w:rFonts w:cs="Tahoma"/>
          <w:bCs/>
          <w:szCs w:val="22"/>
        </w:rPr>
        <w:t>komunikacji miejskiej funkcjonował</w:t>
      </w:r>
      <w:r>
        <w:rPr>
          <w:rFonts w:cs="Tahoma"/>
          <w:bCs/>
          <w:szCs w:val="22"/>
        </w:rPr>
        <w:t>o</w:t>
      </w:r>
      <w:r w:rsidRPr="00405DCE">
        <w:rPr>
          <w:rFonts w:cs="Tahoma"/>
          <w:bCs/>
          <w:szCs w:val="22"/>
        </w:rPr>
        <w:t xml:space="preserve"> </w:t>
      </w:r>
      <w:r w:rsidR="00CA0BF2">
        <w:rPr>
          <w:rFonts w:cs="Tahoma"/>
          <w:bCs/>
          <w:szCs w:val="22"/>
        </w:rPr>
        <w:t>sześćdziesiąt jeden</w:t>
      </w:r>
      <w:r>
        <w:rPr>
          <w:rFonts w:cs="Tahoma"/>
          <w:bCs/>
          <w:szCs w:val="22"/>
        </w:rPr>
        <w:t xml:space="preserve"> </w:t>
      </w:r>
      <w:r w:rsidRPr="00405DCE">
        <w:rPr>
          <w:rFonts w:cs="Tahoma"/>
          <w:bCs/>
          <w:szCs w:val="22"/>
        </w:rPr>
        <w:t>całorocznych</w:t>
      </w:r>
      <w:r>
        <w:rPr>
          <w:rFonts w:cs="Tahoma"/>
          <w:bCs/>
          <w:szCs w:val="22"/>
        </w:rPr>
        <w:t>,</w:t>
      </w:r>
      <w:r w:rsidRPr="00405DCE">
        <w:rPr>
          <w:rFonts w:cs="Tahoma"/>
          <w:bCs/>
          <w:szCs w:val="22"/>
        </w:rPr>
        <w:t xml:space="preserve"> dziennych linii autobusowych</w:t>
      </w:r>
      <w:r>
        <w:rPr>
          <w:rFonts w:cs="Tahoma"/>
          <w:bCs/>
          <w:szCs w:val="22"/>
        </w:rPr>
        <w:t xml:space="preserve">, oznaczonych handlowo numerami </w:t>
      </w:r>
      <w:r w:rsidR="00CA0BF2">
        <w:rPr>
          <w:rFonts w:cs="Tahoma"/>
          <w:bCs/>
          <w:szCs w:val="22"/>
        </w:rPr>
        <w:t xml:space="preserve">0A, 0B, od 1 do 20, od 22 </w:t>
      </w:r>
      <w:r>
        <w:rPr>
          <w:rFonts w:cs="Tahoma"/>
          <w:bCs/>
          <w:szCs w:val="22"/>
        </w:rPr>
        <w:t xml:space="preserve">do </w:t>
      </w:r>
      <w:r w:rsidR="00CA0BF2">
        <w:rPr>
          <w:rFonts w:cs="Tahoma"/>
          <w:bCs/>
          <w:szCs w:val="22"/>
        </w:rPr>
        <w:t>49</w:t>
      </w:r>
      <w:r>
        <w:rPr>
          <w:rFonts w:cs="Tahoma"/>
          <w:bCs/>
          <w:szCs w:val="22"/>
        </w:rPr>
        <w:t xml:space="preserve"> oraz </w:t>
      </w:r>
      <w:r w:rsidR="00CA0BF2">
        <w:rPr>
          <w:rFonts w:cs="Tahoma"/>
          <w:bCs/>
          <w:szCs w:val="22"/>
        </w:rPr>
        <w:t xml:space="preserve">od 51 do 61. Poza tym funkcjonowały dwie linie noce N1, N2 i N3 oraz w </w:t>
      </w:r>
      <w:r w:rsidR="00CA0BF2" w:rsidRPr="00CA0BF2">
        <w:rPr>
          <w:rFonts w:cs="Tahoma"/>
          <w:bCs/>
          <w:szCs w:val="22"/>
        </w:rPr>
        <w:t>miarę potrzeb linie okresowe</w:t>
      </w:r>
      <w:r>
        <w:rPr>
          <w:rFonts w:cs="Tahoma"/>
          <w:bCs/>
          <w:szCs w:val="22"/>
        </w:rPr>
        <w:t>.</w:t>
      </w:r>
    </w:p>
    <w:p w14:paraId="75F3C4AE" w14:textId="0C4CDFC0" w:rsidR="00694F2A" w:rsidRDefault="00CA0BF2" w:rsidP="00CA0BF2">
      <w:pPr>
        <w:rPr>
          <w:rFonts w:cs="Tahoma"/>
          <w:szCs w:val="22"/>
        </w:rPr>
      </w:pPr>
      <w:r>
        <w:rPr>
          <w:rFonts w:cs="Tahoma"/>
          <w:szCs w:val="22"/>
        </w:rPr>
        <w:t>Większość</w:t>
      </w:r>
      <w:r w:rsidR="00694F2A">
        <w:rPr>
          <w:rFonts w:cs="Tahoma"/>
          <w:szCs w:val="22"/>
        </w:rPr>
        <w:t xml:space="preserve"> linii autobusowych miała trasy zawierające się w całości w granicach miasta </w:t>
      </w:r>
      <w:r w:rsidR="00F1258F">
        <w:rPr>
          <w:rFonts w:cs="Tahoma"/>
          <w:szCs w:val="22"/>
        </w:rPr>
        <w:t>Rzeszów</w:t>
      </w:r>
      <w:r>
        <w:rPr>
          <w:rFonts w:cs="Tahoma"/>
          <w:szCs w:val="22"/>
        </w:rPr>
        <w:t>, w tym trzydzieści jeden linii całotygodniowych</w:t>
      </w:r>
      <w:r w:rsidR="00F1258F">
        <w:rPr>
          <w:rFonts w:cs="Tahoma"/>
          <w:szCs w:val="22"/>
        </w:rPr>
        <w:t>.</w:t>
      </w:r>
      <w:r w:rsidR="00694F2A">
        <w:rPr>
          <w:rFonts w:cs="Tahoma"/>
          <w:szCs w:val="22"/>
        </w:rPr>
        <w:t xml:space="preserve"> </w:t>
      </w:r>
      <w:r>
        <w:rPr>
          <w:rFonts w:cs="Tahoma"/>
          <w:szCs w:val="22"/>
        </w:rPr>
        <w:t>Pozostałe</w:t>
      </w:r>
      <w:r w:rsidR="00694F2A">
        <w:rPr>
          <w:rFonts w:cs="Tahoma"/>
          <w:szCs w:val="22"/>
        </w:rPr>
        <w:t xml:space="preserve"> linie obsługiwały </w:t>
      </w:r>
      <w:r>
        <w:rPr>
          <w:rFonts w:cs="Tahoma"/>
          <w:szCs w:val="22"/>
        </w:rPr>
        <w:t xml:space="preserve">albo </w:t>
      </w:r>
      <w:r w:rsidR="00694F2A">
        <w:rPr>
          <w:rFonts w:cs="Tahoma"/>
          <w:szCs w:val="22"/>
        </w:rPr>
        <w:t>przede wszystkim obszar miasta i tylko dodatkowo – wybranymi kursami –</w:t>
      </w:r>
      <w:r>
        <w:rPr>
          <w:rFonts w:cs="Tahoma"/>
          <w:szCs w:val="22"/>
        </w:rPr>
        <w:t xml:space="preserve"> pobliskie miejscowości w gminach ościennych, albo </w:t>
      </w:r>
      <w:r w:rsidR="00694F2A">
        <w:rPr>
          <w:rFonts w:cs="Tahoma"/>
          <w:szCs w:val="22"/>
        </w:rPr>
        <w:t>miały charakter podmiejskich.</w:t>
      </w:r>
    </w:p>
    <w:p w14:paraId="56D3C05C" w14:textId="1AE5AF09" w:rsidR="00694F2A" w:rsidRDefault="00694F2A" w:rsidP="00CA0BF2">
      <w:pPr>
        <w:rPr>
          <w:rFonts w:cs="Tahoma"/>
          <w:szCs w:val="22"/>
        </w:rPr>
      </w:pPr>
      <w:r>
        <w:rPr>
          <w:rFonts w:cs="Tahoma"/>
          <w:szCs w:val="22"/>
        </w:rPr>
        <w:t xml:space="preserve"> </w:t>
      </w:r>
      <w:r w:rsidRPr="002F61BD">
        <w:rPr>
          <w:rFonts w:cs="Tahoma"/>
          <w:szCs w:val="22"/>
        </w:rPr>
        <w:t xml:space="preserve">Oferta przewozowa </w:t>
      </w:r>
      <w:r w:rsidR="00C73F5E">
        <w:rPr>
          <w:rFonts w:cs="Tahoma"/>
          <w:szCs w:val="22"/>
        </w:rPr>
        <w:t>rzeszowskie</w:t>
      </w:r>
      <w:r>
        <w:rPr>
          <w:rFonts w:cs="Tahoma"/>
          <w:szCs w:val="22"/>
        </w:rPr>
        <w:t>j</w:t>
      </w:r>
      <w:r w:rsidRPr="002F61BD">
        <w:rPr>
          <w:rFonts w:cs="Tahoma"/>
          <w:szCs w:val="22"/>
        </w:rPr>
        <w:t xml:space="preserve"> komunikacji miejskiej charakteryzuje się występowaniem relatywnie wysokiej liczby linii, mających zróżnicowane częstotliwości kursowania, najczęściej o zmiennym takcie. </w:t>
      </w:r>
    </w:p>
    <w:p w14:paraId="0B6479B3" w14:textId="21AB982C" w:rsidR="000C512A" w:rsidRPr="00821AF6" w:rsidRDefault="000F033C" w:rsidP="00CA0BF2">
      <w:pPr>
        <w:rPr>
          <w:rFonts w:cs="Tahoma"/>
          <w:color w:val="000000"/>
        </w:rPr>
      </w:pPr>
      <w:r w:rsidRPr="00C80773">
        <w:rPr>
          <w:rFonts w:cs="Tahoma"/>
          <w:szCs w:val="22"/>
        </w:rPr>
        <w:t xml:space="preserve">Organizatorem autobusowej </w:t>
      </w:r>
      <w:r w:rsidR="00C73F5E">
        <w:rPr>
          <w:rFonts w:cs="Tahoma"/>
          <w:szCs w:val="22"/>
        </w:rPr>
        <w:t>rzeszowskie</w:t>
      </w:r>
      <w:r w:rsidR="006E6047" w:rsidRPr="00C80773">
        <w:rPr>
          <w:rFonts w:cs="Tahoma"/>
          <w:szCs w:val="22"/>
        </w:rPr>
        <w:t xml:space="preserve">j </w:t>
      </w:r>
      <w:r w:rsidRPr="00C80773">
        <w:rPr>
          <w:rFonts w:cs="Tahoma"/>
          <w:szCs w:val="22"/>
        </w:rPr>
        <w:t xml:space="preserve">komunikacji miejskiej jest Prezydent Miasta </w:t>
      </w:r>
      <w:r w:rsidR="00CA0BF2">
        <w:rPr>
          <w:rFonts w:cs="Tahoma"/>
          <w:szCs w:val="22"/>
        </w:rPr>
        <w:t>Rzeszowa</w:t>
      </w:r>
      <w:r w:rsidRPr="00C80773">
        <w:rPr>
          <w:rFonts w:cs="Tahoma"/>
          <w:szCs w:val="22"/>
        </w:rPr>
        <w:t xml:space="preserve">, którego zadania wykonuje </w:t>
      </w:r>
      <w:r w:rsidR="00CA0BF2" w:rsidRPr="00CA0BF2">
        <w:rPr>
          <w:rFonts w:cs="Tahoma"/>
          <w:szCs w:val="22"/>
        </w:rPr>
        <w:t>jednostka budżetowa Miasta – Zarząd Transportu Miejskiego w Rzeszowie</w:t>
      </w:r>
      <w:r w:rsidR="0095714E" w:rsidRPr="00C80773">
        <w:rPr>
          <w:rFonts w:cs="Tahoma"/>
          <w:szCs w:val="22"/>
        </w:rPr>
        <w:t xml:space="preserve">. Jedynym operatorem </w:t>
      </w:r>
      <w:r w:rsidR="0095714E" w:rsidRPr="00C80773">
        <w:rPr>
          <w:rFonts w:cs="Tahoma"/>
          <w:color w:val="000000"/>
        </w:rPr>
        <w:t xml:space="preserve">w segmencie połączeń organizowanych przez miasto </w:t>
      </w:r>
      <w:r w:rsidR="00C73F5E">
        <w:rPr>
          <w:rFonts w:cs="Tahoma"/>
          <w:color w:val="000000"/>
        </w:rPr>
        <w:t xml:space="preserve">Rzeszów </w:t>
      </w:r>
      <w:r w:rsidR="0095714E" w:rsidRPr="00C80773">
        <w:rPr>
          <w:rFonts w:cs="Tahoma"/>
          <w:color w:val="000000"/>
        </w:rPr>
        <w:t xml:space="preserve">– </w:t>
      </w:r>
      <w:r w:rsidR="000C512A" w:rsidRPr="00C80773">
        <w:rPr>
          <w:rFonts w:cs="Tahoma"/>
          <w:color w:val="000000"/>
        </w:rPr>
        <w:t xml:space="preserve">a jednocześnie podmiotem wewnętrznym, </w:t>
      </w:r>
      <w:r w:rsidR="00732E40" w:rsidRPr="00C80773">
        <w:rPr>
          <w:rFonts w:cs="Tahoma"/>
          <w:color w:val="000000"/>
        </w:rPr>
        <w:t>jest</w:t>
      </w:r>
      <w:r w:rsidR="000C512A" w:rsidRPr="00C80773">
        <w:rPr>
          <w:rFonts w:cs="Tahoma"/>
          <w:color w:val="000000"/>
        </w:rPr>
        <w:t xml:space="preserve"> </w:t>
      </w:r>
      <w:r w:rsidR="00CA0BF2" w:rsidRPr="00CA0BF2">
        <w:rPr>
          <w:rFonts w:cs="Tahoma"/>
          <w:color w:val="000000"/>
        </w:rPr>
        <w:t xml:space="preserve">Miejskie </w:t>
      </w:r>
      <w:r w:rsidR="006D2BD2">
        <w:rPr>
          <w:rFonts w:cs="Tahoma"/>
          <w:color w:val="000000"/>
        </w:rPr>
        <w:t xml:space="preserve">Przedsiębiorstwo Komunikacyjne </w:t>
      </w:r>
      <w:r w:rsidR="007F019A">
        <w:rPr>
          <w:rFonts w:cs="Tahoma"/>
          <w:color w:val="000000"/>
        </w:rPr>
        <w:t>–</w:t>
      </w:r>
      <w:r w:rsidR="00CA0BF2" w:rsidRPr="00CA0BF2">
        <w:rPr>
          <w:rFonts w:cs="Tahoma"/>
          <w:color w:val="000000"/>
        </w:rPr>
        <w:t xml:space="preserve"> Rzeszów sp. z o.o.</w:t>
      </w:r>
      <w:r w:rsidR="000C512A" w:rsidRPr="00C80773">
        <w:rPr>
          <w:rFonts w:cs="Tahoma"/>
          <w:color w:val="000000"/>
        </w:rPr>
        <w:t>, wykonując</w:t>
      </w:r>
      <w:r w:rsidR="006E6047" w:rsidRPr="00C80773">
        <w:rPr>
          <w:rFonts w:cs="Tahoma"/>
          <w:color w:val="000000"/>
        </w:rPr>
        <w:t>e</w:t>
      </w:r>
      <w:r w:rsidRPr="00C80773">
        <w:rPr>
          <w:rFonts w:cs="Tahoma"/>
          <w:color w:val="000000"/>
        </w:rPr>
        <w:t xml:space="preserve"> w </w:t>
      </w:r>
      <w:r w:rsidR="000C512A" w:rsidRPr="00C80773">
        <w:rPr>
          <w:rFonts w:cs="Tahoma"/>
          <w:color w:val="000000"/>
        </w:rPr>
        <w:t xml:space="preserve">ramach komunikacji miejskiej </w:t>
      </w:r>
      <w:r w:rsidR="00CA0BF2">
        <w:rPr>
          <w:rFonts w:cs="Tahoma"/>
          <w:color w:val="000000"/>
        </w:rPr>
        <w:t>w ostatnich trzech latach 10,8-11,3</w:t>
      </w:r>
      <w:r w:rsidR="00CA0BF2" w:rsidRPr="00C80773">
        <w:rPr>
          <w:rFonts w:cs="Tahoma"/>
          <w:color w:val="000000"/>
        </w:rPr>
        <w:t xml:space="preserve"> mln </w:t>
      </w:r>
      <w:r w:rsidR="000C512A" w:rsidRPr="00C80773">
        <w:rPr>
          <w:rFonts w:cs="Tahoma"/>
          <w:color w:val="000000"/>
        </w:rPr>
        <w:t>wozokilometrów</w:t>
      </w:r>
      <w:r w:rsidR="00252FF7" w:rsidRPr="00C80773">
        <w:rPr>
          <w:rFonts w:cs="Tahoma"/>
          <w:color w:val="000000"/>
        </w:rPr>
        <w:t xml:space="preserve"> </w:t>
      </w:r>
      <w:r w:rsidR="00DE2CFC" w:rsidRPr="00C80773">
        <w:rPr>
          <w:rFonts w:cs="Tahoma"/>
          <w:color w:val="000000"/>
        </w:rPr>
        <w:t>rocznie</w:t>
      </w:r>
      <w:r w:rsidR="00732E40" w:rsidRPr="00C80773">
        <w:rPr>
          <w:rFonts w:cs="Tahoma"/>
          <w:color w:val="000000"/>
        </w:rPr>
        <w:t xml:space="preserve">. </w:t>
      </w:r>
      <w:r w:rsidR="00C73F5E">
        <w:rPr>
          <w:rFonts w:cs="Tahoma"/>
          <w:color w:val="000000"/>
        </w:rPr>
        <w:t>MPK</w:t>
      </w:r>
      <w:r w:rsidR="00CA0BF2">
        <w:rPr>
          <w:rFonts w:cs="Tahoma"/>
          <w:color w:val="000000"/>
        </w:rPr>
        <w:t>-Rzeszów</w:t>
      </w:r>
      <w:r w:rsidR="00C73F5E">
        <w:rPr>
          <w:rFonts w:cs="Tahoma"/>
          <w:color w:val="000000"/>
        </w:rPr>
        <w:t xml:space="preserve"> </w:t>
      </w:r>
      <w:r w:rsidR="00732E40" w:rsidRPr="00C80773">
        <w:rPr>
          <w:rFonts w:cs="Tahoma"/>
          <w:color w:val="000000"/>
        </w:rPr>
        <w:t>sp. z o.o.</w:t>
      </w:r>
      <w:r w:rsidR="0095714E" w:rsidRPr="00C80773">
        <w:rPr>
          <w:rFonts w:cs="Tahoma"/>
          <w:color w:val="000000"/>
        </w:rPr>
        <w:t> </w:t>
      </w:r>
      <w:r w:rsidR="00C80773" w:rsidRPr="00C80773">
        <w:rPr>
          <w:rFonts w:cs="Tahoma"/>
          <w:color w:val="000000"/>
        </w:rPr>
        <w:t>eksploatuje</w:t>
      </w:r>
      <w:r w:rsidR="00DE2CFC" w:rsidRPr="00C80773">
        <w:rPr>
          <w:rFonts w:cs="Tahoma"/>
          <w:color w:val="000000"/>
        </w:rPr>
        <w:t xml:space="preserve"> flotę </w:t>
      </w:r>
      <w:r w:rsidR="00732E40" w:rsidRPr="00C80773">
        <w:rPr>
          <w:rFonts w:cs="Tahoma"/>
          <w:color w:val="000000"/>
        </w:rPr>
        <w:t>komunikacji miejskiej składającą się z</w:t>
      </w:r>
      <w:r w:rsidR="000C512A" w:rsidRPr="00C80773">
        <w:rPr>
          <w:rFonts w:cs="Tahoma"/>
          <w:color w:val="000000"/>
        </w:rPr>
        <w:t xml:space="preserve"> </w:t>
      </w:r>
      <w:r w:rsidR="00CA0BF2">
        <w:rPr>
          <w:rFonts w:cs="Tahoma"/>
          <w:color w:val="000000"/>
        </w:rPr>
        <w:t>226</w:t>
      </w:r>
      <w:r w:rsidR="000C512A" w:rsidRPr="00C80773">
        <w:rPr>
          <w:rFonts w:cs="Tahoma"/>
          <w:color w:val="000000"/>
        </w:rPr>
        <w:t xml:space="preserve"> </w:t>
      </w:r>
      <w:r w:rsidR="00732E40" w:rsidRPr="00C80773">
        <w:rPr>
          <w:rFonts w:cs="Tahoma"/>
          <w:color w:val="000000"/>
        </w:rPr>
        <w:t>autobusów</w:t>
      </w:r>
      <w:r w:rsidR="00C80773" w:rsidRPr="00C80773">
        <w:rPr>
          <w:rFonts w:cs="Tahoma"/>
          <w:color w:val="000000"/>
        </w:rPr>
        <w:t>, z których większość stanowi własność Miasta</w:t>
      </w:r>
      <w:r w:rsidR="000C512A" w:rsidRPr="00C80773">
        <w:rPr>
          <w:rFonts w:cs="Tahoma"/>
          <w:color w:val="000000"/>
        </w:rPr>
        <w:t>.</w:t>
      </w:r>
    </w:p>
    <w:p w14:paraId="289D6E9F" w14:textId="77B7EDDC" w:rsidR="000C512A" w:rsidRPr="00821AF6" w:rsidRDefault="000C512A" w:rsidP="00794699">
      <w:pPr>
        <w:rPr>
          <w:rFonts w:cs="Tahoma"/>
          <w:color w:val="000000"/>
        </w:rPr>
      </w:pPr>
      <w:r w:rsidRPr="00821AF6">
        <w:rPr>
          <w:rFonts w:cs="Tahoma"/>
          <w:color w:val="000000"/>
        </w:rPr>
        <w:t>Autobu</w:t>
      </w:r>
      <w:r w:rsidR="004562A2" w:rsidRPr="00821AF6">
        <w:rPr>
          <w:rFonts w:cs="Tahoma"/>
          <w:color w:val="000000"/>
        </w:rPr>
        <w:t xml:space="preserve">sy eksploatowane przez </w:t>
      </w:r>
      <w:r w:rsidR="00C73F5E">
        <w:rPr>
          <w:rFonts w:cs="Tahoma"/>
          <w:color w:val="000000"/>
        </w:rPr>
        <w:t>MPK</w:t>
      </w:r>
      <w:r w:rsidR="00CA0BF2">
        <w:rPr>
          <w:rFonts w:cs="Tahoma"/>
          <w:color w:val="000000"/>
        </w:rPr>
        <w:t>-Rzeszów</w:t>
      </w:r>
      <w:r w:rsidR="00C73F5E">
        <w:rPr>
          <w:rFonts w:cs="Tahoma"/>
          <w:color w:val="000000"/>
        </w:rPr>
        <w:t xml:space="preserve"> </w:t>
      </w:r>
      <w:r w:rsidR="006B0259" w:rsidRPr="00821AF6">
        <w:rPr>
          <w:rFonts w:cs="Tahoma"/>
          <w:color w:val="000000"/>
        </w:rPr>
        <w:t>s</w:t>
      </w:r>
      <w:r w:rsidR="00C05FF7" w:rsidRPr="00821AF6">
        <w:rPr>
          <w:rFonts w:cs="Tahoma"/>
          <w:color w:val="000000"/>
        </w:rPr>
        <w:t>p. z o.o.</w:t>
      </w:r>
      <w:r w:rsidR="00252FF7" w:rsidRPr="00821AF6">
        <w:rPr>
          <w:rFonts w:cs="Tahoma"/>
          <w:color w:val="000000"/>
        </w:rPr>
        <w:t>,</w:t>
      </w:r>
      <w:r w:rsidRPr="00821AF6">
        <w:rPr>
          <w:rFonts w:cs="Tahoma"/>
          <w:color w:val="000000"/>
        </w:rPr>
        <w:t xml:space="preserve"> </w:t>
      </w:r>
      <w:r w:rsidR="004562A2" w:rsidRPr="00821AF6">
        <w:rPr>
          <w:rFonts w:cs="Tahoma"/>
          <w:color w:val="000000"/>
        </w:rPr>
        <w:t xml:space="preserve">według stanu na </w:t>
      </w:r>
      <w:r w:rsidR="00982CE4" w:rsidRPr="00821AF6">
        <w:rPr>
          <w:rFonts w:cs="Tahoma"/>
          <w:color w:val="000000"/>
        </w:rPr>
        <w:t xml:space="preserve">dzień </w:t>
      </w:r>
      <w:r w:rsidR="00CA0BF2">
        <w:rPr>
          <w:rFonts w:cs="Tahoma"/>
          <w:color w:val="000000"/>
        </w:rPr>
        <w:t>3</w:t>
      </w:r>
      <w:r w:rsidR="00732E40">
        <w:rPr>
          <w:rFonts w:cs="Tahoma"/>
          <w:color w:val="000000"/>
        </w:rPr>
        <w:t>0</w:t>
      </w:r>
      <w:r w:rsidR="004562A2" w:rsidRPr="00821AF6">
        <w:rPr>
          <w:rFonts w:cs="Tahoma"/>
          <w:color w:val="000000"/>
        </w:rPr>
        <w:t xml:space="preserve"> </w:t>
      </w:r>
      <w:r w:rsidR="00CA0BF2">
        <w:rPr>
          <w:rFonts w:cs="Tahoma"/>
          <w:color w:val="000000"/>
        </w:rPr>
        <w:t>października</w:t>
      </w:r>
      <w:r w:rsidR="00252FF7" w:rsidRPr="00821AF6">
        <w:rPr>
          <w:rFonts w:cs="Tahoma"/>
          <w:color w:val="000000"/>
        </w:rPr>
        <w:t xml:space="preserve"> </w:t>
      </w:r>
      <w:r w:rsidR="006B0259" w:rsidRPr="00821AF6">
        <w:rPr>
          <w:rFonts w:cs="Tahoma"/>
          <w:color w:val="000000"/>
        </w:rPr>
        <w:t>2021</w:t>
      </w:r>
      <w:r w:rsidRPr="00821AF6">
        <w:rPr>
          <w:rFonts w:cs="Tahoma"/>
          <w:color w:val="000000"/>
        </w:rPr>
        <w:t xml:space="preserve"> r.</w:t>
      </w:r>
      <w:r w:rsidR="00252FF7" w:rsidRPr="00821AF6">
        <w:rPr>
          <w:rFonts w:cs="Tahoma"/>
          <w:color w:val="000000"/>
        </w:rPr>
        <w:t>,</w:t>
      </w:r>
      <w:r w:rsidRPr="00821AF6">
        <w:rPr>
          <w:rFonts w:cs="Tahoma"/>
          <w:color w:val="000000"/>
        </w:rPr>
        <w:t xml:space="preserve"> posiadały </w:t>
      </w:r>
      <w:r w:rsidR="00D732A7" w:rsidRPr="00821AF6">
        <w:rPr>
          <w:rFonts w:cs="Tahoma"/>
          <w:color w:val="000000"/>
        </w:rPr>
        <w:t xml:space="preserve">silniki </w:t>
      </w:r>
      <w:r w:rsidR="00CA0BF2">
        <w:rPr>
          <w:rFonts w:cs="Tahoma"/>
          <w:color w:val="000000"/>
        </w:rPr>
        <w:t>spalinowe</w:t>
      </w:r>
      <w:r w:rsidR="006E7EED">
        <w:rPr>
          <w:rFonts w:cs="Tahoma"/>
          <w:color w:val="000000"/>
        </w:rPr>
        <w:t xml:space="preserve"> </w:t>
      </w:r>
      <w:r w:rsidR="00D732A7" w:rsidRPr="00821AF6">
        <w:rPr>
          <w:rFonts w:cs="Tahoma"/>
          <w:color w:val="000000"/>
        </w:rPr>
        <w:t>na olej napędowy</w:t>
      </w:r>
      <w:r w:rsidR="006E7EED">
        <w:rPr>
          <w:rFonts w:cs="Tahoma"/>
          <w:color w:val="000000"/>
        </w:rPr>
        <w:t xml:space="preserve"> </w:t>
      </w:r>
      <w:r w:rsidR="00794699">
        <w:rPr>
          <w:rFonts w:cs="Tahoma"/>
          <w:color w:val="000000"/>
        </w:rPr>
        <w:t>albo</w:t>
      </w:r>
      <w:r w:rsidR="006E7EED">
        <w:rPr>
          <w:rFonts w:cs="Tahoma"/>
          <w:color w:val="000000"/>
        </w:rPr>
        <w:t xml:space="preserve"> CNG</w:t>
      </w:r>
      <w:r w:rsidR="00794699">
        <w:rPr>
          <w:rFonts w:cs="Tahoma"/>
          <w:color w:val="000000"/>
        </w:rPr>
        <w:t>, a w przypadku dziesięciu pojazdów</w:t>
      </w:r>
      <w:r w:rsidR="00CA0BF2">
        <w:rPr>
          <w:rFonts w:cs="Tahoma"/>
          <w:color w:val="000000"/>
        </w:rPr>
        <w:t xml:space="preserve"> napęd elektryczny z systemem doładowywania na pętli poprzez odwrócony pantograf</w:t>
      </w:r>
      <w:r w:rsidR="0090054E">
        <w:rPr>
          <w:rFonts w:cs="Tahoma"/>
          <w:color w:val="000000"/>
        </w:rPr>
        <w:t>.</w:t>
      </w:r>
      <w:r w:rsidR="006E7EED">
        <w:rPr>
          <w:rFonts w:cs="Tahoma"/>
          <w:color w:val="000000"/>
        </w:rPr>
        <w:t xml:space="preserve"> </w:t>
      </w:r>
      <w:r w:rsidR="00794699">
        <w:rPr>
          <w:rFonts w:cs="Tahoma"/>
          <w:color w:val="000000"/>
        </w:rPr>
        <w:t xml:space="preserve">Udział taboru zeroemisyjnego stanowił 4,4% stanu floty. </w:t>
      </w:r>
      <w:r w:rsidR="008A4017" w:rsidRPr="00821AF6">
        <w:rPr>
          <w:rFonts w:cs="Tahoma"/>
          <w:color w:val="000000"/>
        </w:rPr>
        <w:t xml:space="preserve">Średni wiek taboru </w:t>
      </w:r>
      <w:r w:rsidR="00732E40">
        <w:rPr>
          <w:rFonts w:cs="Tahoma"/>
          <w:color w:val="000000"/>
        </w:rPr>
        <w:t xml:space="preserve">autobusowego </w:t>
      </w:r>
      <w:r w:rsidR="008A4017" w:rsidRPr="00821AF6">
        <w:rPr>
          <w:rFonts w:cs="Tahoma"/>
          <w:color w:val="000000"/>
        </w:rPr>
        <w:t xml:space="preserve">wynosił </w:t>
      </w:r>
      <w:r w:rsidR="00CA0BF2">
        <w:rPr>
          <w:rFonts w:cs="Tahoma"/>
          <w:color w:val="000000"/>
        </w:rPr>
        <w:t>6,2</w:t>
      </w:r>
      <w:r w:rsidR="008A4017" w:rsidRPr="00821AF6">
        <w:rPr>
          <w:rFonts w:cs="Tahoma"/>
          <w:color w:val="000000"/>
        </w:rPr>
        <w:t xml:space="preserve"> lat, </w:t>
      </w:r>
      <w:r w:rsidR="00732E40">
        <w:rPr>
          <w:rFonts w:cs="Tahoma"/>
          <w:color w:val="000000"/>
        </w:rPr>
        <w:t>a</w:t>
      </w:r>
      <w:r w:rsidR="006E7EED">
        <w:rPr>
          <w:rFonts w:cs="Tahoma"/>
          <w:color w:val="000000"/>
        </w:rPr>
        <w:t>le</w:t>
      </w:r>
      <w:r w:rsidR="008A4017" w:rsidRPr="00821AF6">
        <w:rPr>
          <w:rFonts w:cs="Tahoma"/>
          <w:color w:val="000000"/>
        </w:rPr>
        <w:t xml:space="preserve"> </w:t>
      </w:r>
      <w:r w:rsidR="00794699">
        <w:rPr>
          <w:rFonts w:cs="Tahoma"/>
          <w:color w:val="000000"/>
        </w:rPr>
        <w:t>15%</w:t>
      </w:r>
      <w:r w:rsidR="00DE2CFC" w:rsidRPr="00821AF6">
        <w:rPr>
          <w:rFonts w:cs="Tahoma"/>
          <w:color w:val="000000"/>
        </w:rPr>
        <w:t xml:space="preserve"> </w:t>
      </w:r>
      <w:r w:rsidR="006E7EED">
        <w:rPr>
          <w:rFonts w:cs="Tahoma"/>
          <w:color w:val="000000"/>
        </w:rPr>
        <w:t xml:space="preserve">wszystkich autobusów miało </w:t>
      </w:r>
      <w:r w:rsidR="00794699">
        <w:rPr>
          <w:rFonts w:cs="Tahoma"/>
          <w:color w:val="000000"/>
        </w:rPr>
        <w:t xml:space="preserve">ponad </w:t>
      </w:r>
      <w:r w:rsidR="008A4017" w:rsidRPr="00821AF6">
        <w:rPr>
          <w:rFonts w:cs="Tahoma"/>
          <w:color w:val="000000"/>
        </w:rPr>
        <w:t>1</w:t>
      </w:r>
      <w:r w:rsidR="006E7EED">
        <w:rPr>
          <w:rFonts w:cs="Tahoma"/>
          <w:color w:val="000000"/>
        </w:rPr>
        <w:t>0</w:t>
      </w:r>
      <w:r w:rsidR="008A4017" w:rsidRPr="00821AF6">
        <w:rPr>
          <w:rFonts w:cs="Tahoma"/>
          <w:color w:val="000000"/>
        </w:rPr>
        <w:t xml:space="preserve"> lat.</w:t>
      </w:r>
    </w:p>
    <w:p w14:paraId="17120FDB" w14:textId="0BE3DB95" w:rsidR="00A21946" w:rsidRPr="00821AF6" w:rsidRDefault="00712674" w:rsidP="00794699">
      <w:pPr>
        <w:rPr>
          <w:rFonts w:cs="Tahoma"/>
          <w:color w:val="000000"/>
        </w:rPr>
      </w:pPr>
      <w:r w:rsidRPr="00712674">
        <w:t xml:space="preserve">Miasto </w:t>
      </w:r>
      <w:r w:rsidR="00C73F5E">
        <w:t xml:space="preserve">Rzeszów </w:t>
      </w:r>
      <w:r w:rsidRPr="00712674">
        <w:t>realizuje projekt inwestycyjny „</w:t>
      </w:r>
      <w:r w:rsidR="00794699" w:rsidRPr="00794699">
        <w:rPr>
          <w:bCs/>
        </w:rPr>
        <w:t>Rozbudowa systemu transportu publicznego w Rzeszowie</w:t>
      </w:r>
      <w:r w:rsidRPr="00712674">
        <w:t>”,</w:t>
      </w:r>
      <w:r>
        <w:t xml:space="preserve"> w ramach którego </w:t>
      </w:r>
      <w:r w:rsidR="00794699">
        <w:t>do końca</w:t>
      </w:r>
      <w:r>
        <w:t xml:space="preserve"> 202</w:t>
      </w:r>
      <w:r w:rsidR="00794699">
        <w:t>3</w:t>
      </w:r>
      <w:r>
        <w:t xml:space="preserve"> r. </w:t>
      </w:r>
      <w:r w:rsidR="00794699">
        <w:t>planuje zakup 18 autobusów zasilanych</w:t>
      </w:r>
      <w:r>
        <w:t xml:space="preserve"> CNG</w:t>
      </w:r>
      <w:r w:rsidR="00794699">
        <w:t xml:space="preserve"> oraz 2 z napędem elektrycznym</w:t>
      </w:r>
      <w:r>
        <w:t xml:space="preserve">, które zostaną </w:t>
      </w:r>
      <w:r w:rsidR="00794699">
        <w:t>udostępnione MPK i</w:t>
      </w:r>
      <w:r>
        <w:t xml:space="preserve"> wprowadzone do eksploatacji.</w:t>
      </w:r>
    </w:p>
    <w:p w14:paraId="2A7E4FB1" w14:textId="03DB2067" w:rsidR="0095714E" w:rsidRDefault="000C512A" w:rsidP="00794699">
      <w:pPr>
        <w:rPr>
          <w:rFonts w:cs="Tahoma"/>
          <w:color w:val="000000"/>
        </w:rPr>
      </w:pPr>
      <w:r w:rsidRPr="00821AF6">
        <w:rPr>
          <w:rFonts w:cs="Tahoma"/>
          <w:color w:val="000000"/>
        </w:rPr>
        <w:t>Analizę kosztów i korzyści wykonano zgodnie z wymogami ustawy o elektromobilności, korzystając z wytycznych i przewodników do sporządzania takich analiz, opracowanych dla potrzeb projektów z dofinansowaniem unijnym.</w:t>
      </w:r>
    </w:p>
    <w:p w14:paraId="097494B5" w14:textId="69FEDF9A" w:rsidR="003739C9" w:rsidRPr="00821AF6" w:rsidRDefault="003739C9" w:rsidP="00606746">
      <w:r>
        <w:lastRenderedPageBreak/>
        <w:t>Z</w:t>
      </w:r>
      <w:r w:rsidRPr="00821AF6">
        <w:t xml:space="preserve">identyfikowano </w:t>
      </w:r>
      <w:r>
        <w:t xml:space="preserve">trzy </w:t>
      </w:r>
      <w:r w:rsidRPr="00821AF6">
        <w:t xml:space="preserve">warianty możliwych zmian wyposażenia taborowego </w:t>
      </w:r>
      <w:r w:rsidR="00C73F5E">
        <w:t>rzeszowskie</w:t>
      </w:r>
      <w:r>
        <w:t xml:space="preserve">j </w:t>
      </w:r>
      <w:r w:rsidRPr="00821AF6">
        <w:t>komunikacji miejskiej:</w:t>
      </w:r>
    </w:p>
    <w:p w14:paraId="7E238B61" w14:textId="77777777" w:rsidR="00606746" w:rsidRDefault="00606746" w:rsidP="00606746">
      <w:pPr>
        <w:pStyle w:val="Akapitzlist"/>
        <w:numPr>
          <w:ilvl w:val="0"/>
          <w:numId w:val="11"/>
        </w:numPr>
        <w:spacing w:after="0" w:line="360" w:lineRule="auto"/>
        <w:ind w:left="357" w:hanging="357"/>
        <w:jc w:val="both"/>
        <w:rPr>
          <w:rFonts w:ascii="Tahoma" w:hAnsi="Tahoma" w:cs="Tahoma"/>
        </w:rPr>
      </w:pPr>
      <w:r w:rsidRPr="00177266">
        <w:rPr>
          <w:rFonts w:ascii="Tahoma" w:hAnsi="Tahoma" w:cs="Tahoma"/>
          <w:u w:val="single"/>
        </w:rPr>
        <w:t>konwencjonalny</w:t>
      </w:r>
      <w:r w:rsidRPr="00177266">
        <w:rPr>
          <w:rFonts w:ascii="Tahoma" w:hAnsi="Tahoma" w:cs="Tahoma"/>
        </w:rPr>
        <w:t>, w którym założono</w:t>
      </w:r>
      <w:r>
        <w:rPr>
          <w:rFonts w:ascii="Tahoma" w:hAnsi="Tahoma" w:cs="Tahoma"/>
        </w:rPr>
        <w:t>:</w:t>
      </w:r>
    </w:p>
    <w:p w14:paraId="34A70CF0" w14:textId="77777777" w:rsidR="00606746" w:rsidRDefault="00606746" w:rsidP="00606746">
      <w:pPr>
        <w:pStyle w:val="Akapitzlist"/>
        <w:numPr>
          <w:ilvl w:val="1"/>
          <w:numId w:val="23"/>
        </w:numPr>
        <w:spacing w:after="0" w:line="360" w:lineRule="auto"/>
        <w:ind w:left="709"/>
        <w:jc w:val="both"/>
        <w:rPr>
          <w:rFonts w:ascii="Tahoma" w:hAnsi="Tahoma" w:cs="Tahoma"/>
        </w:rPr>
      </w:pPr>
      <w:r>
        <w:rPr>
          <w:rFonts w:ascii="Tahoma" w:hAnsi="Tahoma" w:cs="Tahoma"/>
        </w:rPr>
        <w:t>w okresie po 2027 r. – wprowadzanie</w:t>
      </w:r>
      <w:r w:rsidRPr="00804070">
        <w:rPr>
          <w:rFonts w:ascii="Tahoma" w:hAnsi="Tahoma" w:cs="Tahoma"/>
        </w:rPr>
        <w:t>, według harmonogramu MPK dla autobusów wodorowych, bateryjnych autobusów elektrycznych klasy maxi, z szybkim doładowaniem pantografowym na pętlach i uzupełniającym plug-in na terenie zajezdni</w:t>
      </w:r>
      <w:r>
        <w:rPr>
          <w:rFonts w:ascii="Tahoma" w:hAnsi="Tahoma" w:cs="Tahoma"/>
        </w:rPr>
        <w:t>;</w:t>
      </w:r>
    </w:p>
    <w:p w14:paraId="07A8210B" w14:textId="77777777" w:rsidR="00606746" w:rsidRPr="00301DE8" w:rsidRDefault="00606746" w:rsidP="00606746">
      <w:pPr>
        <w:pStyle w:val="Akapitzlist"/>
        <w:numPr>
          <w:ilvl w:val="1"/>
          <w:numId w:val="23"/>
        </w:numPr>
        <w:spacing w:after="0" w:line="360" w:lineRule="auto"/>
        <w:ind w:left="709"/>
        <w:jc w:val="both"/>
        <w:rPr>
          <w:rFonts w:ascii="Tahoma" w:hAnsi="Tahoma" w:cs="Tahoma"/>
        </w:rPr>
      </w:pPr>
      <w:r>
        <w:rPr>
          <w:rFonts w:ascii="Tahoma" w:hAnsi="Tahoma" w:cs="Tahoma"/>
        </w:rPr>
        <w:t xml:space="preserve">w pozostałym zakresie – </w:t>
      </w:r>
      <w:r w:rsidRPr="00783C7C">
        <w:rPr>
          <w:rFonts w:ascii="Tahoma" w:hAnsi="Tahoma" w:cs="Tahoma"/>
        </w:rPr>
        <w:t xml:space="preserve">sukcesywną wymianę </w:t>
      </w:r>
      <w:r>
        <w:rPr>
          <w:rFonts w:ascii="Tahoma" w:hAnsi="Tahoma" w:cs="Tahoma"/>
        </w:rPr>
        <w:t xml:space="preserve">wyeksploatowanego </w:t>
      </w:r>
      <w:r w:rsidRPr="00783C7C">
        <w:rPr>
          <w:rFonts w:ascii="Tahoma" w:hAnsi="Tahoma" w:cs="Tahoma"/>
        </w:rPr>
        <w:t>taboru na</w:t>
      </w:r>
      <w:r>
        <w:rPr>
          <w:rFonts w:ascii="Tahoma" w:hAnsi="Tahoma" w:cs="Tahoma"/>
        </w:rPr>
        <w:t> </w:t>
      </w:r>
      <w:r w:rsidRPr="00783C7C">
        <w:rPr>
          <w:rFonts w:ascii="Tahoma" w:hAnsi="Tahoma" w:cs="Tahoma"/>
        </w:rPr>
        <w:t xml:space="preserve">nowe </w:t>
      </w:r>
      <w:r w:rsidRPr="00301DE8">
        <w:rPr>
          <w:rFonts w:ascii="Tahoma" w:hAnsi="Tahoma" w:cs="Tahoma"/>
        </w:rPr>
        <w:t>pojazdy spalinowe z silnikami Diesla;</w:t>
      </w:r>
    </w:p>
    <w:p w14:paraId="58084BE8" w14:textId="77777777" w:rsidR="00606746" w:rsidRDefault="00606746" w:rsidP="00606746">
      <w:pPr>
        <w:pStyle w:val="Akapitzlist"/>
        <w:numPr>
          <w:ilvl w:val="0"/>
          <w:numId w:val="11"/>
        </w:numPr>
        <w:spacing w:after="0" w:line="360" w:lineRule="auto"/>
        <w:ind w:left="357" w:hanging="357"/>
        <w:jc w:val="both"/>
        <w:rPr>
          <w:rFonts w:ascii="Tahoma" w:hAnsi="Tahoma" w:cs="Tahoma"/>
        </w:rPr>
      </w:pPr>
      <w:r>
        <w:rPr>
          <w:rFonts w:ascii="Tahoma" w:hAnsi="Tahoma" w:cs="Tahoma"/>
          <w:u w:val="single"/>
        </w:rPr>
        <w:t>wodorowy</w:t>
      </w:r>
      <w:r w:rsidRPr="00177266">
        <w:rPr>
          <w:rFonts w:ascii="Tahoma" w:hAnsi="Tahoma" w:cs="Tahoma"/>
        </w:rPr>
        <w:t>, w którym założono</w:t>
      </w:r>
      <w:r>
        <w:rPr>
          <w:rFonts w:ascii="Tahoma" w:hAnsi="Tahoma" w:cs="Tahoma"/>
        </w:rPr>
        <w:t>:</w:t>
      </w:r>
    </w:p>
    <w:p w14:paraId="5154E3DD" w14:textId="77777777" w:rsidR="00606746" w:rsidRDefault="00606746" w:rsidP="00606746">
      <w:pPr>
        <w:pStyle w:val="Akapitzlist"/>
        <w:numPr>
          <w:ilvl w:val="1"/>
          <w:numId w:val="23"/>
        </w:numPr>
        <w:spacing w:after="0" w:line="360" w:lineRule="auto"/>
        <w:ind w:left="709"/>
        <w:jc w:val="both"/>
        <w:rPr>
          <w:rFonts w:ascii="Tahoma" w:hAnsi="Tahoma" w:cs="Tahoma"/>
        </w:rPr>
      </w:pPr>
      <w:r>
        <w:rPr>
          <w:rFonts w:ascii="Tahoma" w:hAnsi="Tahoma" w:cs="Tahoma"/>
        </w:rPr>
        <w:t>wprowadzanie do eksploatacji według harmonogramu określonego przez MPK autobusów elektrycznych wyposażonych w wodorowe ogniwa paliwowe;</w:t>
      </w:r>
    </w:p>
    <w:p w14:paraId="40B6744B" w14:textId="77777777" w:rsidR="00606746" w:rsidRDefault="00606746" w:rsidP="00606746">
      <w:pPr>
        <w:pStyle w:val="Akapitzlist"/>
        <w:numPr>
          <w:ilvl w:val="1"/>
          <w:numId w:val="23"/>
        </w:numPr>
        <w:spacing w:after="0" w:line="360" w:lineRule="auto"/>
        <w:ind w:left="709"/>
        <w:jc w:val="both"/>
        <w:rPr>
          <w:rFonts w:ascii="Tahoma" w:hAnsi="Tahoma" w:cs="Tahoma"/>
        </w:rPr>
      </w:pPr>
      <w:r>
        <w:rPr>
          <w:rFonts w:ascii="Tahoma" w:hAnsi="Tahoma" w:cs="Tahoma"/>
        </w:rPr>
        <w:t xml:space="preserve">w okresie do 2027 r. – uzupełniające </w:t>
      </w:r>
      <w:r w:rsidRPr="00177266">
        <w:rPr>
          <w:rFonts w:ascii="Tahoma" w:hAnsi="Tahoma" w:cs="Tahoma"/>
        </w:rPr>
        <w:t xml:space="preserve">sukcesywne wprowadzanie kolejnych bateryjnych autobusów elektrycznych klasy maxi, </w:t>
      </w:r>
      <w:r w:rsidRPr="00783C7C">
        <w:rPr>
          <w:rFonts w:ascii="Tahoma" w:hAnsi="Tahoma" w:cs="Tahoma"/>
        </w:rPr>
        <w:t xml:space="preserve">z </w:t>
      </w:r>
      <w:r>
        <w:rPr>
          <w:rFonts w:ascii="Tahoma" w:hAnsi="Tahoma" w:cs="Tahoma"/>
        </w:rPr>
        <w:t>ładowaniem</w:t>
      </w:r>
      <w:r w:rsidRPr="00783C7C">
        <w:rPr>
          <w:rFonts w:ascii="Tahoma" w:hAnsi="Tahoma" w:cs="Tahoma"/>
        </w:rPr>
        <w:t xml:space="preserve"> </w:t>
      </w:r>
      <w:r>
        <w:rPr>
          <w:rFonts w:ascii="Tahoma" w:hAnsi="Tahoma" w:cs="Tahoma"/>
        </w:rPr>
        <w:t xml:space="preserve">wyłącznie </w:t>
      </w:r>
      <w:r w:rsidRPr="00783C7C">
        <w:rPr>
          <w:rFonts w:ascii="Tahoma" w:hAnsi="Tahoma" w:cs="Tahoma"/>
        </w:rPr>
        <w:t>plug-in na terenie zajezdni – w celu spełnienia wymogów określonych ustawą o elektromobilności</w:t>
      </w:r>
      <w:r>
        <w:rPr>
          <w:rFonts w:ascii="Tahoma" w:hAnsi="Tahoma" w:cs="Tahoma"/>
        </w:rPr>
        <w:t>;</w:t>
      </w:r>
    </w:p>
    <w:p w14:paraId="32984760" w14:textId="77777777" w:rsidR="00606746" w:rsidRPr="00177266" w:rsidRDefault="00606746" w:rsidP="00606746">
      <w:pPr>
        <w:pStyle w:val="Akapitzlist"/>
        <w:numPr>
          <w:ilvl w:val="1"/>
          <w:numId w:val="23"/>
        </w:numPr>
        <w:spacing w:after="0" w:line="360" w:lineRule="auto"/>
        <w:ind w:left="709"/>
        <w:jc w:val="both"/>
        <w:rPr>
          <w:rFonts w:ascii="Tahoma" w:hAnsi="Tahoma" w:cs="Tahoma"/>
        </w:rPr>
      </w:pPr>
      <w:r>
        <w:rPr>
          <w:rFonts w:ascii="Tahoma" w:hAnsi="Tahoma" w:cs="Tahoma"/>
        </w:rPr>
        <w:t>w pozostałym zakresie – wprowadzanie autobusów zasilanych olejem napędowym.</w:t>
      </w:r>
    </w:p>
    <w:p w14:paraId="16F6F775" w14:textId="77777777" w:rsidR="00606746" w:rsidRDefault="00606746" w:rsidP="00606746">
      <w:pPr>
        <w:pStyle w:val="Akapitzlist"/>
        <w:numPr>
          <w:ilvl w:val="0"/>
          <w:numId w:val="11"/>
        </w:numPr>
        <w:spacing w:after="0" w:line="360" w:lineRule="auto"/>
        <w:ind w:left="357" w:hanging="357"/>
        <w:jc w:val="both"/>
        <w:rPr>
          <w:rFonts w:ascii="Tahoma" w:hAnsi="Tahoma" w:cs="Tahoma"/>
        </w:rPr>
      </w:pPr>
      <w:r w:rsidRPr="00177266">
        <w:rPr>
          <w:rFonts w:ascii="Tahoma" w:hAnsi="Tahoma" w:cs="Tahoma"/>
          <w:u w:val="single"/>
        </w:rPr>
        <w:t>elektryczny</w:t>
      </w:r>
      <w:r w:rsidRPr="00177266">
        <w:rPr>
          <w:rFonts w:ascii="Tahoma" w:hAnsi="Tahoma" w:cs="Tahoma"/>
        </w:rPr>
        <w:t>, w którym założono</w:t>
      </w:r>
      <w:r>
        <w:rPr>
          <w:rFonts w:ascii="Tahoma" w:hAnsi="Tahoma" w:cs="Tahoma"/>
        </w:rPr>
        <w:t>:</w:t>
      </w:r>
    </w:p>
    <w:p w14:paraId="1B800538" w14:textId="77777777" w:rsidR="00606746" w:rsidRDefault="00606746" w:rsidP="00606746">
      <w:pPr>
        <w:pStyle w:val="Akapitzlist"/>
        <w:numPr>
          <w:ilvl w:val="1"/>
          <w:numId w:val="23"/>
        </w:numPr>
        <w:spacing w:after="0" w:line="360" w:lineRule="auto"/>
        <w:ind w:left="709"/>
        <w:jc w:val="both"/>
        <w:rPr>
          <w:rFonts w:ascii="Tahoma" w:hAnsi="Tahoma" w:cs="Tahoma"/>
        </w:rPr>
      </w:pPr>
      <w:r w:rsidRPr="00804070">
        <w:rPr>
          <w:rFonts w:ascii="Tahoma" w:hAnsi="Tahoma" w:cs="Tahoma"/>
        </w:rPr>
        <w:t>w okresie do 2027 r. – uzupełniające sukcesywne wprowadzanie kolejnych bateryjnych autobusów elektrycznych klasy maxi, z ładowaniem wyłącznie plug-in na terenie zajezdni – w celu spełnienia wymogów określonych ustawą o elektromobilności;</w:t>
      </w:r>
      <w:r>
        <w:rPr>
          <w:rFonts w:ascii="Tahoma" w:hAnsi="Tahoma" w:cs="Tahoma"/>
        </w:rPr>
        <w:t>;</w:t>
      </w:r>
    </w:p>
    <w:p w14:paraId="1954F449" w14:textId="77777777" w:rsidR="00606746" w:rsidRDefault="00606746" w:rsidP="00606746">
      <w:pPr>
        <w:pStyle w:val="Akapitzlist"/>
        <w:numPr>
          <w:ilvl w:val="1"/>
          <w:numId w:val="23"/>
        </w:numPr>
        <w:spacing w:after="0" w:line="360" w:lineRule="auto"/>
        <w:ind w:left="709"/>
        <w:jc w:val="both"/>
        <w:rPr>
          <w:rFonts w:ascii="Tahoma" w:hAnsi="Tahoma" w:cs="Tahoma"/>
        </w:rPr>
      </w:pPr>
      <w:r>
        <w:rPr>
          <w:rFonts w:ascii="Tahoma" w:hAnsi="Tahoma" w:cs="Tahoma"/>
        </w:rPr>
        <w:t xml:space="preserve">w kolejnych latach – </w:t>
      </w:r>
      <w:r w:rsidRPr="005D0A12">
        <w:rPr>
          <w:rFonts w:ascii="Tahoma" w:hAnsi="Tahoma" w:cs="Tahoma"/>
        </w:rPr>
        <w:t>wprowadzanie</w:t>
      </w:r>
      <w:r>
        <w:rPr>
          <w:rFonts w:ascii="Tahoma" w:hAnsi="Tahoma" w:cs="Tahoma"/>
        </w:rPr>
        <w:t>,</w:t>
      </w:r>
      <w:r w:rsidRPr="005D0A12">
        <w:rPr>
          <w:rFonts w:ascii="Tahoma" w:hAnsi="Tahoma" w:cs="Tahoma"/>
        </w:rPr>
        <w:t xml:space="preserve"> </w:t>
      </w:r>
      <w:r>
        <w:rPr>
          <w:rFonts w:ascii="Tahoma" w:hAnsi="Tahoma" w:cs="Tahoma"/>
        </w:rPr>
        <w:t>według harmonogramu MPK dla autobusów wodorowych,</w:t>
      </w:r>
      <w:r w:rsidRPr="005D0A12">
        <w:rPr>
          <w:rFonts w:ascii="Tahoma" w:hAnsi="Tahoma" w:cs="Tahoma"/>
        </w:rPr>
        <w:t xml:space="preserve"> bateryjnych autobusów elektrycznych klasy maxi, z szybkim doładowaniem pantografowym na pętlach i uzupełniającym plug-in na terenie zajezdni</w:t>
      </w:r>
      <w:r>
        <w:rPr>
          <w:rFonts w:ascii="Tahoma" w:hAnsi="Tahoma" w:cs="Tahoma"/>
        </w:rPr>
        <w:t>;</w:t>
      </w:r>
    </w:p>
    <w:p w14:paraId="6B2C5E2C" w14:textId="77777777" w:rsidR="00606746" w:rsidRPr="00301DE8" w:rsidRDefault="00606746" w:rsidP="00606746">
      <w:pPr>
        <w:pStyle w:val="Akapitzlist"/>
        <w:numPr>
          <w:ilvl w:val="1"/>
          <w:numId w:val="23"/>
        </w:numPr>
        <w:spacing w:after="0" w:line="360" w:lineRule="auto"/>
        <w:ind w:left="709"/>
        <w:jc w:val="both"/>
        <w:rPr>
          <w:rFonts w:ascii="Tahoma" w:hAnsi="Tahoma" w:cs="Tahoma"/>
        </w:rPr>
      </w:pPr>
      <w:r>
        <w:rPr>
          <w:rFonts w:ascii="Tahoma" w:hAnsi="Tahoma" w:cs="Tahoma"/>
        </w:rPr>
        <w:t xml:space="preserve">w pozostałym zakresie – </w:t>
      </w:r>
      <w:r w:rsidRPr="00301DE8">
        <w:rPr>
          <w:rFonts w:ascii="Tahoma" w:hAnsi="Tahoma" w:cs="Tahoma"/>
        </w:rPr>
        <w:t>wprowadzanie autobusów spalinowych z silnikami Diesla.</w:t>
      </w:r>
    </w:p>
    <w:p w14:paraId="1298440E" w14:textId="77777777" w:rsidR="00C4739E" w:rsidRDefault="00C4739E" w:rsidP="00C4739E">
      <w:r>
        <w:t xml:space="preserve">We wszystkich wariantach przyjęto wprowadzenie do eksploatacji autobusów planowanych do zakupienia w ramach projektu </w:t>
      </w:r>
      <w:r w:rsidRPr="00C4739E">
        <w:t>„</w:t>
      </w:r>
      <w:r w:rsidRPr="00C4739E">
        <w:rPr>
          <w:bCs/>
        </w:rPr>
        <w:t>Rozbudowa systemu transportu publicznego w Rzeszowie</w:t>
      </w:r>
      <w:r w:rsidRPr="00C4739E">
        <w:t>”</w:t>
      </w:r>
      <w:r>
        <w:t>.</w:t>
      </w:r>
    </w:p>
    <w:p w14:paraId="0D8CF51B" w14:textId="77777777" w:rsidR="00C4739E" w:rsidRDefault="00C4739E" w:rsidP="00C4739E">
      <w:r w:rsidRPr="00783C7C">
        <w:t>W</w:t>
      </w:r>
      <w:r>
        <w:t>e</w:t>
      </w:r>
      <w:r w:rsidRPr="00783C7C">
        <w:t xml:space="preserve"> </w:t>
      </w:r>
      <w:r>
        <w:t xml:space="preserve">wszystkich wariantach </w:t>
      </w:r>
      <w:r w:rsidRPr="00783C7C">
        <w:t xml:space="preserve">przyjęto </w:t>
      </w:r>
      <w:r>
        <w:t>sukcesywne wycofywanie wyeksploatowanych</w:t>
      </w:r>
      <w:r w:rsidRPr="00783C7C">
        <w:t xml:space="preserve"> jednostek taborowych </w:t>
      </w:r>
      <w:r>
        <w:t xml:space="preserve">z napędem spalinowym </w:t>
      </w:r>
      <w:r w:rsidRPr="00783C7C">
        <w:t xml:space="preserve">na fabrycznie nowe, </w:t>
      </w:r>
      <w:r>
        <w:t>do 2026 r. według harmonogramu przygotowanego przez MPK, a w latach następnych po upływie 15-16 lat eksploatacji.</w:t>
      </w:r>
    </w:p>
    <w:p w14:paraId="39D5D3EC" w14:textId="24AEACF5" w:rsidR="00BC7B73" w:rsidRPr="00821AF6" w:rsidRDefault="00BC7B73" w:rsidP="00C4739E">
      <w:r w:rsidRPr="00821AF6">
        <w:t xml:space="preserve">Zachowano możliwość </w:t>
      </w:r>
      <w:r w:rsidR="00B940AD">
        <w:t>dokonywania</w:t>
      </w:r>
      <w:r w:rsidRPr="00821AF6">
        <w:t xml:space="preserve"> zmian w</w:t>
      </w:r>
      <w:r w:rsidR="003739C9">
        <w:t> </w:t>
      </w:r>
      <w:r w:rsidRPr="00821AF6">
        <w:t xml:space="preserve">przypisaniu pojazdów do linii w skali dnia, </w:t>
      </w:r>
      <w:r w:rsidR="00C4739E" w:rsidRPr="00821AF6">
        <w:t xml:space="preserve">jednak </w:t>
      </w:r>
      <w:r w:rsidR="00C4739E">
        <w:t xml:space="preserve">w przypadku autobusów z ładowaniem baterii poprzez pantograf na trasie </w:t>
      </w:r>
      <w:r w:rsidRPr="00821AF6">
        <w:t xml:space="preserve">ograniczając ją do </w:t>
      </w:r>
      <w:r w:rsidR="00B940AD">
        <w:t>linii korzystających z</w:t>
      </w:r>
      <w:r w:rsidR="00EC136E">
        <w:t> </w:t>
      </w:r>
      <w:r w:rsidR="00B940AD">
        <w:t>pętli, na których zainstalowane będą ładowarki</w:t>
      </w:r>
      <w:r w:rsidRPr="00821AF6">
        <w:t xml:space="preserve"> </w:t>
      </w:r>
      <w:r w:rsidR="00B940AD">
        <w:t>do szybkiego zasilania baterii autobusów</w:t>
      </w:r>
      <w:r w:rsidRPr="00821AF6">
        <w:t>.</w:t>
      </w:r>
    </w:p>
    <w:p w14:paraId="0E06EA9D" w14:textId="6E35F15C" w:rsidR="00BC7B73" w:rsidRPr="00821AF6" w:rsidRDefault="00BC7B73" w:rsidP="00C4739E">
      <w:r w:rsidRPr="00821AF6">
        <w:lastRenderedPageBreak/>
        <w:t xml:space="preserve">Z zapisów </w:t>
      </w:r>
      <w:r w:rsidR="00B940AD">
        <w:t>art</w:t>
      </w:r>
      <w:r w:rsidRPr="00821AF6">
        <w:t xml:space="preserve">. 12 ust. 1 pkt 8 ustawy o ptz wynika konieczność jednoznacznego wskazania linii komunikacyjnych, na których przewidywane jest wykorzystanie pojazdów elektrycznych lub pojazdów napędzanych gazem ziemnym. Zgodnie z </w:t>
      </w:r>
      <w:r w:rsidR="00B940AD">
        <w:t>art</w:t>
      </w:r>
      <w:r w:rsidRPr="00821AF6">
        <w:t xml:space="preserve">. 12 ust. 2a przywołanej ustawy, przy opracowywaniu planu transportowego gminy należy uwzględnić również wyniki analizy, o której mowa w </w:t>
      </w:r>
      <w:r w:rsidR="00B940AD">
        <w:t>art</w:t>
      </w:r>
      <w:r w:rsidRPr="00821AF6">
        <w:t>. 37 ust. 1 ustawy z dnia 11 stycznia 2018 r. o elektromobilności i paliwach alternatywnych, sporządzonej przez tę gminę. Wymagane wskazanie w planie transportowym linii do elektryfikacji powinno więc wynikać wprost z analizy kosztów i korzyści.</w:t>
      </w:r>
    </w:p>
    <w:p w14:paraId="3D85AE75" w14:textId="3E546FA3" w:rsidR="00C4739E" w:rsidRPr="007F019A" w:rsidRDefault="00B940AD" w:rsidP="007F019A">
      <w:pPr>
        <w:rPr>
          <w:bCs/>
        </w:rPr>
      </w:pPr>
      <w:r w:rsidRPr="007F019A">
        <w:t>W niniejszej analizie kosztów i korzyści</w:t>
      </w:r>
      <w:r w:rsidR="00092EF2" w:rsidRPr="007F019A">
        <w:t xml:space="preserve"> proponuje się, aby przydział linii do obsługi taborem zeroemisyjnym przedstawiał się następująco:</w:t>
      </w:r>
      <w:r w:rsidR="00C4739E" w:rsidRPr="007F019A">
        <w:rPr>
          <w:bCs/>
        </w:rPr>
        <w:t xml:space="preserve"> </w:t>
      </w:r>
    </w:p>
    <w:p w14:paraId="4C829CEA" w14:textId="77777777" w:rsidR="00C4739E" w:rsidRPr="007F019A" w:rsidRDefault="00C4739E" w:rsidP="007F019A">
      <w:pPr>
        <w:pStyle w:val="Akapitzlist"/>
        <w:numPr>
          <w:ilvl w:val="0"/>
          <w:numId w:val="18"/>
        </w:numPr>
        <w:spacing w:after="0" w:line="360" w:lineRule="auto"/>
        <w:ind w:left="357" w:hanging="357"/>
        <w:jc w:val="both"/>
        <w:rPr>
          <w:rFonts w:ascii="Tahoma" w:hAnsi="Tahoma" w:cs="Tahoma"/>
        </w:rPr>
      </w:pPr>
      <w:r w:rsidRPr="007F019A">
        <w:rPr>
          <w:rFonts w:ascii="Tahoma" w:hAnsi="Tahoma" w:cs="Tahoma"/>
        </w:rPr>
        <w:t>w pierwszej kolejności – linie priorytetowe 18 i 19 oraz dodatkowo linia uzupełniająca 10, korzystające z dwustanowiskowej ładowarki pantografowej na pętli Łukasiewicza;</w:t>
      </w:r>
    </w:p>
    <w:p w14:paraId="49CA91C0" w14:textId="1426CE3D" w:rsidR="00C4739E" w:rsidRPr="007F019A" w:rsidRDefault="00C4739E" w:rsidP="007F019A">
      <w:pPr>
        <w:pStyle w:val="Akapitzlist"/>
        <w:numPr>
          <w:ilvl w:val="0"/>
          <w:numId w:val="18"/>
        </w:numPr>
        <w:spacing w:after="0" w:line="360" w:lineRule="auto"/>
        <w:ind w:left="357" w:hanging="357"/>
        <w:jc w:val="both"/>
        <w:rPr>
          <w:rFonts w:ascii="Tahoma" w:hAnsi="Tahoma" w:cs="Tahoma"/>
        </w:rPr>
      </w:pPr>
      <w:r w:rsidRPr="007F019A">
        <w:rPr>
          <w:rFonts w:ascii="Tahoma" w:hAnsi="Tahoma" w:cs="Tahoma"/>
        </w:rPr>
        <w:t>w drugiej kolejności – lini</w:t>
      </w:r>
      <w:r w:rsidR="007250F5" w:rsidRPr="007F019A">
        <w:rPr>
          <w:rFonts w:ascii="Tahoma" w:hAnsi="Tahoma" w:cs="Tahoma"/>
        </w:rPr>
        <w:t>a</w:t>
      </w:r>
      <w:r w:rsidRPr="007F019A">
        <w:rPr>
          <w:rFonts w:ascii="Tahoma" w:hAnsi="Tahoma" w:cs="Tahoma"/>
        </w:rPr>
        <w:t xml:space="preserve"> podstawowa 30 oraz uzupełniająca 11, korzystające z dwustanowiskowej ładowarki na pętli Matuszczaka, z ładowarki tej także korzystać </w:t>
      </w:r>
      <w:r w:rsidR="007250F5" w:rsidRPr="007F019A">
        <w:rPr>
          <w:rFonts w:ascii="Tahoma" w:hAnsi="Tahoma" w:cs="Tahoma"/>
        </w:rPr>
        <w:t xml:space="preserve">będą </w:t>
      </w:r>
      <w:r w:rsidRPr="007F019A">
        <w:rPr>
          <w:rFonts w:ascii="Tahoma" w:hAnsi="Tahoma" w:cs="Tahoma"/>
        </w:rPr>
        <w:t>w miarę możliwości linie 23 i 24;</w:t>
      </w:r>
    </w:p>
    <w:p w14:paraId="7B465D4B" w14:textId="77777777" w:rsidR="00C4739E" w:rsidRPr="007F019A" w:rsidRDefault="00C4739E" w:rsidP="007F019A">
      <w:pPr>
        <w:pStyle w:val="Akapitzlist"/>
        <w:numPr>
          <w:ilvl w:val="0"/>
          <w:numId w:val="18"/>
        </w:numPr>
        <w:spacing w:after="0" w:line="360" w:lineRule="auto"/>
        <w:ind w:left="357" w:hanging="357"/>
        <w:jc w:val="both"/>
        <w:rPr>
          <w:rFonts w:ascii="Tahoma" w:hAnsi="Tahoma" w:cs="Tahoma"/>
        </w:rPr>
      </w:pPr>
      <w:r w:rsidRPr="007F019A">
        <w:rPr>
          <w:rFonts w:ascii="Tahoma" w:hAnsi="Tahoma" w:cs="Tahoma"/>
        </w:rPr>
        <w:t>w trzeciej kolejności – linie podstawowe 13, 17 i 34, z instalacją ładowarki na pętli Lwowska Szpital, z co najmniej dwoma stanowiskami do ładowania;</w:t>
      </w:r>
    </w:p>
    <w:p w14:paraId="557611B0" w14:textId="5AEAF39E" w:rsidR="00C4739E" w:rsidRPr="007F019A" w:rsidRDefault="00C4739E" w:rsidP="007F019A">
      <w:pPr>
        <w:pStyle w:val="Akapitzlist"/>
        <w:numPr>
          <w:ilvl w:val="0"/>
          <w:numId w:val="18"/>
        </w:numPr>
        <w:spacing w:after="0" w:line="360" w:lineRule="auto"/>
        <w:ind w:left="357" w:hanging="357"/>
        <w:jc w:val="both"/>
        <w:rPr>
          <w:rFonts w:ascii="Tahoma" w:hAnsi="Tahoma" w:cs="Tahoma"/>
        </w:rPr>
      </w:pPr>
      <w:r w:rsidRPr="007F019A">
        <w:rPr>
          <w:rFonts w:ascii="Tahoma" w:hAnsi="Tahoma" w:cs="Tahoma"/>
        </w:rPr>
        <w:t>w czwartej kolejności – linia podstawowa 4 oraz uzupełniająca 31, z instalacją ładowarki na terenie zajezdni przy ul. Lubelskiej lub w bezpośrednim jej pobliżu, z ładowarki tej w</w:t>
      </w:r>
      <w:r w:rsidR="007250F5" w:rsidRPr="007F019A">
        <w:rPr>
          <w:rFonts w:ascii="Tahoma" w:hAnsi="Tahoma" w:cs="Tahoma"/>
        </w:rPr>
        <w:t> </w:t>
      </w:r>
      <w:r w:rsidRPr="007F019A">
        <w:rPr>
          <w:rFonts w:ascii="Tahoma" w:hAnsi="Tahoma" w:cs="Tahoma"/>
        </w:rPr>
        <w:t>miarę możliwości mogłyby także korzystać autobusy linii 33;</w:t>
      </w:r>
    </w:p>
    <w:p w14:paraId="2D916820" w14:textId="77777777" w:rsidR="00C4739E" w:rsidRPr="007F019A" w:rsidRDefault="00C4739E" w:rsidP="007F019A">
      <w:pPr>
        <w:pStyle w:val="Akapitzlist"/>
        <w:numPr>
          <w:ilvl w:val="0"/>
          <w:numId w:val="18"/>
        </w:numPr>
        <w:spacing w:after="0" w:line="360" w:lineRule="auto"/>
        <w:ind w:left="357" w:hanging="357"/>
        <w:jc w:val="both"/>
        <w:rPr>
          <w:rFonts w:ascii="Tahoma" w:hAnsi="Tahoma" w:cs="Tahoma"/>
        </w:rPr>
      </w:pPr>
      <w:r w:rsidRPr="007F019A">
        <w:rPr>
          <w:rFonts w:ascii="Tahoma" w:hAnsi="Tahoma" w:cs="Tahoma"/>
        </w:rPr>
        <w:t>w dalszej kolejności w miarę potrzeb inne wybrane linie.</w:t>
      </w:r>
    </w:p>
    <w:p w14:paraId="0B0556C8" w14:textId="3FE7DFE8" w:rsidR="000C512A" w:rsidRPr="00821AF6" w:rsidRDefault="000C512A" w:rsidP="007F019A">
      <w:pPr>
        <w:rPr>
          <w:rFonts w:cs="Tahoma"/>
          <w:color w:val="000000"/>
        </w:rPr>
      </w:pPr>
      <w:r w:rsidRPr="007F019A">
        <w:rPr>
          <w:rFonts w:cs="Tahoma"/>
        </w:rPr>
        <w:t xml:space="preserve">W przeprowadzonej analizie społeczno-ekonomicznej uwzględniono oszczędności w kosztach eksploatacyjnych oraz efekty zewnętrzne związane z emisją gazów cieplarnianych </w:t>
      </w:r>
      <w:r w:rsidRPr="00821AF6">
        <w:rPr>
          <w:rFonts w:cs="Tahoma"/>
          <w:color w:val="000000"/>
        </w:rPr>
        <w:t>i innych zanieczyszczeń atmosfery oraz zmniejszenia hałasu.</w:t>
      </w:r>
    </w:p>
    <w:p w14:paraId="66DEFD29" w14:textId="15117BCF" w:rsidR="000C512A" w:rsidRPr="00821AF6" w:rsidRDefault="000C512A" w:rsidP="00C4739E">
      <w:pPr>
        <w:rPr>
          <w:rFonts w:cs="Tahoma"/>
          <w:color w:val="000000"/>
        </w:rPr>
      </w:pPr>
      <w:r w:rsidRPr="00821AF6">
        <w:rPr>
          <w:rFonts w:cs="Tahoma"/>
          <w:color w:val="000000"/>
        </w:rPr>
        <w:t>Obliczone w analizie wskaźniki finansowe FNPV/c oraz FRR/c</w:t>
      </w:r>
      <w:r w:rsidR="00ED3BE5" w:rsidRPr="00821AF6">
        <w:rPr>
          <w:rFonts w:cs="Tahoma"/>
          <w:color w:val="000000"/>
        </w:rPr>
        <w:t>,</w:t>
      </w:r>
      <w:r w:rsidRPr="00821AF6">
        <w:rPr>
          <w:rFonts w:cs="Tahoma"/>
          <w:color w:val="000000"/>
        </w:rPr>
        <w:t xml:space="preserve"> są </w:t>
      </w:r>
      <w:r w:rsidR="000B7C91" w:rsidRPr="00821AF6">
        <w:rPr>
          <w:rFonts w:cs="Tahoma"/>
          <w:color w:val="000000"/>
        </w:rPr>
        <w:t xml:space="preserve">ujemne dla </w:t>
      </w:r>
      <w:r w:rsidR="00690896">
        <w:rPr>
          <w:rFonts w:cs="Tahoma"/>
          <w:color w:val="000000"/>
        </w:rPr>
        <w:t>wszystkich</w:t>
      </w:r>
      <w:r w:rsidR="002176E0" w:rsidRPr="00821AF6">
        <w:rPr>
          <w:rFonts w:cs="Tahoma"/>
          <w:color w:val="000000"/>
        </w:rPr>
        <w:t xml:space="preserve"> wariantów</w:t>
      </w:r>
      <w:r w:rsidRPr="00821AF6">
        <w:rPr>
          <w:rFonts w:cs="Tahoma"/>
          <w:color w:val="000000"/>
        </w:rPr>
        <w:t>. Ujemne wartości osiągnęły także wskaźniki ENPV. W porównaniu do scenariusza bazowego najkorzystnie</w:t>
      </w:r>
      <w:r w:rsidR="00B21A5B" w:rsidRPr="00821AF6">
        <w:rPr>
          <w:rFonts w:cs="Tahoma"/>
          <w:color w:val="000000"/>
        </w:rPr>
        <w:t>j wypadł wariant</w:t>
      </w:r>
      <w:r w:rsidR="00ED3BE5" w:rsidRPr="00821AF6">
        <w:rPr>
          <w:rFonts w:cs="Tahoma"/>
          <w:color w:val="000000"/>
        </w:rPr>
        <w:t xml:space="preserve"> k</w:t>
      </w:r>
      <w:r w:rsidR="00412480" w:rsidRPr="00821AF6">
        <w:rPr>
          <w:rFonts w:cs="Tahoma"/>
          <w:color w:val="000000"/>
        </w:rPr>
        <w:t>onwencjonalny</w:t>
      </w:r>
      <w:r w:rsidRPr="00821AF6">
        <w:rPr>
          <w:rFonts w:cs="Tahoma"/>
          <w:color w:val="000000"/>
        </w:rPr>
        <w:t xml:space="preserve">. </w:t>
      </w:r>
      <w:r w:rsidRPr="00821AF6">
        <w:rPr>
          <w:rFonts w:cs="Tahoma"/>
          <w:b/>
          <w:color w:val="000000"/>
        </w:rPr>
        <w:t>Przy przyjętych założeniach</w:t>
      </w:r>
      <w:r w:rsidR="00ED3BE5" w:rsidRPr="00821AF6">
        <w:rPr>
          <w:rFonts w:cs="Tahoma"/>
          <w:b/>
          <w:color w:val="000000"/>
        </w:rPr>
        <w:t>,</w:t>
      </w:r>
      <w:r w:rsidRPr="00821AF6">
        <w:rPr>
          <w:rFonts w:cs="Tahoma"/>
          <w:b/>
          <w:color w:val="000000"/>
        </w:rPr>
        <w:t xml:space="preserve"> analiza wykazała brak korzyści ze stosowania taboru zeroemisyjnego, a</w:t>
      </w:r>
      <w:r w:rsidR="004E043C" w:rsidRPr="00821AF6">
        <w:rPr>
          <w:rFonts w:cs="Tahoma"/>
          <w:b/>
          <w:color w:val="000000"/>
        </w:rPr>
        <w:t> </w:t>
      </w:r>
      <w:r w:rsidRPr="00821AF6">
        <w:rPr>
          <w:rFonts w:cs="Tahoma"/>
          <w:b/>
          <w:color w:val="000000"/>
        </w:rPr>
        <w:t>zatem i brak obowiązku jego stosowania</w:t>
      </w:r>
      <w:r w:rsidRPr="00821AF6">
        <w:rPr>
          <w:rFonts w:cs="Tahoma"/>
          <w:color w:val="000000"/>
        </w:rPr>
        <w:t>.</w:t>
      </w:r>
    </w:p>
    <w:p w14:paraId="13A30B2D" w14:textId="33AD7606" w:rsidR="000C512A" w:rsidRPr="00821AF6" w:rsidRDefault="000C512A" w:rsidP="00C4739E">
      <w:pPr>
        <w:rPr>
          <w:rFonts w:cs="Tahoma"/>
          <w:color w:val="000000"/>
        </w:rPr>
      </w:pPr>
      <w:r w:rsidRPr="00821AF6">
        <w:rPr>
          <w:rFonts w:cs="Tahoma"/>
          <w:color w:val="000000"/>
        </w:rPr>
        <w:t>Głównym powodem negatywnych wyników analizy są wysokie ceny autobusów zeroemisyjnych</w:t>
      </w:r>
      <w:r w:rsidR="00412480" w:rsidRPr="00821AF6">
        <w:rPr>
          <w:rFonts w:cs="Tahoma"/>
          <w:color w:val="000000"/>
        </w:rPr>
        <w:t xml:space="preserve"> oraz</w:t>
      </w:r>
      <w:r w:rsidR="00C931CD" w:rsidRPr="00821AF6">
        <w:rPr>
          <w:rFonts w:cs="Tahoma"/>
          <w:color w:val="000000"/>
        </w:rPr>
        <w:t xml:space="preserve"> konieczność ponoszenia znaczących dodatkowych nakładów na instalacje zasilające</w:t>
      </w:r>
      <w:r w:rsidRPr="00821AF6">
        <w:rPr>
          <w:rFonts w:cs="Tahoma"/>
          <w:color w:val="000000"/>
        </w:rPr>
        <w:t xml:space="preserve"> </w:t>
      </w:r>
      <w:r w:rsidR="00412480" w:rsidRPr="00821AF6">
        <w:rPr>
          <w:rFonts w:cs="Tahoma"/>
          <w:color w:val="000000"/>
        </w:rPr>
        <w:t>autobus</w:t>
      </w:r>
      <w:r w:rsidR="00ED5045">
        <w:rPr>
          <w:rFonts w:cs="Tahoma"/>
          <w:color w:val="000000"/>
        </w:rPr>
        <w:t xml:space="preserve">y </w:t>
      </w:r>
      <w:r w:rsidR="00412480" w:rsidRPr="00821AF6">
        <w:rPr>
          <w:rFonts w:cs="Tahoma"/>
          <w:color w:val="000000"/>
        </w:rPr>
        <w:t>elektryczn</w:t>
      </w:r>
      <w:r w:rsidR="00ED5045">
        <w:rPr>
          <w:rFonts w:cs="Tahoma"/>
          <w:color w:val="000000"/>
        </w:rPr>
        <w:t>e</w:t>
      </w:r>
      <w:r w:rsidRPr="00821AF6">
        <w:rPr>
          <w:rFonts w:cs="Tahoma"/>
          <w:color w:val="000000"/>
        </w:rPr>
        <w:t>.</w:t>
      </w:r>
    </w:p>
    <w:p w14:paraId="70F08BCB" w14:textId="77777777" w:rsidR="00931D4F" w:rsidRPr="00821AF6" w:rsidRDefault="00C931CD" w:rsidP="00C4739E">
      <w:pPr>
        <w:rPr>
          <w:rFonts w:cs="Tahoma"/>
          <w:color w:val="000000"/>
        </w:rPr>
      </w:pPr>
      <w:r w:rsidRPr="00821AF6">
        <w:rPr>
          <w:rFonts w:cs="Tahoma"/>
          <w:color w:val="000000"/>
        </w:rPr>
        <w:t xml:space="preserve">W analizie nie uwzględniano innych dodatnich efektów związanych z zastosowaniem taboru zeroemisyjnego, </w:t>
      </w:r>
      <w:r w:rsidR="00931D4F" w:rsidRPr="00821AF6">
        <w:rPr>
          <w:rFonts w:cs="Tahoma"/>
        </w:rPr>
        <w:t xml:space="preserve">mogących istotnie wpłynąć na jej wynik, </w:t>
      </w:r>
      <w:r w:rsidRPr="00821AF6">
        <w:rPr>
          <w:rFonts w:cs="Tahoma"/>
          <w:color w:val="000000"/>
        </w:rPr>
        <w:t>takich jak</w:t>
      </w:r>
      <w:r w:rsidR="00931D4F" w:rsidRPr="00821AF6">
        <w:rPr>
          <w:rFonts w:cs="Tahoma"/>
          <w:color w:val="000000"/>
        </w:rPr>
        <w:t>:</w:t>
      </w:r>
    </w:p>
    <w:p w14:paraId="572FF1C4" w14:textId="20238D41" w:rsidR="000252BC" w:rsidRPr="00821AF6" w:rsidRDefault="00C931CD" w:rsidP="00C4739E">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 xml:space="preserve">wzrost zainteresowania mieszkańców korzystaniem z </w:t>
      </w:r>
      <w:r w:rsidR="00412480" w:rsidRPr="00821AF6">
        <w:rPr>
          <w:rFonts w:ascii="Tahoma" w:hAnsi="Tahoma" w:cs="Tahoma"/>
        </w:rPr>
        <w:t>zeroemisyjnej</w:t>
      </w:r>
      <w:r w:rsidRPr="00821AF6">
        <w:rPr>
          <w:rFonts w:ascii="Tahoma" w:hAnsi="Tahoma" w:cs="Tahoma"/>
        </w:rPr>
        <w:t xml:space="preserve"> komunikacji miejskiej</w:t>
      </w:r>
      <w:r w:rsidR="00931D4F" w:rsidRPr="00821AF6">
        <w:rPr>
          <w:rFonts w:ascii="Tahoma" w:hAnsi="Tahoma" w:cs="Tahoma"/>
        </w:rPr>
        <w:t>;</w:t>
      </w:r>
    </w:p>
    <w:p w14:paraId="655AD254" w14:textId="77777777" w:rsidR="000252BC" w:rsidRPr="00821AF6" w:rsidRDefault="00C931CD" w:rsidP="00C4739E">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t xml:space="preserve">wpływ zastosowania taboru zeroemisyjnego na ocenę postrzegania </w:t>
      </w:r>
      <w:r w:rsidR="00ED3BE5" w:rsidRPr="00821AF6">
        <w:rPr>
          <w:rFonts w:ascii="Tahoma" w:hAnsi="Tahoma" w:cs="Tahoma"/>
        </w:rPr>
        <w:t>m</w:t>
      </w:r>
      <w:r w:rsidRPr="00821AF6">
        <w:rPr>
          <w:rFonts w:ascii="Tahoma" w:hAnsi="Tahoma" w:cs="Tahoma"/>
        </w:rPr>
        <w:t>iasta</w:t>
      </w:r>
      <w:r w:rsidR="00931D4F" w:rsidRPr="00821AF6">
        <w:rPr>
          <w:rFonts w:ascii="Tahoma" w:hAnsi="Tahoma" w:cs="Tahoma"/>
        </w:rPr>
        <w:t>;</w:t>
      </w:r>
    </w:p>
    <w:p w14:paraId="0CA10095" w14:textId="133670F6" w:rsidR="000252BC" w:rsidRPr="00821AF6" w:rsidRDefault="00C931CD" w:rsidP="00C4739E">
      <w:pPr>
        <w:pStyle w:val="Akapitzlist"/>
        <w:numPr>
          <w:ilvl w:val="0"/>
          <w:numId w:val="12"/>
        </w:numPr>
        <w:spacing w:after="0" w:line="360" w:lineRule="auto"/>
        <w:ind w:left="357" w:hanging="357"/>
        <w:jc w:val="both"/>
        <w:rPr>
          <w:rFonts w:ascii="Tahoma" w:hAnsi="Tahoma" w:cs="Tahoma"/>
        </w:rPr>
      </w:pPr>
      <w:r w:rsidRPr="00821AF6">
        <w:rPr>
          <w:rFonts w:ascii="Tahoma" w:hAnsi="Tahoma" w:cs="Tahoma"/>
        </w:rPr>
        <w:lastRenderedPageBreak/>
        <w:t xml:space="preserve">wpływ zastosowania taboru </w:t>
      </w:r>
      <w:r w:rsidR="00412480" w:rsidRPr="00821AF6">
        <w:rPr>
          <w:rFonts w:ascii="Tahoma" w:hAnsi="Tahoma" w:cs="Tahoma"/>
        </w:rPr>
        <w:t>zeroemisyjnego</w:t>
      </w:r>
      <w:r w:rsidRPr="00821AF6">
        <w:rPr>
          <w:rFonts w:ascii="Tahoma" w:hAnsi="Tahoma" w:cs="Tahoma"/>
        </w:rPr>
        <w:t xml:space="preserve"> na zmianę zachowań transportowych mieszkańców</w:t>
      </w:r>
      <w:r w:rsidR="00931D4F" w:rsidRPr="00821AF6">
        <w:rPr>
          <w:rFonts w:ascii="Tahoma" w:hAnsi="Tahoma" w:cs="Tahoma"/>
        </w:rPr>
        <w:t>.</w:t>
      </w:r>
    </w:p>
    <w:p w14:paraId="7ED63989" w14:textId="13E2E1BE" w:rsidR="004E043C" w:rsidRDefault="005B2668" w:rsidP="00C4739E">
      <w:pPr>
        <w:tabs>
          <w:tab w:val="left" w:pos="1042"/>
        </w:tabs>
        <w:rPr>
          <w:rFonts w:cs="Tahoma"/>
          <w:color w:val="000000"/>
        </w:rPr>
      </w:pPr>
      <w:r w:rsidRPr="00821AF6">
        <w:rPr>
          <w:rFonts w:cs="Tahoma"/>
          <w:color w:val="000000"/>
        </w:rPr>
        <w:t>Z punktu widzenia jednostki samorządu terytorialnego, efektywność zastosowania autobusów zeroemisyjnych znacznie by wzrosła, gdyby ceny takich pojazdów były niższe.</w:t>
      </w:r>
    </w:p>
    <w:p w14:paraId="120D82FA" w14:textId="639281EA" w:rsidR="003739C9" w:rsidRPr="00587680" w:rsidRDefault="003739C9" w:rsidP="003664DC">
      <w:pPr>
        <w:tabs>
          <w:tab w:val="left" w:pos="1042"/>
        </w:tabs>
        <w:rPr>
          <w:rFonts w:cs="Tahoma"/>
          <w:color w:val="000000"/>
        </w:rPr>
      </w:pPr>
      <w:r w:rsidRPr="00821AF6">
        <w:rPr>
          <w:rFonts w:cs="Tahoma"/>
          <w:color w:val="000000"/>
        </w:rPr>
        <w:t xml:space="preserve">W wyniku symulacji zmiany efektywności finansowej i ekonomicznej przyjętych do analizy wariantów stwierdzono, że w przypadku </w:t>
      </w:r>
      <w:r w:rsidR="00C73F5E">
        <w:rPr>
          <w:rFonts w:cs="Tahoma"/>
          <w:color w:val="000000"/>
        </w:rPr>
        <w:t xml:space="preserve">Rzeszowa </w:t>
      </w:r>
      <w:r w:rsidR="00047A67">
        <w:rPr>
          <w:rFonts w:cs="Tahoma"/>
          <w:color w:val="000000"/>
        </w:rPr>
        <w:t>dla wariantu elektrycznego</w:t>
      </w:r>
      <w:r w:rsidRPr="00096FAD">
        <w:rPr>
          <w:rFonts w:cs="Tahoma"/>
          <w:color w:val="000000"/>
        </w:rPr>
        <w:t>,</w:t>
      </w:r>
      <w:r w:rsidRPr="00821AF6">
        <w:rPr>
          <w:rFonts w:cs="Tahoma"/>
          <w:color w:val="000000"/>
        </w:rPr>
        <w:t xml:space="preserve"> wartość progowa ceny standardowego autobusu </w:t>
      </w:r>
      <w:r>
        <w:rPr>
          <w:rFonts w:cs="Tahoma"/>
          <w:color w:val="000000"/>
        </w:rPr>
        <w:t>kla</w:t>
      </w:r>
      <w:r w:rsidRPr="00821AF6">
        <w:rPr>
          <w:rFonts w:cs="Tahoma"/>
          <w:color w:val="000000"/>
        </w:rPr>
        <w:t>sy maxi z napędem elektrycznym zasilanym z</w:t>
      </w:r>
      <w:r>
        <w:rPr>
          <w:rFonts w:cs="Tahoma"/>
          <w:color w:val="000000"/>
        </w:rPr>
        <w:t> </w:t>
      </w:r>
      <w:r w:rsidRPr="00821AF6">
        <w:rPr>
          <w:rFonts w:cs="Tahoma"/>
          <w:color w:val="000000"/>
        </w:rPr>
        <w:t xml:space="preserve">baterii, </w:t>
      </w:r>
      <w:r>
        <w:rPr>
          <w:rFonts w:cs="Tahoma"/>
          <w:color w:val="000000"/>
        </w:rPr>
        <w:t xml:space="preserve">ładowanych poprzez pantograf na trasie przejazdu i złącze plug-in, </w:t>
      </w:r>
      <w:r w:rsidRPr="00821AF6">
        <w:rPr>
          <w:rFonts w:cs="Tahoma"/>
          <w:color w:val="000000"/>
        </w:rPr>
        <w:t xml:space="preserve">przy której ekonomiczna bieżąca wartość netto ENPV byłaby wyższa w porównaniu do wariantu z taborem konwencjonalnym, </w:t>
      </w:r>
      <w:r w:rsidRPr="00096FAD">
        <w:rPr>
          <w:rFonts w:cs="Tahoma"/>
          <w:color w:val="000000"/>
        </w:rPr>
        <w:t xml:space="preserve">to kwota </w:t>
      </w:r>
      <w:r w:rsidR="003664DC">
        <w:rPr>
          <w:rFonts w:cs="Tahoma"/>
          <w:color w:val="000000"/>
        </w:rPr>
        <w:t>1 626,5 tys. zł (o 31,4%</w:t>
      </w:r>
      <w:r w:rsidRPr="00587680">
        <w:rPr>
          <w:rFonts w:cs="Tahoma"/>
          <w:color w:val="000000"/>
        </w:rPr>
        <w:t xml:space="preserve"> niższa od przyjętej do analizy). </w:t>
      </w:r>
    </w:p>
    <w:p w14:paraId="2B666A85" w14:textId="0C5E5681" w:rsidR="003739C9" w:rsidRPr="00096FAD" w:rsidRDefault="003739C9" w:rsidP="003664DC">
      <w:pPr>
        <w:rPr>
          <w:rFonts w:cs="Tahoma"/>
          <w:color w:val="000000"/>
        </w:rPr>
      </w:pPr>
      <w:r w:rsidRPr="00587680">
        <w:rPr>
          <w:rFonts w:cs="Tahoma"/>
          <w:color w:val="000000"/>
        </w:rPr>
        <w:t xml:space="preserve">W wariancie </w:t>
      </w:r>
      <w:r w:rsidR="003664DC">
        <w:rPr>
          <w:rFonts w:cs="Tahoma"/>
          <w:color w:val="000000"/>
        </w:rPr>
        <w:t>wodorowym</w:t>
      </w:r>
      <w:r w:rsidRPr="00587680">
        <w:rPr>
          <w:rFonts w:cs="Tahoma"/>
          <w:color w:val="000000"/>
        </w:rPr>
        <w:t xml:space="preserve"> wartość progowa standardowego autobusu elektrycznego wyposażonego w baterie ładowane wyłącznie na terenie zajezdni wyniosła </w:t>
      </w:r>
      <w:r w:rsidR="003664DC">
        <w:rPr>
          <w:rFonts w:cs="Tahoma"/>
          <w:color w:val="000000"/>
        </w:rPr>
        <w:t>1 484,7</w:t>
      </w:r>
      <w:r w:rsidRPr="00587680">
        <w:rPr>
          <w:rFonts w:cs="Tahoma"/>
          <w:color w:val="000000"/>
        </w:rPr>
        <w:t xml:space="preserve"> tys. zł, </w:t>
      </w:r>
      <w:r w:rsidR="003664DC">
        <w:rPr>
          <w:rFonts w:cs="Tahoma"/>
          <w:color w:val="000000"/>
        </w:rPr>
        <w:t xml:space="preserve">natomiast wartość progowa autobusu z ogniwami paliwowymi wyniosła 2 180,1 tys. zł </w:t>
      </w:r>
      <w:r w:rsidR="003664DC" w:rsidRPr="00587680">
        <w:rPr>
          <w:rFonts w:cs="Tahoma"/>
          <w:color w:val="000000"/>
        </w:rPr>
        <w:t>(</w:t>
      </w:r>
      <w:r w:rsidR="003664DC">
        <w:rPr>
          <w:rFonts w:cs="Tahoma"/>
          <w:color w:val="000000"/>
        </w:rPr>
        <w:t>wartości</w:t>
      </w:r>
      <w:r w:rsidR="003664DC" w:rsidRPr="00587680">
        <w:rPr>
          <w:rFonts w:cs="Tahoma"/>
          <w:color w:val="000000"/>
        </w:rPr>
        <w:t xml:space="preserve"> o</w:t>
      </w:r>
      <w:r w:rsidR="007F019A">
        <w:rPr>
          <w:rFonts w:cs="Tahoma"/>
          <w:color w:val="000000"/>
        </w:rPr>
        <w:t> </w:t>
      </w:r>
      <w:r w:rsidR="003664DC">
        <w:rPr>
          <w:rFonts w:cs="Tahoma"/>
          <w:color w:val="000000"/>
        </w:rPr>
        <w:t>37</w:t>
      </w:r>
      <w:r w:rsidR="003664DC" w:rsidRPr="00587680">
        <w:rPr>
          <w:rFonts w:cs="Tahoma"/>
          <w:color w:val="000000"/>
        </w:rPr>
        <w:t xml:space="preserve">,4% </w:t>
      </w:r>
      <w:r w:rsidR="003664DC">
        <w:rPr>
          <w:rFonts w:cs="Tahoma"/>
          <w:color w:val="000000"/>
        </w:rPr>
        <w:t xml:space="preserve">niższe od przyjętej do analizy). </w:t>
      </w:r>
    </w:p>
    <w:p w14:paraId="17A01312" w14:textId="4178110D" w:rsidR="000C512A" w:rsidRPr="00821AF6" w:rsidRDefault="004E043C" w:rsidP="003664DC">
      <w:pPr>
        <w:rPr>
          <w:rFonts w:cs="Tahoma"/>
          <w:color w:val="000000"/>
        </w:rPr>
      </w:pPr>
      <w:r w:rsidRPr="00821AF6">
        <w:rPr>
          <w:rFonts w:cs="Tahoma"/>
          <w:color w:val="000000"/>
        </w:rPr>
        <w:t xml:space="preserve">Dopiero przy takich cenach pojazdów zeroemisyjnych wystąpiłaby ekonomiczna opłacalność zakupu taboru zeroemisyjnego, czyli wystąpiłby obowiązek zakupu taboru zeroemisyjnego, przy uwzględnieniu </w:t>
      </w:r>
      <w:r w:rsidR="005B2668" w:rsidRPr="00821AF6">
        <w:rPr>
          <w:rFonts w:cs="Tahoma"/>
          <w:color w:val="000000"/>
        </w:rPr>
        <w:t xml:space="preserve">korzyści wynikających ze zmniejszenia emisji zanieczyszczeń. Korzyści z zakupu autobusów </w:t>
      </w:r>
      <w:r w:rsidR="00265BF1" w:rsidRPr="00821AF6">
        <w:rPr>
          <w:rFonts w:cs="Tahoma"/>
          <w:color w:val="000000"/>
        </w:rPr>
        <w:t>z napędem elektrycznym</w:t>
      </w:r>
      <w:r w:rsidR="005B2668" w:rsidRPr="00821AF6">
        <w:rPr>
          <w:rFonts w:cs="Tahoma"/>
          <w:color w:val="000000"/>
        </w:rPr>
        <w:t xml:space="preserve"> dla jednostki samorządu terytorialnego znacznie wzrosną przy zmniejszeniu wkładu własnego w</w:t>
      </w:r>
      <w:r w:rsidR="00376305" w:rsidRPr="00821AF6">
        <w:rPr>
          <w:rFonts w:cs="Tahoma"/>
          <w:color w:val="000000"/>
        </w:rPr>
        <w:t> </w:t>
      </w:r>
      <w:r w:rsidR="005B2668" w:rsidRPr="00821AF6">
        <w:rPr>
          <w:rFonts w:cs="Tahoma"/>
          <w:color w:val="000000"/>
        </w:rPr>
        <w:t>nabywanym taborze – jako efektu wykorzystania zewnętrznych źródeł finansowania inwestycji (np. otrzymania bezzwrotnej dotacji</w:t>
      </w:r>
      <w:r w:rsidR="00265BF1" w:rsidRPr="00821AF6">
        <w:rPr>
          <w:rFonts w:cs="Tahoma"/>
          <w:color w:val="000000"/>
        </w:rPr>
        <w:t xml:space="preserve"> ze środków krajowych</w:t>
      </w:r>
      <w:r w:rsidR="00180C04">
        <w:rPr>
          <w:rFonts w:cs="Tahoma"/>
          <w:color w:val="000000"/>
        </w:rPr>
        <w:t xml:space="preserve"> lub europejskich</w:t>
      </w:r>
      <w:r w:rsidR="005B2668" w:rsidRPr="00821AF6">
        <w:rPr>
          <w:rFonts w:cs="Tahoma"/>
          <w:color w:val="000000"/>
        </w:rPr>
        <w:t>).</w:t>
      </w:r>
    </w:p>
    <w:p w14:paraId="73086331" w14:textId="5934CDEE" w:rsidR="000C512A" w:rsidRPr="00821AF6" w:rsidRDefault="000C512A" w:rsidP="003664DC">
      <w:pPr>
        <w:tabs>
          <w:tab w:val="left" w:pos="1042"/>
        </w:tabs>
        <w:rPr>
          <w:rFonts w:cs="Tahoma"/>
          <w:color w:val="000000"/>
        </w:rPr>
      </w:pPr>
      <w:r w:rsidRPr="00821AF6">
        <w:rPr>
          <w:rFonts w:cs="Tahoma"/>
          <w:color w:val="000000"/>
        </w:rPr>
        <w:t>W związku z wynikiem przeprowadzonej analizy, tj. brakiem korzyści ekonomicznych, wskazujących bezwarunkowo na zasadność eksploatacji autobusów zeroemisyjnych, Miast</w:t>
      </w:r>
      <w:r w:rsidR="00F43D6C" w:rsidRPr="00821AF6">
        <w:rPr>
          <w:rFonts w:cs="Tahoma"/>
          <w:color w:val="000000"/>
        </w:rPr>
        <w:t>o</w:t>
      </w:r>
      <w:r w:rsidR="00376305" w:rsidRPr="00821AF6">
        <w:rPr>
          <w:rFonts w:cs="Tahoma"/>
          <w:color w:val="000000"/>
        </w:rPr>
        <w:t> </w:t>
      </w:r>
      <w:r w:rsidR="00C73F5E">
        <w:rPr>
          <w:rFonts w:cs="Tahoma"/>
          <w:color w:val="000000"/>
        </w:rPr>
        <w:t xml:space="preserve">Rzeszów </w:t>
      </w:r>
      <w:r w:rsidRPr="00821AF6">
        <w:rPr>
          <w:rFonts w:cs="Tahoma"/>
          <w:color w:val="000000"/>
        </w:rPr>
        <w:t xml:space="preserve">zamierza nabyć dla swojego operatora wewnętrznego autobusy </w:t>
      </w:r>
      <w:r w:rsidR="003664DC">
        <w:rPr>
          <w:rFonts w:cs="Tahoma"/>
          <w:color w:val="000000"/>
        </w:rPr>
        <w:t>zeroemisyjne</w:t>
      </w:r>
      <w:r w:rsidRPr="00821AF6">
        <w:rPr>
          <w:rFonts w:cs="Tahoma"/>
          <w:color w:val="000000"/>
        </w:rPr>
        <w:t xml:space="preserve"> </w:t>
      </w:r>
      <w:r w:rsidR="00931D4F" w:rsidRPr="00821AF6">
        <w:rPr>
          <w:rFonts w:cs="Tahoma"/>
          <w:color w:val="000000"/>
        </w:rPr>
        <w:t xml:space="preserve">tylko </w:t>
      </w:r>
      <w:r w:rsidRPr="00821AF6">
        <w:rPr>
          <w:rFonts w:cs="Tahoma"/>
          <w:color w:val="000000"/>
        </w:rPr>
        <w:t>w</w:t>
      </w:r>
      <w:r w:rsidR="00376305" w:rsidRPr="00821AF6">
        <w:rPr>
          <w:rFonts w:cs="Tahoma"/>
          <w:color w:val="000000"/>
        </w:rPr>
        <w:t> </w:t>
      </w:r>
      <w:r w:rsidRPr="00821AF6">
        <w:rPr>
          <w:rFonts w:cs="Tahoma"/>
          <w:color w:val="000000"/>
        </w:rPr>
        <w:t>sytuacji możliwości pozyskania dofinansowania ich zakupu ze środków zewnętrznych</w:t>
      </w:r>
      <w:r w:rsidR="00265BF1" w:rsidRPr="00821AF6">
        <w:rPr>
          <w:rFonts w:cs="Tahoma"/>
          <w:color w:val="000000"/>
        </w:rPr>
        <w:t>,</w:t>
      </w:r>
      <w:r w:rsidRPr="00821AF6">
        <w:rPr>
          <w:rFonts w:cs="Tahoma"/>
          <w:color w:val="000000"/>
        </w:rPr>
        <w:t xml:space="preserve"> zapewniających efektywność przedsięwzięcia.</w:t>
      </w:r>
    </w:p>
    <w:p w14:paraId="539B68CD" w14:textId="1A2959F9" w:rsidR="00931D4F" w:rsidRPr="00821AF6" w:rsidRDefault="000C512A" w:rsidP="007F019A">
      <w:pPr>
        <w:rPr>
          <w:b/>
          <w:bCs/>
          <w:color w:val="000000"/>
          <w:kern w:val="32"/>
          <w:sz w:val="28"/>
          <w:szCs w:val="32"/>
        </w:rPr>
      </w:pPr>
      <w:r w:rsidRPr="00821AF6">
        <w:rPr>
          <w:rFonts w:cs="Tahoma"/>
          <w:color w:val="000000"/>
        </w:rPr>
        <w:t xml:space="preserve">Niniejsza analiza kosztów i korzyści nie jest polityką, strategią, planem lub programem, o których mowa w art. 46 ust. 2 i 3 ustawy z dnia 3 października 2008 r. o udostępnianiu informacji o środowisku i jego ochronie, udziale społeczeństwa w ochronie środowiska oraz o ocenach oddziaływania na środowisko (Dz. U. z </w:t>
      </w:r>
      <w:r w:rsidR="00D563A1" w:rsidRPr="00821AF6">
        <w:rPr>
          <w:rFonts w:cs="Tahoma"/>
          <w:color w:val="000000"/>
        </w:rPr>
        <w:t>2021</w:t>
      </w:r>
      <w:r w:rsidRPr="00821AF6">
        <w:rPr>
          <w:rFonts w:cs="Tahoma"/>
          <w:color w:val="000000"/>
        </w:rPr>
        <w:t xml:space="preserve"> r. poz. </w:t>
      </w:r>
      <w:r w:rsidR="00D563A1" w:rsidRPr="00821AF6">
        <w:rPr>
          <w:rFonts w:cs="Tahoma"/>
          <w:color w:val="000000"/>
        </w:rPr>
        <w:t>247 ze zm.</w:t>
      </w:r>
      <w:r w:rsidRPr="00821AF6">
        <w:rPr>
          <w:rFonts w:cs="Tahoma"/>
          <w:color w:val="000000"/>
        </w:rPr>
        <w:t xml:space="preserve">). Niniejsza </w:t>
      </w:r>
      <w:r w:rsidR="00ED20F7" w:rsidRPr="00821AF6">
        <w:rPr>
          <w:rFonts w:cs="Tahoma"/>
          <w:color w:val="000000"/>
        </w:rPr>
        <w:t>a</w:t>
      </w:r>
      <w:r w:rsidRPr="00821AF6">
        <w:rPr>
          <w:rFonts w:cs="Tahoma"/>
          <w:color w:val="000000"/>
        </w:rPr>
        <w:t>naliza kosztów i korzyści w żaden sposób nie oddziałuje na obszary Natura 2000, a ponadto realizacja analizowanych wariantów, w szczególności elektrycznego</w:t>
      </w:r>
      <w:r w:rsidR="00DF2A7E" w:rsidRPr="00821AF6">
        <w:rPr>
          <w:rFonts w:cs="Tahoma"/>
          <w:color w:val="000000"/>
        </w:rPr>
        <w:t>,</w:t>
      </w:r>
      <w:r w:rsidRPr="00821AF6">
        <w:rPr>
          <w:rFonts w:cs="Tahoma"/>
          <w:color w:val="000000"/>
        </w:rPr>
        <w:t xml:space="preserve"> wpływa pozytywnie na</w:t>
      </w:r>
      <w:r w:rsidR="00DF2A7E" w:rsidRPr="00821AF6">
        <w:rPr>
          <w:rFonts w:cs="Tahoma"/>
          <w:color w:val="000000"/>
        </w:rPr>
        <w:t> </w:t>
      </w:r>
      <w:r w:rsidRPr="00821AF6">
        <w:rPr>
          <w:rFonts w:cs="Tahoma"/>
          <w:color w:val="000000"/>
        </w:rPr>
        <w:t xml:space="preserve">zmniejszenie emisji zanieczyszczeń emitowanych do atmosfery w obszarze funkcjonowania </w:t>
      </w:r>
      <w:r w:rsidR="00C73F5E">
        <w:rPr>
          <w:rFonts w:cs="Tahoma"/>
          <w:color w:val="000000"/>
        </w:rPr>
        <w:t>rzeszowskie</w:t>
      </w:r>
      <w:r w:rsidR="00AE0C28">
        <w:rPr>
          <w:rFonts w:cs="Tahoma"/>
          <w:color w:val="000000"/>
        </w:rPr>
        <w:t>j</w:t>
      </w:r>
      <w:r w:rsidR="00265608">
        <w:rPr>
          <w:rFonts w:cs="Tahoma"/>
          <w:color w:val="000000"/>
        </w:rPr>
        <w:t xml:space="preserve"> </w:t>
      </w:r>
      <w:r w:rsidRPr="00821AF6">
        <w:rPr>
          <w:rFonts w:cs="Tahoma"/>
          <w:color w:val="000000"/>
        </w:rPr>
        <w:t>komunikacji miejskiej. Analiza kosztów i korzyści nie podlega więc obowiązkowi przeprowadzenia strategicznej oceny oddziaływania na środowisko.</w:t>
      </w:r>
      <w:bookmarkStart w:id="107" w:name="_Toc524602381"/>
      <w:r w:rsidR="00931D4F" w:rsidRPr="00821AF6">
        <w:rPr>
          <w:color w:val="000000"/>
        </w:rPr>
        <w:br w:type="page"/>
      </w:r>
    </w:p>
    <w:p w14:paraId="0C105871" w14:textId="77777777" w:rsidR="000C512A" w:rsidRPr="00821AF6" w:rsidRDefault="000C512A" w:rsidP="00C55CC7">
      <w:pPr>
        <w:pStyle w:val="Nagwek1"/>
        <w:ind w:left="431" w:hanging="431"/>
        <w:rPr>
          <w:color w:val="000000"/>
        </w:rPr>
      </w:pPr>
      <w:bookmarkStart w:id="108" w:name="_Toc89417684"/>
      <w:r w:rsidRPr="00821AF6">
        <w:rPr>
          <w:color w:val="000000"/>
        </w:rPr>
        <w:lastRenderedPageBreak/>
        <w:t>Informacja</w:t>
      </w:r>
      <w:r w:rsidRPr="00821AF6">
        <w:rPr>
          <w:color w:val="000000"/>
        </w:rPr>
        <w:br/>
        <w:t>o udziale społeczeństwa w postępowaniu (projekt)</w:t>
      </w:r>
      <w:bookmarkEnd w:id="107"/>
      <w:bookmarkEnd w:id="108"/>
    </w:p>
    <w:p w14:paraId="71528F97" w14:textId="1F4EDCC1" w:rsidR="009A040A" w:rsidRDefault="009A040A" w:rsidP="00C55CC7">
      <w:pPr>
        <w:rPr>
          <w:rFonts w:cs="Tahoma"/>
          <w:color w:val="000000"/>
        </w:rPr>
      </w:pPr>
      <w:r w:rsidRPr="00D96187">
        <w:rPr>
          <w:rFonts w:cs="Tahoma"/>
          <w:color w:val="000000"/>
        </w:rPr>
        <w:t>Możliwość udziału społeczeństwa w opracowaniu dokumentu pn.</w:t>
      </w:r>
      <w:r>
        <w:rPr>
          <w:rFonts w:cs="Tahoma"/>
          <w:color w:val="000000"/>
        </w:rPr>
        <w:t xml:space="preserve"> „</w:t>
      </w:r>
      <w:r w:rsidR="006C227A" w:rsidRPr="00821AF6">
        <w:rPr>
          <w:rFonts w:cs="Tahoma"/>
          <w:color w:val="000000"/>
        </w:rPr>
        <w:t xml:space="preserve">Analiza kosztów i korzyści </w:t>
      </w:r>
      <w:r w:rsidR="001C6BD7">
        <w:rPr>
          <w:rFonts w:cs="Tahoma"/>
          <w:color w:val="000000"/>
        </w:rPr>
        <w:t>związanych z</w:t>
      </w:r>
      <w:r w:rsidR="003D3934">
        <w:rPr>
          <w:rFonts w:cs="Tahoma"/>
          <w:color w:val="000000"/>
        </w:rPr>
        <w:t> </w:t>
      </w:r>
      <w:r w:rsidR="006C227A" w:rsidRPr="00821AF6">
        <w:rPr>
          <w:rFonts w:cs="Tahoma"/>
          <w:color w:val="000000"/>
        </w:rPr>
        <w:t>wykorzystani</w:t>
      </w:r>
      <w:r w:rsidR="001C6BD7">
        <w:rPr>
          <w:rFonts w:cs="Tahoma"/>
          <w:color w:val="000000"/>
        </w:rPr>
        <w:t>em</w:t>
      </w:r>
      <w:r w:rsidR="006C227A" w:rsidRPr="00821AF6">
        <w:rPr>
          <w:rFonts w:cs="Tahoma"/>
          <w:color w:val="000000"/>
        </w:rPr>
        <w:t xml:space="preserve"> </w:t>
      </w:r>
      <w:r w:rsidR="001C6BD7">
        <w:rPr>
          <w:rFonts w:cs="Tahoma"/>
          <w:color w:val="000000"/>
        </w:rPr>
        <w:t>przy świadczeniu usług komunikacji miejskiej autobusów</w:t>
      </w:r>
      <w:r w:rsidR="006C227A" w:rsidRPr="00821AF6">
        <w:rPr>
          <w:rFonts w:cs="Tahoma"/>
          <w:color w:val="000000"/>
        </w:rPr>
        <w:t xml:space="preserve"> zeroemisyjnych</w:t>
      </w:r>
      <w:r w:rsidR="00180C04">
        <w:rPr>
          <w:rFonts w:cs="Tahoma"/>
          <w:color w:val="000000"/>
        </w:rPr>
        <w:t xml:space="preserve"> dla </w:t>
      </w:r>
      <w:r w:rsidR="00D3025F">
        <w:rPr>
          <w:rFonts w:cs="Tahoma"/>
          <w:color w:val="000000"/>
        </w:rPr>
        <w:t>Miasta</w:t>
      </w:r>
      <w:r w:rsidR="00180C04">
        <w:rPr>
          <w:rFonts w:cs="Tahoma"/>
          <w:color w:val="000000"/>
        </w:rPr>
        <w:t xml:space="preserve"> </w:t>
      </w:r>
      <w:r w:rsidR="00D3025F">
        <w:rPr>
          <w:rFonts w:cs="Tahoma"/>
          <w:color w:val="000000"/>
        </w:rPr>
        <w:t>Rzeszowa</w:t>
      </w:r>
      <w:r w:rsidR="001C6BD7">
        <w:rPr>
          <w:rFonts w:cs="Tahoma"/>
          <w:color w:val="000000"/>
        </w:rPr>
        <w:t>”</w:t>
      </w:r>
      <w:r w:rsidR="006C227A" w:rsidRPr="00821AF6">
        <w:rPr>
          <w:rFonts w:cs="Tahoma"/>
          <w:color w:val="000000"/>
        </w:rPr>
        <w:t xml:space="preserve"> </w:t>
      </w:r>
      <w:r w:rsidRPr="00D96187">
        <w:rPr>
          <w:rFonts w:cs="Tahoma"/>
          <w:color w:val="000000"/>
        </w:rPr>
        <w:t>zapewniło</w:t>
      </w:r>
      <w:r>
        <w:rPr>
          <w:rFonts w:cs="Tahoma"/>
          <w:color w:val="000000"/>
        </w:rPr>
        <w:t xml:space="preserve"> </w:t>
      </w:r>
      <w:r w:rsidRPr="009A040A">
        <w:rPr>
          <w:rFonts w:cs="Tahoma"/>
          <w:color w:val="000000"/>
        </w:rPr>
        <w:t>ogłoszeni</w:t>
      </w:r>
      <w:r>
        <w:rPr>
          <w:rFonts w:cs="Tahoma"/>
          <w:color w:val="000000"/>
        </w:rPr>
        <w:t>e</w:t>
      </w:r>
      <w:r w:rsidRPr="009A040A">
        <w:rPr>
          <w:rFonts w:cs="Tahoma"/>
          <w:color w:val="000000"/>
        </w:rPr>
        <w:t xml:space="preserve"> Prezydenta Miasta </w:t>
      </w:r>
      <w:r w:rsidR="00FB29A8">
        <w:rPr>
          <w:rFonts w:cs="Tahoma"/>
          <w:color w:val="000000"/>
        </w:rPr>
        <w:t>Rzeszowa</w:t>
      </w:r>
      <w:r w:rsidRPr="009A040A">
        <w:rPr>
          <w:rFonts w:cs="Tahoma"/>
          <w:color w:val="000000"/>
        </w:rPr>
        <w:t>, wydane na podstawie art. 39 ust. 1 ustawy z dnia 3 października 2008 r. o udostępnianiu informacji o środowisku i jego ochronie, udziale społeczeństwa w ochronie środowiska oraz o</w:t>
      </w:r>
      <w:r>
        <w:rPr>
          <w:rFonts w:cs="Tahoma"/>
          <w:color w:val="000000"/>
        </w:rPr>
        <w:t> </w:t>
      </w:r>
      <w:r w:rsidRPr="009A040A">
        <w:rPr>
          <w:rFonts w:cs="Tahoma"/>
          <w:color w:val="000000"/>
        </w:rPr>
        <w:t>ocenach oddziaływania na środowisko (t.j. Dz. U. z 2021 r. poz. 247 ze zm.) w związku z art. 37 ust. 3 ustawy z dnia 11 stycznia 2018 r. o elektromobilności i paliwach alternatywnych (t.j.</w:t>
      </w:r>
      <w:r w:rsidR="00C841CA">
        <w:rPr>
          <w:rFonts w:cs="Tahoma"/>
          <w:color w:val="000000"/>
        </w:rPr>
        <w:t> </w:t>
      </w:r>
      <w:r w:rsidRPr="009A040A">
        <w:rPr>
          <w:rFonts w:cs="Tahoma"/>
          <w:color w:val="000000"/>
        </w:rPr>
        <w:t>Dz. U. z 2021 r. poz. 110 ze zm.).</w:t>
      </w:r>
    </w:p>
    <w:p w14:paraId="5A6C7090" w14:textId="6DC12E58" w:rsidR="009A040A" w:rsidRDefault="009A040A" w:rsidP="00C55CC7">
      <w:pPr>
        <w:rPr>
          <w:rFonts w:cs="Tahoma"/>
          <w:color w:val="000000"/>
        </w:rPr>
      </w:pPr>
      <w:r w:rsidRPr="009A040A">
        <w:rPr>
          <w:rFonts w:cs="Tahoma"/>
          <w:color w:val="000000"/>
        </w:rPr>
        <w:t>Celem udziału społeczeństwa w opracowaniu dokumentu było zebranie uwag i wniosków na temat zapisów ww. analizy</w:t>
      </w:r>
      <w:r>
        <w:rPr>
          <w:rFonts w:cs="Tahoma"/>
          <w:color w:val="000000"/>
        </w:rPr>
        <w:t xml:space="preserve">. Możliwość wnoszenia uwag przewidziano w terminie od </w:t>
      </w:r>
      <w:r w:rsidR="00C55CC7">
        <w:rPr>
          <w:rFonts w:cs="Tahoma"/>
          <w:color w:val="000000"/>
        </w:rPr>
        <w:t>…</w:t>
      </w:r>
      <w:r>
        <w:rPr>
          <w:rFonts w:cs="Tahoma"/>
          <w:color w:val="000000"/>
        </w:rPr>
        <w:t xml:space="preserve"> do </w:t>
      </w:r>
      <w:r w:rsidR="00C55CC7">
        <w:rPr>
          <w:rFonts w:cs="Tahoma"/>
          <w:color w:val="000000"/>
        </w:rPr>
        <w:t>…</w:t>
      </w:r>
      <w:r>
        <w:rPr>
          <w:rFonts w:cs="Tahoma"/>
          <w:color w:val="000000"/>
        </w:rPr>
        <w:t xml:space="preserve"> </w:t>
      </w:r>
      <w:r w:rsidR="00C55CC7">
        <w:rPr>
          <w:rFonts w:cs="Tahoma"/>
          <w:color w:val="000000"/>
        </w:rPr>
        <w:t>…… 202…</w:t>
      </w:r>
      <w:r w:rsidRPr="009A040A">
        <w:rPr>
          <w:rFonts w:cs="Tahoma"/>
          <w:color w:val="000000"/>
        </w:rPr>
        <w:t xml:space="preserve"> r., w formie zbierania formularzy konsultacyjnych.</w:t>
      </w:r>
    </w:p>
    <w:p w14:paraId="3FD95975" w14:textId="43C487F6" w:rsidR="006C227A" w:rsidRPr="00821AF6" w:rsidRDefault="006C227A" w:rsidP="00C55CC7">
      <w:pPr>
        <w:rPr>
          <w:rFonts w:cs="Tahoma"/>
          <w:color w:val="000000"/>
        </w:rPr>
      </w:pPr>
      <w:r w:rsidRPr="00821AF6">
        <w:rPr>
          <w:rFonts w:cs="Tahoma"/>
          <w:color w:val="000000"/>
        </w:rPr>
        <w:t>Z treścią dokumentu zapoznać można</w:t>
      </w:r>
      <w:r w:rsidR="005C2756" w:rsidRPr="00821AF6">
        <w:rPr>
          <w:rFonts w:cs="Tahoma"/>
          <w:color w:val="000000"/>
        </w:rPr>
        <w:t xml:space="preserve"> się było</w:t>
      </w:r>
      <w:r w:rsidRPr="00821AF6">
        <w:rPr>
          <w:rFonts w:cs="Tahoma"/>
          <w:color w:val="000000"/>
        </w:rPr>
        <w:t>:</w:t>
      </w:r>
    </w:p>
    <w:p w14:paraId="1049A4C4" w14:textId="5C04FB84" w:rsidR="006C227A" w:rsidRPr="00821AF6" w:rsidRDefault="00EA5C48" w:rsidP="00C55CC7">
      <w:pPr>
        <w:pStyle w:val="Akapitzlist"/>
        <w:numPr>
          <w:ilvl w:val="0"/>
          <w:numId w:val="20"/>
        </w:numPr>
        <w:spacing w:after="0" w:line="360" w:lineRule="auto"/>
        <w:ind w:left="357" w:hanging="357"/>
        <w:contextualSpacing w:val="0"/>
        <w:jc w:val="both"/>
        <w:rPr>
          <w:rFonts w:ascii="Tahoma" w:eastAsia="Times New Roman" w:hAnsi="Tahoma" w:cs="Tahoma"/>
          <w:color w:val="000000"/>
          <w:szCs w:val="24"/>
          <w:lang w:eastAsia="pl-PL"/>
        </w:rPr>
      </w:pPr>
      <w:r>
        <w:rPr>
          <w:rFonts w:ascii="Tahoma" w:eastAsia="Times New Roman" w:hAnsi="Tahoma" w:cs="Tahoma"/>
          <w:color w:val="000000"/>
          <w:szCs w:val="24"/>
          <w:lang w:eastAsia="pl-PL"/>
        </w:rPr>
        <w:t>na stronach internetowych</w:t>
      </w:r>
      <w:r w:rsidR="001442DD">
        <w:rPr>
          <w:rFonts w:ascii="Tahoma" w:eastAsia="Times New Roman" w:hAnsi="Tahoma" w:cs="Tahoma"/>
          <w:color w:val="000000"/>
          <w:szCs w:val="24"/>
          <w:lang w:eastAsia="pl-PL"/>
        </w:rPr>
        <w:t xml:space="preserve"> </w:t>
      </w:r>
      <w:r w:rsidR="00C55CC7">
        <w:rPr>
          <w:rFonts w:ascii="Tahoma" w:eastAsia="Times New Roman" w:hAnsi="Tahoma" w:cs="Tahoma"/>
          <w:color w:val="000000"/>
          <w:szCs w:val="24"/>
          <w:lang w:eastAsia="pl-PL"/>
        </w:rPr>
        <w:t>ztm.rzeszow</w:t>
      </w:r>
      <w:r w:rsidRPr="00EA5C48">
        <w:rPr>
          <w:rFonts w:ascii="Tahoma" w:eastAsia="Times New Roman" w:hAnsi="Tahoma" w:cs="Tahoma"/>
          <w:color w:val="000000"/>
          <w:szCs w:val="24"/>
          <w:lang w:eastAsia="pl-PL"/>
        </w:rPr>
        <w:t>.pl</w:t>
      </w:r>
      <w:r>
        <w:rPr>
          <w:rFonts w:ascii="Tahoma" w:eastAsia="Times New Roman" w:hAnsi="Tahoma" w:cs="Tahoma"/>
          <w:color w:val="000000"/>
          <w:szCs w:val="24"/>
          <w:lang w:eastAsia="pl-PL"/>
        </w:rPr>
        <w:t xml:space="preserve"> oraz bip.</w:t>
      </w:r>
      <w:r w:rsidR="00C55CC7">
        <w:rPr>
          <w:rFonts w:ascii="Tahoma" w:eastAsia="Times New Roman" w:hAnsi="Tahoma" w:cs="Tahoma"/>
          <w:color w:val="000000"/>
          <w:szCs w:val="24"/>
          <w:lang w:eastAsia="pl-PL"/>
        </w:rPr>
        <w:t>erzeszow</w:t>
      </w:r>
      <w:r>
        <w:rPr>
          <w:rFonts w:ascii="Tahoma" w:eastAsia="Times New Roman" w:hAnsi="Tahoma" w:cs="Tahoma"/>
          <w:color w:val="000000"/>
          <w:szCs w:val="24"/>
          <w:lang w:eastAsia="pl-PL"/>
        </w:rPr>
        <w:t>.pl</w:t>
      </w:r>
      <w:r w:rsidR="005C2756" w:rsidRPr="00821AF6">
        <w:rPr>
          <w:rFonts w:ascii="Tahoma" w:eastAsia="Times New Roman" w:hAnsi="Tahoma" w:cs="Tahoma"/>
          <w:color w:val="000000"/>
          <w:szCs w:val="24"/>
          <w:lang w:eastAsia="pl-PL"/>
        </w:rPr>
        <w:t>;</w:t>
      </w:r>
    </w:p>
    <w:p w14:paraId="74429CB6" w14:textId="154F42F2" w:rsidR="006C227A" w:rsidRDefault="006C227A" w:rsidP="00C55CC7">
      <w:pPr>
        <w:pStyle w:val="Akapitzlist"/>
        <w:numPr>
          <w:ilvl w:val="0"/>
          <w:numId w:val="20"/>
        </w:numPr>
        <w:spacing w:after="0" w:line="360" w:lineRule="auto"/>
        <w:ind w:left="357" w:hanging="357"/>
        <w:contextualSpacing w:val="0"/>
        <w:jc w:val="both"/>
        <w:rPr>
          <w:rFonts w:ascii="Tahoma" w:eastAsia="Times New Roman" w:hAnsi="Tahoma" w:cs="Tahoma"/>
          <w:color w:val="000000"/>
          <w:szCs w:val="24"/>
          <w:lang w:eastAsia="pl-PL"/>
        </w:rPr>
      </w:pPr>
      <w:r w:rsidRPr="00821AF6">
        <w:rPr>
          <w:rFonts w:ascii="Tahoma" w:eastAsia="Times New Roman" w:hAnsi="Tahoma" w:cs="Tahoma"/>
          <w:color w:val="000000"/>
          <w:szCs w:val="24"/>
          <w:lang w:eastAsia="pl-PL"/>
        </w:rPr>
        <w:t xml:space="preserve">w budynku </w:t>
      </w:r>
      <w:r w:rsidR="00C55CC7">
        <w:rPr>
          <w:rFonts w:ascii="Tahoma" w:eastAsia="Times New Roman" w:hAnsi="Tahoma" w:cs="Tahoma"/>
          <w:color w:val="000000"/>
          <w:szCs w:val="24"/>
          <w:lang w:eastAsia="pl-PL"/>
        </w:rPr>
        <w:t>Zarządu Transportu</w:t>
      </w:r>
      <w:r w:rsidR="00EA5C48">
        <w:rPr>
          <w:rFonts w:ascii="Tahoma" w:eastAsia="Times New Roman" w:hAnsi="Tahoma" w:cs="Tahoma"/>
          <w:color w:val="000000"/>
          <w:szCs w:val="24"/>
          <w:lang w:eastAsia="pl-PL"/>
        </w:rPr>
        <w:t xml:space="preserve"> Miejskiego w </w:t>
      </w:r>
      <w:r w:rsidR="00F1258F">
        <w:rPr>
          <w:rFonts w:ascii="Tahoma" w:eastAsia="Times New Roman" w:hAnsi="Tahoma" w:cs="Tahoma"/>
          <w:color w:val="000000"/>
          <w:szCs w:val="24"/>
          <w:lang w:eastAsia="pl-PL"/>
        </w:rPr>
        <w:t>Rzeszowie</w:t>
      </w:r>
      <w:r w:rsidRPr="00821AF6">
        <w:rPr>
          <w:rFonts w:ascii="Tahoma" w:eastAsia="Times New Roman" w:hAnsi="Tahoma" w:cs="Tahoma"/>
          <w:color w:val="000000"/>
          <w:szCs w:val="24"/>
          <w:lang w:eastAsia="pl-PL"/>
        </w:rPr>
        <w:t xml:space="preserve">, przy ul. </w:t>
      </w:r>
      <w:r w:rsidR="00C55CC7">
        <w:rPr>
          <w:rFonts w:ascii="Tahoma" w:eastAsia="Times New Roman" w:hAnsi="Tahoma" w:cs="Tahoma"/>
          <w:color w:val="000000"/>
          <w:szCs w:val="24"/>
          <w:lang w:eastAsia="pl-PL"/>
        </w:rPr>
        <w:t>Trembeckiego 3</w:t>
      </w:r>
      <w:r w:rsidRPr="00821AF6">
        <w:rPr>
          <w:rFonts w:ascii="Tahoma" w:eastAsia="Times New Roman" w:hAnsi="Tahoma" w:cs="Tahoma"/>
          <w:color w:val="000000"/>
          <w:szCs w:val="24"/>
          <w:lang w:eastAsia="pl-PL"/>
        </w:rPr>
        <w:t xml:space="preserve"> </w:t>
      </w:r>
      <w:r w:rsidR="005C2756" w:rsidRPr="00821AF6">
        <w:rPr>
          <w:rFonts w:ascii="Tahoma" w:eastAsia="Times New Roman" w:hAnsi="Tahoma" w:cs="Tahoma"/>
          <w:color w:val="000000"/>
          <w:szCs w:val="24"/>
          <w:lang w:eastAsia="pl-PL"/>
        </w:rPr>
        <w:t xml:space="preserve">– </w:t>
      </w:r>
      <w:r w:rsidRPr="00821AF6">
        <w:rPr>
          <w:rFonts w:ascii="Tahoma" w:eastAsia="Times New Roman" w:hAnsi="Tahoma" w:cs="Tahoma"/>
          <w:color w:val="000000"/>
          <w:szCs w:val="24"/>
          <w:lang w:eastAsia="pl-PL"/>
        </w:rPr>
        <w:t xml:space="preserve">w godzinach pracy </w:t>
      </w:r>
      <w:r w:rsidR="00C55CC7">
        <w:rPr>
          <w:rFonts w:ascii="Tahoma" w:eastAsia="Times New Roman" w:hAnsi="Tahoma" w:cs="Tahoma"/>
          <w:color w:val="000000"/>
          <w:szCs w:val="24"/>
          <w:lang w:eastAsia="pl-PL"/>
        </w:rPr>
        <w:t>Zarzą</w:t>
      </w:r>
      <w:r w:rsidRPr="00821AF6">
        <w:rPr>
          <w:rFonts w:ascii="Tahoma" w:eastAsia="Times New Roman" w:hAnsi="Tahoma" w:cs="Tahoma"/>
          <w:color w:val="000000"/>
          <w:szCs w:val="24"/>
          <w:lang w:eastAsia="pl-PL"/>
        </w:rPr>
        <w:t>du</w:t>
      </w:r>
      <w:r w:rsidR="009A040A">
        <w:rPr>
          <w:rFonts w:ascii="Tahoma" w:eastAsia="Times New Roman" w:hAnsi="Tahoma" w:cs="Tahoma"/>
          <w:color w:val="000000"/>
          <w:szCs w:val="24"/>
          <w:lang w:eastAsia="pl-PL"/>
        </w:rPr>
        <w:t>.</w:t>
      </w:r>
    </w:p>
    <w:p w14:paraId="4A74DE1C" w14:textId="1E5EB76C" w:rsidR="006C227A" w:rsidRDefault="006C227A" w:rsidP="00C55CC7">
      <w:pPr>
        <w:rPr>
          <w:rFonts w:cs="Tahoma"/>
          <w:color w:val="000000"/>
        </w:rPr>
      </w:pPr>
      <w:r w:rsidRPr="00821AF6">
        <w:rPr>
          <w:rFonts w:cs="Tahoma"/>
          <w:color w:val="000000"/>
        </w:rPr>
        <w:t xml:space="preserve">Opinie do projektu dokumentu można </w:t>
      </w:r>
      <w:r w:rsidR="005C2756" w:rsidRPr="00821AF6">
        <w:rPr>
          <w:rFonts w:cs="Tahoma"/>
          <w:color w:val="000000"/>
        </w:rPr>
        <w:t xml:space="preserve">było </w:t>
      </w:r>
      <w:r w:rsidRPr="00821AF6">
        <w:rPr>
          <w:rFonts w:cs="Tahoma"/>
          <w:color w:val="000000"/>
        </w:rPr>
        <w:t>składać na formularzu konsultacyjnym:</w:t>
      </w:r>
    </w:p>
    <w:p w14:paraId="45C45D09" w14:textId="66701F96" w:rsidR="009A040A" w:rsidRPr="009A040A" w:rsidRDefault="009A040A" w:rsidP="00C55CC7">
      <w:pPr>
        <w:pStyle w:val="Akapitzlist"/>
        <w:numPr>
          <w:ilvl w:val="0"/>
          <w:numId w:val="24"/>
        </w:numPr>
        <w:spacing w:after="0" w:line="360" w:lineRule="auto"/>
        <w:contextualSpacing w:val="0"/>
        <w:jc w:val="both"/>
        <w:rPr>
          <w:rFonts w:ascii="Tahoma" w:eastAsia="Times New Roman" w:hAnsi="Tahoma" w:cs="Tahoma"/>
          <w:color w:val="000000"/>
          <w:szCs w:val="24"/>
          <w:lang w:eastAsia="pl-PL"/>
        </w:rPr>
      </w:pPr>
      <w:r w:rsidRPr="006A18BC">
        <w:rPr>
          <w:sz w:val="14"/>
          <w:szCs w:val="14"/>
        </w:rPr>
        <w:t xml:space="preserve"> </w:t>
      </w:r>
      <w:r w:rsidRPr="009A040A">
        <w:rPr>
          <w:rFonts w:ascii="Tahoma" w:eastAsia="Times New Roman" w:hAnsi="Tahoma" w:cs="Tahoma"/>
          <w:color w:val="000000"/>
          <w:szCs w:val="24"/>
          <w:lang w:eastAsia="pl-PL"/>
        </w:rPr>
        <w:t xml:space="preserve">drogą elektroniczną (skan) – przesyłając je na adres e-mailowy: </w:t>
      </w:r>
      <w:r w:rsidR="00C55CC7" w:rsidRPr="00C55CC7">
        <w:rPr>
          <w:rFonts w:ascii="Tahoma" w:eastAsia="Times New Roman" w:hAnsi="Tahoma" w:cs="Tahoma"/>
          <w:color w:val="000000"/>
          <w:szCs w:val="24"/>
          <w:lang w:eastAsia="pl-PL"/>
        </w:rPr>
        <w:t>ztm@ztm.erzeszow.pl</w:t>
      </w:r>
      <w:r w:rsidRPr="009A040A">
        <w:rPr>
          <w:rFonts w:ascii="Tahoma" w:eastAsia="Times New Roman" w:hAnsi="Tahoma" w:cs="Tahoma"/>
          <w:color w:val="000000"/>
          <w:szCs w:val="24"/>
          <w:lang w:eastAsia="pl-PL"/>
        </w:rPr>
        <w:br/>
        <w:t xml:space="preserve"> i wpisując w tytule wiadomości „Konsultacje społeczne AKK”;</w:t>
      </w:r>
    </w:p>
    <w:p w14:paraId="19320840" w14:textId="63246189" w:rsidR="009A040A" w:rsidRPr="009A040A" w:rsidRDefault="009A040A" w:rsidP="00C55CC7">
      <w:pPr>
        <w:pStyle w:val="Akapitzlist"/>
        <w:numPr>
          <w:ilvl w:val="0"/>
          <w:numId w:val="24"/>
        </w:numPr>
        <w:spacing w:after="0" w:line="360" w:lineRule="auto"/>
        <w:ind w:left="357" w:hanging="357"/>
        <w:contextualSpacing w:val="0"/>
        <w:jc w:val="both"/>
        <w:rPr>
          <w:rFonts w:ascii="Tahoma" w:eastAsia="Times New Roman" w:hAnsi="Tahoma" w:cs="Tahoma"/>
          <w:color w:val="000000"/>
          <w:szCs w:val="24"/>
          <w:lang w:eastAsia="pl-PL"/>
        </w:rPr>
      </w:pPr>
      <w:r w:rsidRPr="009A040A">
        <w:rPr>
          <w:rFonts w:ascii="Tahoma" w:eastAsia="Times New Roman" w:hAnsi="Tahoma" w:cs="Tahoma"/>
          <w:color w:val="000000"/>
          <w:szCs w:val="24"/>
          <w:lang w:eastAsia="pl-PL"/>
        </w:rPr>
        <w:t xml:space="preserve">drogą korespondencyjną na adres: </w:t>
      </w:r>
      <w:r w:rsidR="00C55CC7" w:rsidRPr="00C55CC7">
        <w:rPr>
          <w:rFonts w:ascii="Tahoma" w:eastAsia="Times New Roman" w:hAnsi="Tahoma" w:cs="Tahoma"/>
          <w:color w:val="000000"/>
          <w:szCs w:val="24"/>
          <w:lang w:eastAsia="pl-PL"/>
        </w:rPr>
        <w:t>Zarządu Transportu Miejskiego w Rzeszowie, przy ul.</w:t>
      </w:r>
      <w:r w:rsidR="007F019A">
        <w:rPr>
          <w:rFonts w:ascii="Tahoma" w:eastAsia="Times New Roman" w:hAnsi="Tahoma" w:cs="Tahoma"/>
          <w:color w:val="000000"/>
          <w:szCs w:val="24"/>
          <w:lang w:eastAsia="pl-PL"/>
        </w:rPr>
        <w:t> </w:t>
      </w:r>
      <w:r w:rsidR="00C55CC7" w:rsidRPr="00C55CC7">
        <w:rPr>
          <w:rFonts w:ascii="Tahoma" w:eastAsia="Times New Roman" w:hAnsi="Tahoma" w:cs="Tahoma"/>
          <w:color w:val="000000"/>
          <w:szCs w:val="24"/>
          <w:lang w:eastAsia="pl-PL"/>
        </w:rPr>
        <w:t>Trembeckiego 3</w:t>
      </w:r>
      <w:r w:rsidRPr="009A040A">
        <w:rPr>
          <w:rFonts w:ascii="Tahoma" w:eastAsia="Times New Roman" w:hAnsi="Tahoma" w:cs="Tahoma"/>
          <w:color w:val="000000"/>
          <w:szCs w:val="24"/>
          <w:lang w:eastAsia="pl-PL"/>
        </w:rPr>
        <w:t xml:space="preserve">, </w:t>
      </w:r>
      <w:r w:rsidR="00C55CC7">
        <w:rPr>
          <w:rFonts w:ascii="Tahoma" w:eastAsia="Times New Roman" w:hAnsi="Tahoma" w:cs="Tahoma"/>
          <w:color w:val="000000"/>
          <w:szCs w:val="24"/>
          <w:lang w:eastAsia="pl-PL"/>
        </w:rPr>
        <w:t xml:space="preserve">35-234 </w:t>
      </w:r>
      <w:r w:rsidR="00FB29A8">
        <w:rPr>
          <w:rFonts w:ascii="Tahoma" w:eastAsia="Times New Roman" w:hAnsi="Tahoma" w:cs="Tahoma"/>
          <w:color w:val="000000"/>
          <w:szCs w:val="24"/>
          <w:lang w:eastAsia="pl-PL"/>
        </w:rPr>
        <w:t>Rzeszów</w:t>
      </w:r>
      <w:r w:rsidRPr="009A040A">
        <w:rPr>
          <w:rFonts w:ascii="Tahoma" w:eastAsia="Times New Roman" w:hAnsi="Tahoma" w:cs="Tahoma"/>
          <w:color w:val="000000"/>
          <w:szCs w:val="24"/>
          <w:lang w:eastAsia="pl-PL"/>
        </w:rPr>
        <w:t>,</w:t>
      </w:r>
      <w:r>
        <w:rPr>
          <w:rFonts w:ascii="Tahoma" w:eastAsia="Times New Roman" w:hAnsi="Tahoma" w:cs="Tahoma"/>
          <w:color w:val="000000"/>
          <w:szCs w:val="24"/>
          <w:lang w:eastAsia="pl-PL"/>
        </w:rPr>
        <w:t xml:space="preserve"> </w:t>
      </w:r>
      <w:r w:rsidRPr="009A040A">
        <w:rPr>
          <w:rFonts w:ascii="Tahoma" w:eastAsia="Times New Roman" w:hAnsi="Tahoma" w:cs="Tahoma"/>
          <w:color w:val="000000"/>
          <w:szCs w:val="24"/>
          <w:lang w:eastAsia="pl-PL"/>
        </w:rPr>
        <w:t xml:space="preserve">z dopiskiem „Konsultacje społeczne AKK” – w terminie do dnia </w:t>
      </w:r>
      <w:r w:rsidR="00C55CC7">
        <w:rPr>
          <w:rFonts w:ascii="Tahoma" w:eastAsia="Times New Roman" w:hAnsi="Tahoma" w:cs="Tahoma"/>
          <w:color w:val="000000"/>
          <w:szCs w:val="24"/>
          <w:lang w:eastAsia="pl-PL"/>
        </w:rPr>
        <w:t>…</w:t>
      </w:r>
      <w:r w:rsidRPr="009A040A">
        <w:rPr>
          <w:rFonts w:ascii="Tahoma" w:eastAsia="Times New Roman" w:hAnsi="Tahoma" w:cs="Tahoma"/>
          <w:color w:val="000000"/>
          <w:szCs w:val="24"/>
          <w:lang w:eastAsia="pl-PL"/>
        </w:rPr>
        <w:t xml:space="preserve"> </w:t>
      </w:r>
      <w:r w:rsidR="00C55CC7">
        <w:rPr>
          <w:rFonts w:ascii="Tahoma" w:eastAsia="Times New Roman" w:hAnsi="Tahoma" w:cs="Tahoma"/>
          <w:color w:val="000000"/>
          <w:szCs w:val="24"/>
          <w:lang w:eastAsia="pl-PL"/>
        </w:rPr>
        <w:t>…… 202…</w:t>
      </w:r>
      <w:r w:rsidRPr="009A040A">
        <w:rPr>
          <w:rFonts w:ascii="Tahoma" w:eastAsia="Times New Roman" w:hAnsi="Tahoma" w:cs="Tahoma"/>
          <w:color w:val="000000"/>
          <w:szCs w:val="24"/>
          <w:lang w:eastAsia="pl-PL"/>
        </w:rPr>
        <w:t xml:space="preserve"> r. (liczy</w:t>
      </w:r>
      <w:r>
        <w:rPr>
          <w:rFonts w:ascii="Tahoma" w:eastAsia="Times New Roman" w:hAnsi="Tahoma" w:cs="Tahoma"/>
          <w:color w:val="000000"/>
          <w:szCs w:val="24"/>
          <w:lang w:eastAsia="pl-PL"/>
        </w:rPr>
        <w:t>ła</w:t>
      </w:r>
      <w:r w:rsidRPr="009A040A">
        <w:rPr>
          <w:rFonts w:ascii="Tahoma" w:eastAsia="Times New Roman" w:hAnsi="Tahoma" w:cs="Tahoma"/>
          <w:color w:val="000000"/>
          <w:szCs w:val="24"/>
          <w:lang w:eastAsia="pl-PL"/>
        </w:rPr>
        <w:t xml:space="preserve"> się data wpływu)</w:t>
      </w:r>
    </w:p>
    <w:p w14:paraId="2F733AE5" w14:textId="6374DC5C" w:rsidR="009A040A" w:rsidRPr="009A040A" w:rsidRDefault="009A040A" w:rsidP="00C55CC7">
      <w:pPr>
        <w:ind w:firstLine="0"/>
        <w:rPr>
          <w:rFonts w:cs="Tahoma"/>
          <w:color w:val="000000"/>
        </w:rPr>
      </w:pPr>
      <w:r w:rsidRPr="009A040A">
        <w:rPr>
          <w:rFonts w:cs="Tahoma"/>
          <w:color w:val="000000"/>
        </w:rPr>
        <w:t xml:space="preserve">lub ustnie do protokołu </w:t>
      </w:r>
      <w:r w:rsidR="00C55CC7">
        <w:rPr>
          <w:rFonts w:cs="Tahoma"/>
          <w:color w:val="000000"/>
        </w:rPr>
        <w:t xml:space="preserve">w </w:t>
      </w:r>
      <w:r w:rsidR="00C55CC7" w:rsidRPr="00C55CC7">
        <w:rPr>
          <w:rFonts w:cs="Tahoma"/>
          <w:color w:val="000000"/>
        </w:rPr>
        <w:t>Zarzą</w:t>
      </w:r>
      <w:r w:rsidR="00C55CC7">
        <w:rPr>
          <w:rFonts w:cs="Tahoma"/>
          <w:color w:val="000000"/>
        </w:rPr>
        <w:t>dzie</w:t>
      </w:r>
      <w:r w:rsidR="00C55CC7" w:rsidRPr="00C55CC7">
        <w:rPr>
          <w:rFonts w:cs="Tahoma"/>
          <w:color w:val="000000"/>
        </w:rPr>
        <w:t xml:space="preserve"> Transportu Miejskiego w Rzeszowie, przy ul. Trembeckiego 3, 35-234 Rzeszów</w:t>
      </w:r>
      <w:r w:rsidRPr="009A040A">
        <w:rPr>
          <w:rFonts w:cs="Tahoma"/>
          <w:color w:val="000000"/>
        </w:rPr>
        <w:t xml:space="preserve">, pok. </w:t>
      </w:r>
      <w:r w:rsidR="00C55CC7">
        <w:rPr>
          <w:rFonts w:cs="Tahoma"/>
          <w:color w:val="000000"/>
        </w:rPr>
        <w:t>…</w:t>
      </w:r>
      <w:r w:rsidRPr="009A040A">
        <w:rPr>
          <w:rFonts w:cs="Tahoma"/>
          <w:color w:val="000000"/>
        </w:rPr>
        <w:t xml:space="preserve"> –</w:t>
      </w:r>
      <w:r>
        <w:rPr>
          <w:rFonts w:cs="Tahoma"/>
          <w:color w:val="000000"/>
        </w:rPr>
        <w:t xml:space="preserve"> </w:t>
      </w:r>
      <w:r w:rsidRPr="009A040A">
        <w:rPr>
          <w:rFonts w:cs="Tahoma"/>
          <w:color w:val="000000"/>
        </w:rPr>
        <w:t xml:space="preserve">w godzinach pracy </w:t>
      </w:r>
      <w:r w:rsidR="00C55CC7">
        <w:rPr>
          <w:rFonts w:cs="Tahoma"/>
          <w:color w:val="000000"/>
        </w:rPr>
        <w:t>Zarządu</w:t>
      </w:r>
      <w:r>
        <w:rPr>
          <w:rFonts w:cs="Tahoma"/>
          <w:color w:val="000000"/>
        </w:rPr>
        <w:t>,</w:t>
      </w:r>
      <w:r w:rsidRPr="009A040A">
        <w:rPr>
          <w:rFonts w:cs="Tahoma"/>
          <w:color w:val="000000"/>
        </w:rPr>
        <w:t xml:space="preserve"> tj. </w:t>
      </w:r>
      <w:r>
        <w:rPr>
          <w:rFonts w:cs="Tahoma"/>
          <w:color w:val="000000"/>
        </w:rPr>
        <w:t xml:space="preserve">w </w:t>
      </w:r>
      <w:r w:rsidRPr="009A040A">
        <w:rPr>
          <w:rFonts w:cs="Tahoma"/>
          <w:color w:val="000000"/>
        </w:rPr>
        <w:t>poniedział</w:t>
      </w:r>
      <w:r>
        <w:rPr>
          <w:rFonts w:cs="Tahoma"/>
          <w:color w:val="000000"/>
        </w:rPr>
        <w:t>e</w:t>
      </w:r>
      <w:r w:rsidRPr="009A040A">
        <w:rPr>
          <w:rFonts w:cs="Tahoma"/>
          <w:color w:val="000000"/>
        </w:rPr>
        <w:t xml:space="preserve">k od </w:t>
      </w:r>
      <w:r w:rsidR="00C55CC7">
        <w:rPr>
          <w:rFonts w:cs="Tahoma"/>
          <w:color w:val="000000"/>
        </w:rPr>
        <w:t>…</w:t>
      </w:r>
      <w:r w:rsidRPr="009A040A">
        <w:rPr>
          <w:rFonts w:cs="Tahoma"/>
          <w:color w:val="000000"/>
        </w:rPr>
        <w:t xml:space="preserve">do </w:t>
      </w:r>
      <w:r w:rsidR="00C55CC7">
        <w:rPr>
          <w:rFonts w:cs="Tahoma"/>
          <w:color w:val="000000"/>
        </w:rPr>
        <w:t>…</w:t>
      </w:r>
      <w:r w:rsidRPr="009A040A">
        <w:rPr>
          <w:rFonts w:cs="Tahoma"/>
          <w:color w:val="000000"/>
        </w:rPr>
        <w:t xml:space="preserve"> oraz od wtorku do piątku w godzinach od </w:t>
      </w:r>
      <w:r w:rsidR="00C55CC7">
        <w:rPr>
          <w:rFonts w:cs="Tahoma"/>
          <w:color w:val="000000"/>
        </w:rPr>
        <w:t>…</w:t>
      </w:r>
      <w:r w:rsidRPr="009A040A">
        <w:rPr>
          <w:rFonts w:cs="Tahoma"/>
          <w:color w:val="000000"/>
        </w:rPr>
        <w:t xml:space="preserve"> do</w:t>
      </w:r>
      <w:r>
        <w:rPr>
          <w:rFonts w:cs="Tahoma"/>
          <w:color w:val="000000"/>
        </w:rPr>
        <w:t> </w:t>
      </w:r>
      <w:r w:rsidR="00C55CC7">
        <w:rPr>
          <w:rFonts w:cs="Tahoma"/>
          <w:color w:val="000000"/>
        </w:rPr>
        <w:t>…</w:t>
      </w:r>
      <w:r w:rsidRPr="009A040A">
        <w:rPr>
          <w:rFonts w:cs="Tahoma"/>
          <w:color w:val="000000"/>
        </w:rPr>
        <w:t>.</w:t>
      </w:r>
    </w:p>
    <w:p w14:paraId="3BD8F0ED" w14:textId="365D6F71" w:rsidR="00C841CA" w:rsidRDefault="005C2756" w:rsidP="00C841CA">
      <w:pPr>
        <w:rPr>
          <w:b/>
          <w:bCs/>
          <w:color w:val="000000"/>
          <w:kern w:val="32"/>
          <w:sz w:val="28"/>
          <w:szCs w:val="32"/>
        </w:rPr>
      </w:pPr>
      <w:r w:rsidRPr="00821AF6">
        <w:rPr>
          <w:rFonts w:cs="Tahoma"/>
          <w:szCs w:val="22"/>
        </w:rPr>
        <w:t>Raport z konsultacji społecznych stanowi Załącznik nr 2 do analizy kosztów i korzyści. Uwagi uznane za zasadne przyjęto odpowiednio korygując projekt analizy skierowany do konsultacji.</w:t>
      </w:r>
      <w:bookmarkEnd w:id="25"/>
      <w:r w:rsidR="00C841CA">
        <w:rPr>
          <w:color w:val="000000"/>
        </w:rPr>
        <w:br w:type="page"/>
      </w:r>
    </w:p>
    <w:p w14:paraId="5DF83F66" w14:textId="26B9AAC4" w:rsidR="00370CFC" w:rsidRPr="00821AF6" w:rsidRDefault="00370CFC" w:rsidP="00370CFC">
      <w:pPr>
        <w:pStyle w:val="Nagwek1"/>
        <w:numPr>
          <w:ilvl w:val="0"/>
          <w:numId w:val="0"/>
        </w:numPr>
        <w:ind w:left="431"/>
        <w:rPr>
          <w:color w:val="000000"/>
        </w:rPr>
      </w:pPr>
      <w:bookmarkStart w:id="109" w:name="_Toc89417685"/>
      <w:r w:rsidRPr="00821AF6">
        <w:rPr>
          <w:color w:val="000000"/>
        </w:rPr>
        <w:lastRenderedPageBreak/>
        <w:t>Załącznik nr 1</w:t>
      </w:r>
      <w:r w:rsidRPr="00821AF6">
        <w:rPr>
          <w:color w:val="000000"/>
        </w:rPr>
        <w:br/>
        <w:t>Model finansowy</w:t>
      </w:r>
      <w:bookmarkEnd w:id="109"/>
    </w:p>
    <w:p w14:paraId="03C6502C" w14:textId="30AE8965" w:rsidR="00370CFC" w:rsidRPr="00821AF6" w:rsidRDefault="00370CFC" w:rsidP="00370CFC">
      <w:r w:rsidRPr="00821AF6">
        <w:t>Załącznik stanowi rozbudowany plik obliczeniowy w arkuszu kalkulacyjnym.</w:t>
      </w:r>
    </w:p>
    <w:p w14:paraId="32D9AA74" w14:textId="5EE7C4CE" w:rsidR="005C2756" w:rsidRPr="00821AF6" w:rsidRDefault="005C2756">
      <w:pPr>
        <w:spacing w:line="240" w:lineRule="auto"/>
        <w:ind w:firstLine="0"/>
        <w:jc w:val="left"/>
      </w:pPr>
      <w:r w:rsidRPr="00821AF6">
        <w:br w:type="page"/>
      </w:r>
    </w:p>
    <w:p w14:paraId="527B80BA" w14:textId="0F67CBFD" w:rsidR="005C2756" w:rsidRDefault="005C2756" w:rsidP="005C2756">
      <w:pPr>
        <w:pStyle w:val="Nagwek1"/>
        <w:numPr>
          <w:ilvl w:val="0"/>
          <w:numId w:val="0"/>
        </w:numPr>
        <w:ind w:left="431"/>
        <w:rPr>
          <w:color w:val="000000"/>
        </w:rPr>
      </w:pPr>
      <w:bookmarkStart w:id="110" w:name="_Toc89417686"/>
      <w:r w:rsidRPr="00821AF6">
        <w:rPr>
          <w:color w:val="000000"/>
        </w:rPr>
        <w:lastRenderedPageBreak/>
        <w:t>Załącznik nr 2</w:t>
      </w:r>
      <w:r w:rsidRPr="00821AF6">
        <w:rPr>
          <w:color w:val="000000"/>
        </w:rPr>
        <w:br/>
        <w:t>Raport z konsultacji społecznych</w:t>
      </w:r>
      <w:bookmarkEnd w:id="110"/>
    </w:p>
    <w:p w14:paraId="22031F8F" w14:textId="56F3E8FB" w:rsidR="00370CFC" w:rsidRPr="003D3934" w:rsidRDefault="003D3934" w:rsidP="003D3934">
      <w:bookmarkStart w:id="111" w:name="_Hlk85152197"/>
      <w:r w:rsidRPr="003D3934">
        <w:t>Załącznik powstanie po przeprowadzeniu konsultacji.</w:t>
      </w:r>
      <w:bookmarkEnd w:id="111"/>
    </w:p>
    <w:sectPr w:rsidR="00370CFC" w:rsidRPr="003D3934" w:rsidSect="00DA508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A97D" w14:textId="77777777" w:rsidR="00D40C53" w:rsidRDefault="00D40C53">
      <w:r>
        <w:separator/>
      </w:r>
    </w:p>
  </w:endnote>
  <w:endnote w:type="continuationSeparator" w:id="0">
    <w:p w14:paraId="426655C4" w14:textId="77777777" w:rsidR="00D40C53" w:rsidRDefault="00D4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tar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9FC7" w14:textId="77777777" w:rsidR="00187723" w:rsidRDefault="00187723">
    <w:pPr>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569822A" w14:textId="77777777" w:rsidR="00187723" w:rsidRDefault="0018772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D8AB" w14:textId="77777777" w:rsidR="00187723" w:rsidRPr="004109A4" w:rsidRDefault="00187723" w:rsidP="004109A4">
    <w:pPr>
      <w:pStyle w:val="Stopka"/>
      <w:jc w:val="right"/>
      <w:rPr>
        <w:sz w:val="18"/>
        <w:szCs w:val="18"/>
      </w:rPr>
    </w:pPr>
    <w:r w:rsidRPr="004109A4">
      <w:rPr>
        <w:sz w:val="18"/>
        <w:szCs w:val="18"/>
      </w:rPr>
      <w:fldChar w:fldCharType="begin"/>
    </w:r>
    <w:r w:rsidRPr="004109A4">
      <w:rPr>
        <w:sz w:val="18"/>
        <w:szCs w:val="18"/>
      </w:rPr>
      <w:instrText xml:space="preserve"> PAGE   \* MERGEFORMAT </w:instrText>
    </w:r>
    <w:r w:rsidRPr="004109A4">
      <w:rPr>
        <w:sz w:val="18"/>
        <w:szCs w:val="18"/>
      </w:rPr>
      <w:fldChar w:fldCharType="separate"/>
    </w:r>
    <w:r w:rsidR="00090AEF">
      <w:rPr>
        <w:noProof/>
        <w:sz w:val="18"/>
        <w:szCs w:val="18"/>
      </w:rPr>
      <w:t>2</w:t>
    </w:r>
    <w:r w:rsidRPr="004109A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2C85" w14:textId="77777777" w:rsidR="00187723" w:rsidRDefault="00187723" w:rsidP="00F845EB">
    <w:pPr>
      <w:pStyle w:val="Stopka"/>
      <w:pBdr>
        <w:top w:val="single" w:sz="12" w:space="1" w:color="0000FF"/>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9F00" w14:textId="77777777" w:rsidR="00187723" w:rsidRDefault="00187723">
    <w:pPr>
      <w:pStyle w:val="Stopka"/>
      <w:jc w:val="right"/>
    </w:pPr>
    <w:r>
      <w:rPr>
        <w:noProof/>
      </w:rPr>
      <w:fldChar w:fldCharType="begin"/>
    </w:r>
    <w:r>
      <w:rPr>
        <w:noProof/>
      </w:rPr>
      <w:instrText xml:space="preserve"> PAGE   \* MERGEFORMAT </w:instrText>
    </w:r>
    <w:r>
      <w:rPr>
        <w:noProof/>
      </w:rPr>
      <w:fldChar w:fldCharType="separate"/>
    </w:r>
    <w:r>
      <w:rPr>
        <w:noProof/>
      </w:rPr>
      <w:t>0</w:t>
    </w:r>
    <w:r>
      <w:rPr>
        <w:noProof/>
      </w:rPr>
      <w:fldChar w:fldCharType="end"/>
    </w:r>
  </w:p>
  <w:p w14:paraId="1F429413" w14:textId="77777777" w:rsidR="00187723" w:rsidRDefault="0018772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6D0E" w14:textId="77777777" w:rsidR="00187723" w:rsidRPr="004109A4" w:rsidRDefault="00187723">
    <w:pPr>
      <w:pStyle w:val="Stopka"/>
      <w:jc w:val="right"/>
      <w:rPr>
        <w:sz w:val="18"/>
        <w:szCs w:val="18"/>
      </w:rPr>
    </w:pPr>
    <w:r w:rsidRPr="004109A4">
      <w:rPr>
        <w:sz w:val="18"/>
        <w:szCs w:val="18"/>
      </w:rPr>
      <w:fldChar w:fldCharType="begin"/>
    </w:r>
    <w:r w:rsidRPr="004109A4">
      <w:rPr>
        <w:sz w:val="18"/>
        <w:szCs w:val="18"/>
      </w:rPr>
      <w:instrText xml:space="preserve"> PAGE   \* MERGEFORMAT </w:instrText>
    </w:r>
    <w:r w:rsidRPr="004109A4">
      <w:rPr>
        <w:sz w:val="18"/>
        <w:szCs w:val="18"/>
      </w:rPr>
      <w:fldChar w:fldCharType="separate"/>
    </w:r>
    <w:r w:rsidR="00090AEF">
      <w:rPr>
        <w:noProof/>
        <w:sz w:val="18"/>
        <w:szCs w:val="18"/>
      </w:rPr>
      <w:t>67</w:t>
    </w:r>
    <w:r w:rsidRPr="004109A4">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C94B" w14:textId="77777777" w:rsidR="00187723" w:rsidRPr="004109A4" w:rsidRDefault="00187723">
    <w:pPr>
      <w:pStyle w:val="Stopka"/>
      <w:jc w:val="right"/>
      <w:rPr>
        <w:sz w:val="18"/>
        <w:szCs w:val="18"/>
      </w:rPr>
    </w:pPr>
    <w:r w:rsidRPr="004109A4">
      <w:rPr>
        <w:sz w:val="18"/>
        <w:szCs w:val="18"/>
      </w:rPr>
      <w:fldChar w:fldCharType="begin"/>
    </w:r>
    <w:r w:rsidRPr="004109A4">
      <w:rPr>
        <w:sz w:val="18"/>
        <w:szCs w:val="18"/>
      </w:rPr>
      <w:instrText xml:space="preserve"> PAGE   \* MERGEFORMAT </w:instrText>
    </w:r>
    <w:r w:rsidRPr="004109A4">
      <w:rPr>
        <w:sz w:val="18"/>
        <w:szCs w:val="18"/>
      </w:rPr>
      <w:fldChar w:fldCharType="separate"/>
    </w:r>
    <w:r w:rsidR="00090AEF">
      <w:rPr>
        <w:noProof/>
        <w:sz w:val="18"/>
        <w:szCs w:val="18"/>
      </w:rPr>
      <w:t>73</w:t>
    </w:r>
    <w:r w:rsidRPr="004109A4">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1D4D" w14:textId="77777777" w:rsidR="00187723" w:rsidRPr="004109A4" w:rsidRDefault="00187723">
    <w:pPr>
      <w:pStyle w:val="Stopka"/>
      <w:jc w:val="right"/>
      <w:rPr>
        <w:sz w:val="18"/>
        <w:szCs w:val="18"/>
      </w:rPr>
    </w:pPr>
    <w:r w:rsidRPr="004109A4">
      <w:rPr>
        <w:sz w:val="18"/>
        <w:szCs w:val="18"/>
      </w:rPr>
      <w:fldChar w:fldCharType="begin"/>
    </w:r>
    <w:r w:rsidRPr="004109A4">
      <w:rPr>
        <w:sz w:val="18"/>
        <w:szCs w:val="18"/>
      </w:rPr>
      <w:instrText xml:space="preserve"> PAGE   \* MERGEFORMAT </w:instrText>
    </w:r>
    <w:r w:rsidRPr="004109A4">
      <w:rPr>
        <w:sz w:val="18"/>
        <w:szCs w:val="18"/>
      </w:rPr>
      <w:fldChar w:fldCharType="separate"/>
    </w:r>
    <w:r w:rsidR="00090AEF">
      <w:rPr>
        <w:noProof/>
        <w:sz w:val="18"/>
        <w:szCs w:val="18"/>
      </w:rPr>
      <w:t>120</w:t>
    </w:r>
    <w:r w:rsidRPr="004109A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8AD8" w14:textId="77777777" w:rsidR="00D40C53" w:rsidRDefault="00D40C53">
      <w:r>
        <w:separator/>
      </w:r>
    </w:p>
  </w:footnote>
  <w:footnote w:type="continuationSeparator" w:id="0">
    <w:p w14:paraId="0A1D7BA7" w14:textId="77777777" w:rsidR="00D40C53" w:rsidRDefault="00D40C53">
      <w:r>
        <w:continuationSeparator/>
      </w:r>
    </w:p>
  </w:footnote>
  <w:footnote w:id="1">
    <w:p w14:paraId="629C1F18" w14:textId="62E7D70C" w:rsidR="00187723" w:rsidRDefault="00187723" w:rsidP="005C3DFB">
      <w:pPr>
        <w:pStyle w:val="Tekstprzypisudolnego"/>
        <w:jc w:val="both"/>
      </w:pPr>
      <w:r>
        <w:rPr>
          <w:rStyle w:val="Odwoanieprzypisudolnego"/>
        </w:rPr>
        <w:footnoteRef/>
      </w:r>
      <w:r>
        <w:t> „Zasady opracowania wymaganej ustawą o elektromobilności i paliwach alternatywnych analizy korzyści i kosztów związanych z wykorzystaniem autobusów zeroemisyjnych przy świadczeniu usług komunikacji miejskiej. Praktyczny przewodnik dla samorządów”. IGKM Warszawa, 2018 r.</w:t>
      </w:r>
    </w:p>
  </w:footnote>
  <w:footnote w:id="2">
    <w:p w14:paraId="5AF4526C" w14:textId="77777777" w:rsidR="00187723" w:rsidRDefault="00187723" w:rsidP="005112A8">
      <w:pPr>
        <w:pStyle w:val="Tekstprzypisudolnego"/>
      </w:pPr>
      <w:r>
        <w:rPr>
          <w:rStyle w:val="Odwoanieprzypisudolnego"/>
        </w:rPr>
        <w:footnoteRef/>
      </w:r>
      <w:r>
        <w:t xml:space="preserve"> FRR/c – </w:t>
      </w:r>
      <w:r w:rsidRPr="00716B44">
        <w:t>finansowa wewnętrzna stopa zwrotu z inwestycji</w:t>
      </w:r>
      <w:r>
        <w:t>.</w:t>
      </w:r>
    </w:p>
  </w:footnote>
  <w:footnote w:id="3">
    <w:p w14:paraId="6A0AE880" w14:textId="77777777" w:rsidR="00187723" w:rsidRDefault="00187723" w:rsidP="005112A8">
      <w:pPr>
        <w:pStyle w:val="Tekstprzypisudolnego"/>
      </w:pPr>
      <w:r>
        <w:rPr>
          <w:rStyle w:val="Odwoanieprzypisudolnego"/>
        </w:rPr>
        <w:footnoteRef/>
      </w:r>
      <w:r>
        <w:t xml:space="preserve"> FNPV/c – f</w:t>
      </w:r>
      <w:r w:rsidRPr="00716B44">
        <w:t>inansowa zaktualizowana wartość netto</w:t>
      </w:r>
      <w:r>
        <w:t>.</w:t>
      </w:r>
    </w:p>
  </w:footnote>
  <w:footnote w:id="4">
    <w:p w14:paraId="216B27CF" w14:textId="77777777" w:rsidR="00187723" w:rsidRDefault="00187723" w:rsidP="006303C4">
      <w:pPr>
        <w:pStyle w:val="Tekstprzypisudolnego"/>
      </w:pPr>
      <w:r>
        <w:rPr>
          <w:rStyle w:val="Odwoanieprzypisudolnego"/>
        </w:rPr>
        <w:footnoteRef/>
      </w:r>
      <w:r>
        <w:t xml:space="preserve"> ERR – </w:t>
      </w:r>
      <w:r w:rsidRPr="00716B44">
        <w:t>ekonomiczna wewnętrzna stopa zwrotu</w:t>
      </w:r>
      <w:r>
        <w:t>.</w:t>
      </w:r>
    </w:p>
  </w:footnote>
  <w:footnote w:id="5">
    <w:p w14:paraId="26E2E8D9" w14:textId="77777777" w:rsidR="00187723" w:rsidRDefault="00187723" w:rsidP="006303C4">
      <w:pPr>
        <w:pStyle w:val="Tekstprzypisudolnego"/>
      </w:pPr>
      <w:r>
        <w:rPr>
          <w:rStyle w:val="Odwoanieprzypisudolnego"/>
        </w:rPr>
        <w:footnoteRef/>
      </w:r>
      <w:r>
        <w:t xml:space="preserve"> ENPV – </w:t>
      </w:r>
      <w:r w:rsidRPr="00716B44">
        <w:t>ekonomiczna wartość bieżąca projektu</w:t>
      </w:r>
      <w:r>
        <w:t>.</w:t>
      </w:r>
    </w:p>
  </w:footnote>
  <w:footnote w:id="6">
    <w:p w14:paraId="6A0B8C98" w14:textId="77777777" w:rsidR="00187723" w:rsidRDefault="00187723" w:rsidP="006303C4">
      <w:pPr>
        <w:pStyle w:val="Tekstprzypisudolnego"/>
      </w:pPr>
      <w:r>
        <w:rPr>
          <w:rStyle w:val="Odwoanieprzypisudolnego"/>
        </w:rPr>
        <w:footnoteRef/>
      </w:r>
      <w:r>
        <w:t xml:space="preserve"> BCR – </w:t>
      </w:r>
      <w:r w:rsidRPr="00716B44">
        <w:t>stosunek sumy zdyskontowanych korzyści projektu do zdyskontowanych kosztów</w:t>
      </w:r>
      <w:r>
        <w:t>.</w:t>
      </w:r>
    </w:p>
  </w:footnote>
  <w:footnote w:id="7">
    <w:p w14:paraId="16062DB9" w14:textId="193F953C" w:rsidR="00187723" w:rsidRDefault="00187723" w:rsidP="00650340">
      <w:pPr>
        <w:pStyle w:val="Tekstprzypisudolnego"/>
        <w:jc w:val="both"/>
      </w:pPr>
      <w:r>
        <w:rPr>
          <w:rStyle w:val="Odwoanieprzypisudolnego"/>
        </w:rPr>
        <w:footnoteRef/>
      </w:r>
      <w:r>
        <w:t xml:space="preserve"> Strategia przyjęta uchwałą nr XXVII/458/20 Sejmiku Województwa Podkarpackiego z dnia 28 września 2020 r.</w:t>
      </w:r>
    </w:p>
  </w:footnote>
  <w:footnote w:id="8">
    <w:p w14:paraId="6C1EA501" w14:textId="77777777" w:rsidR="00187723" w:rsidRDefault="00187723" w:rsidP="00715F5A">
      <w:pPr>
        <w:pStyle w:val="Tekstprzypisudolnego"/>
      </w:pPr>
      <w:r>
        <w:rPr>
          <w:rStyle w:val="Odwoanieprzypisudolnego"/>
        </w:rPr>
        <w:footnoteRef/>
      </w:r>
      <w:r>
        <w:t xml:space="preserve"> Przyjęty uchwałą Zarządu Województwa Podkarpackiego nr 129/2815/15.</w:t>
      </w:r>
    </w:p>
  </w:footnote>
  <w:footnote w:id="9">
    <w:p w14:paraId="1459ECC1" w14:textId="56DB8E76" w:rsidR="00187723" w:rsidRDefault="00187723" w:rsidP="006F6A8C">
      <w:pPr>
        <w:pStyle w:val="Tekstprzypisudolnego"/>
      </w:pPr>
      <w:r>
        <w:rPr>
          <w:rStyle w:val="Odwoanieprzypisudolnego"/>
        </w:rPr>
        <w:footnoteRef/>
      </w:r>
      <w:r>
        <w:t xml:space="preserve"> </w:t>
      </w:r>
      <w:r w:rsidRPr="00B87B77">
        <w:t>www.rof.org.pl</w:t>
      </w:r>
      <w:r>
        <w:t>, dostęp 30.10.2021 r.</w:t>
      </w:r>
    </w:p>
  </w:footnote>
  <w:footnote w:id="10">
    <w:p w14:paraId="313097D5" w14:textId="77777777" w:rsidR="00187723" w:rsidRDefault="00187723" w:rsidP="00252512">
      <w:pPr>
        <w:pStyle w:val="Tekstprzypisudolnego"/>
      </w:pPr>
      <w:r>
        <w:rPr>
          <w:rStyle w:val="Odwoanieprzypisudolnego"/>
        </w:rPr>
        <w:footnoteRef/>
      </w:r>
      <w:r>
        <w:t xml:space="preserve"> Przyjęte uchwałą nr XVI/319/2015 Rady Miasta Rzeszowa z dnia 13 października 2015 r.</w:t>
      </w:r>
    </w:p>
  </w:footnote>
  <w:footnote w:id="11">
    <w:p w14:paraId="167A59EC" w14:textId="77777777" w:rsidR="00187723" w:rsidRDefault="00187723" w:rsidP="005544B6">
      <w:pPr>
        <w:pStyle w:val="Tekstprzypisudolnego"/>
      </w:pPr>
      <w:r>
        <w:rPr>
          <w:rStyle w:val="Odwoanieprzypisudolnego"/>
        </w:rPr>
        <w:footnoteRef/>
      </w:r>
      <w:r>
        <w:t xml:space="preserve"> Przyjęty uchwałą Rady Miasta Rzeszowa nr XVI/321/2015 z dnia 13 października 2015 r., zmienionej uchwałą nr XXXI/655/2016 z dnia 27 września 2016 r.</w:t>
      </w:r>
    </w:p>
  </w:footnote>
  <w:footnote w:id="12">
    <w:p w14:paraId="42D05E25" w14:textId="77777777" w:rsidR="00187723" w:rsidRDefault="00187723" w:rsidP="00085A63">
      <w:pPr>
        <w:pStyle w:val="Tekstprzypisudolnego"/>
      </w:pPr>
      <w:r>
        <w:rPr>
          <w:rStyle w:val="Odwoanieprzypisudolnego"/>
        </w:rPr>
        <w:footnoteRef/>
      </w:r>
      <w:r>
        <w:t xml:space="preserve"> Przyjęty uchwałą Rady Miasta Rzeszowa nr XVI/320/2015 z dnia 13 października 2015 r., zmieniony uchwałą nr XX/419/2015 z dnia 22 grudnia 2015 r.</w:t>
      </w:r>
    </w:p>
  </w:footnote>
  <w:footnote w:id="13">
    <w:p w14:paraId="4CFD59CF" w14:textId="4E72D3F7" w:rsidR="00187723" w:rsidRDefault="00187723" w:rsidP="0080049A">
      <w:pPr>
        <w:pStyle w:val="Tekstprzypisudolnego"/>
      </w:pPr>
      <w:r>
        <w:rPr>
          <w:rStyle w:val="Odwoanieprzypisudolnego"/>
        </w:rPr>
        <w:footnoteRef/>
      </w:r>
      <w:r>
        <w:t xml:space="preserve"> Strategia przyjęta uchwałą Rady Miasta Rzeszowa nr XXII/452/2016 z dnia 26 stycznia 2016r., zmienioną uchwałą nr XXIII/489/2016 z dnia 1 marca 2016 r.</w:t>
      </w:r>
    </w:p>
  </w:footnote>
  <w:footnote w:id="14">
    <w:p w14:paraId="6D0D35DD" w14:textId="77777777" w:rsidR="00187723" w:rsidRDefault="00187723" w:rsidP="0066530E">
      <w:pPr>
        <w:pStyle w:val="Tekstprzypisudolnego"/>
      </w:pPr>
      <w:r>
        <w:rPr>
          <w:rStyle w:val="Odwoanieprzypisudolnego"/>
        </w:rPr>
        <w:footnoteRef/>
      </w:r>
      <w:r>
        <w:t xml:space="preserve"> Plan przyjęty uchwałą nr XLVIII/1031/2017 Rady Miasta Rzeszowa z dnia 29 sierpnia 2017 r.</w:t>
      </w:r>
    </w:p>
  </w:footnote>
  <w:footnote w:id="15">
    <w:p w14:paraId="30C460B1" w14:textId="40F96964" w:rsidR="00187723" w:rsidRDefault="00187723">
      <w:pPr>
        <w:pStyle w:val="Tekstprzypisudolnego"/>
      </w:pPr>
      <w:r>
        <w:rPr>
          <w:rStyle w:val="Odwoanieprzypisudolnego"/>
        </w:rPr>
        <w:footnoteRef/>
      </w:r>
      <w:r>
        <w:t xml:space="preserve"> Plan przyjęty uchwałą nr XLIII/901/2021 Rady Miasta Rzeszowa z dnia 23 lutego 2021 r.</w:t>
      </w:r>
    </w:p>
  </w:footnote>
  <w:footnote w:id="16">
    <w:p w14:paraId="07FB26E5" w14:textId="77777777" w:rsidR="00187723" w:rsidRDefault="00187723" w:rsidP="00E62606">
      <w:pPr>
        <w:pStyle w:val="Tekstprzypisudolnego"/>
        <w:jc w:val="both"/>
      </w:pPr>
      <w:r>
        <w:rPr>
          <w:rStyle w:val="Odwoanieprzypisudolnego"/>
        </w:rPr>
        <w:footnoteRef/>
      </w:r>
      <w:r>
        <w:t xml:space="preserve"> </w:t>
      </w:r>
      <w:r w:rsidRPr="00EA6962">
        <w:t>Dyrektywa Parlamentu Europejskiego i Rady (UE) 2019/1161 z dnia 20 czerwca 2019 r. zmieniająca dyrektywę 2009/33/WE w sprawie promowania ekologicznie czystych i energooszczędnych pojazdów transportu drogowego</w:t>
      </w:r>
    </w:p>
  </w:footnote>
  <w:footnote w:id="17">
    <w:p w14:paraId="7E7340F0" w14:textId="611A64C9" w:rsidR="00187723" w:rsidRPr="00273D44" w:rsidRDefault="00187723" w:rsidP="000C512A">
      <w:pPr>
        <w:pStyle w:val="Tekstprzypisudolnego"/>
      </w:pPr>
      <w:r w:rsidRPr="00A64198">
        <w:rPr>
          <w:rStyle w:val="Odwoanieprzypisudolnego"/>
        </w:rPr>
        <w:footnoteRef/>
      </w:r>
      <w:r w:rsidRPr="00273D44">
        <w:t xml:space="preserve"> http://www.kobize.pl/pl/fileCategory/id/16/krajowa-inwe</w:t>
      </w:r>
      <w:r>
        <w:t>ntaryzacja-emisji, dostęp: 20.11</w:t>
      </w:r>
      <w:r w:rsidRPr="00273D44">
        <w:t>.2021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E516" w14:textId="0D247F42" w:rsidR="00187723" w:rsidRPr="00FF47DE" w:rsidRDefault="00187723" w:rsidP="00BB6CA0">
    <w:pPr>
      <w:pStyle w:val="Nagwek"/>
      <w:pBdr>
        <w:bottom w:val="single" w:sz="12" w:space="1" w:color="0000FF"/>
      </w:pBdr>
      <w:ind w:firstLine="0"/>
      <w:jc w:val="right"/>
      <w:rPr>
        <w:color w:val="0000FF"/>
        <w:sz w:val="18"/>
        <w:szCs w:val="18"/>
      </w:rPr>
    </w:pPr>
    <w:r w:rsidRPr="00550BBA">
      <w:rPr>
        <w:b/>
        <w:noProof/>
        <w:color w:val="008000"/>
        <w:sz w:val="52"/>
        <w:szCs w:val="52"/>
      </w:rPr>
      <w:drawing>
        <wp:anchor distT="0" distB="0" distL="114300" distR="114300" simplePos="0" relativeHeight="251659264" behindDoc="0" locked="0" layoutInCell="1" allowOverlap="0" wp14:anchorId="7067CACF" wp14:editId="513B784F">
          <wp:simplePos x="0" y="0"/>
          <wp:positionH relativeFrom="margin">
            <wp:align>left</wp:align>
          </wp:positionH>
          <wp:positionV relativeFrom="paragraph">
            <wp:posOffset>-87666</wp:posOffset>
          </wp:positionV>
          <wp:extent cx="579600" cy="212400"/>
          <wp:effectExtent l="0" t="0" r="0" b="0"/>
          <wp:wrapSquare wrapText="bothSides"/>
          <wp:docPr id="21" name="Obraz 21" descr="k_PT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_PT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600" cy="21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FF"/>
        <w:sz w:val="18"/>
        <w:szCs w:val="18"/>
      </w:rPr>
      <w:t>Analiza kosztów i korzyści związanych z wykorzystaniem […] autobusów zeroemisyjnych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B761" w14:textId="77777777" w:rsidR="00187723" w:rsidRDefault="00187723" w:rsidP="00F845EB">
    <w:pPr>
      <w:pStyle w:val="Nagwek"/>
      <w:pBdr>
        <w:bottom w:val="single" w:sz="12" w:space="1" w:color="0000FF"/>
      </w:pBdr>
      <w:ind w:firstLine="0"/>
      <w:rPr>
        <w:color w:val="008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10AD" w14:textId="6D83DEF6" w:rsidR="00187723" w:rsidRPr="006E6F0E" w:rsidRDefault="00187723" w:rsidP="00535063">
    <w:pPr>
      <w:pStyle w:val="Nagwek"/>
      <w:pBdr>
        <w:bottom w:val="single" w:sz="12" w:space="1" w:color="0000FF"/>
      </w:pBdr>
      <w:ind w:firstLine="0"/>
      <w:jc w:val="left"/>
      <w:rPr>
        <w:color w:val="0000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08C019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000BCE6"/>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7"/>
    <w:lvl w:ilvl="0">
      <w:start w:val="1"/>
      <w:numFmt w:val="lowerLetter"/>
      <w:lvlText w:val="%1)"/>
      <w:lvlJc w:val="left"/>
      <w:pPr>
        <w:tabs>
          <w:tab w:val="num" w:pos="1068"/>
        </w:tabs>
        <w:ind w:left="1068" w:hanging="360"/>
      </w:pPr>
      <w:rPr>
        <w:rFonts w:ascii="Arial" w:eastAsia="Times New Roman" w:hAnsi="Arial"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rFonts w:eastAsia="Times New Roman"/>
      </w:rPr>
    </w:lvl>
    <w:lvl w:ilvl="2">
      <w:start w:val="1"/>
      <w:numFmt w:val="decimal"/>
      <w:lvlText w:val="%3."/>
      <w:lvlJc w:val="left"/>
      <w:pPr>
        <w:tabs>
          <w:tab w:val="num" w:pos="1440"/>
        </w:tabs>
        <w:ind w:left="1440" w:hanging="360"/>
      </w:pPr>
      <w:rPr>
        <w:rFonts w:eastAsia="Times New Roman"/>
      </w:rPr>
    </w:lvl>
    <w:lvl w:ilvl="3">
      <w:start w:val="1"/>
      <w:numFmt w:val="decimal"/>
      <w:lvlText w:val="%4."/>
      <w:lvlJc w:val="left"/>
      <w:pPr>
        <w:tabs>
          <w:tab w:val="num" w:pos="1800"/>
        </w:tabs>
        <w:ind w:left="1800" w:hanging="360"/>
      </w:pPr>
      <w:rPr>
        <w:rFonts w:eastAsia="Times New Roman"/>
      </w:rPr>
    </w:lvl>
    <w:lvl w:ilvl="4">
      <w:start w:val="1"/>
      <w:numFmt w:val="decimal"/>
      <w:lvlText w:val="%5."/>
      <w:lvlJc w:val="left"/>
      <w:pPr>
        <w:tabs>
          <w:tab w:val="num" w:pos="2160"/>
        </w:tabs>
        <w:ind w:left="2160" w:hanging="360"/>
      </w:pPr>
      <w:rPr>
        <w:rFonts w:eastAsia="Times New Roman"/>
      </w:rPr>
    </w:lvl>
    <w:lvl w:ilvl="5">
      <w:start w:val="1"/>
      <w:numFmt w:val="decimal"/>
      <w:lvlText w:val="%6."/>
      <w:lvlJc w:val="left"/>
      <w:pPr>
        <w:tabs>
          <w:tab w:val="num" w:pos="2520"/>
        </w:tabs>
        <w:ind w:left="2520" w:hanging="360"/>
      </w:pPr>
      <w:rPr>
        <w:rFonts w:eastAsia="Times New Roman"/>
      </w:rPr>
    </w:lvl>
    <w:lvl w:ilvl="6">
      <w:start w:val="1"/>
      <w:numFmt w:val="decimal"/>
      <w:lvlText w:val="%7."/>
      <w:lvlJc w:val="left"/>
      <w:pPr>
        <w:tabs>
          <w:tab w:val="num" w:pos="2880"/>
        </w:tabs>
        <w:ind w:left="2880" w:hanging="360"/>
      </w:pPr>
      <w:rPr>
        <w:rFonts w:eastAsia="Times New Roman"/>
      </w:rPr>
    </w:lvl>
    <w:lvl w:ilvl="7">
      <w:start w:val="1"/>
      <w:numFmt w:val="decimal"/>
      <w:lvlText w:val="%8."/>
      <w:lvlJc w:val="left"/>
      <w:pPr>
        <w:tabs>
          <w:tab w:val="num" w:pos="3240"/>
        </w:tabs>
        <w:ind w:left="3240" w:hanging="360"/>
      </w:pPr>
      <w:rPr>
        <w:rFonts w:eastAsia="Times New Roman"/>
      </w:rPr>
    </w:lvl>
    <w:lvl w:ilvl="8">
      <w:start w:val="1"/>
      <w:numFmt w:val="decimal"/>
      <w:lvlText w:val="%9."/>
      <w:lvlJc w:val="left"/>
      <w:pPr>
        <w:tabs>
          <w:tab w:val="num" w:pos="3600"/>
        </w:tabs>
        <w:ind w:left="3600" w:hanging="360"/>
      </w:pPr>
      <w:rPr>
        <w:rFonts w:eastAsia="Times New Roman"/>
      </w:rPr>
    </w:lvl>
  </w:abstractNum>
  <w:abstractNum w:abstractNumId="4" w15:restartNumberingAfterBreak="0">
    <w:nsid w:val="00000006"/>
    <w:multiLevelType w:val="singleLevel"/>
    <w:tmpl w:val="00000006"/>
    <w:name w:val="WW8Num14"/>
    <w:lvl w:ilvl="0">
      <w:start w:val="1"/>
      <w:numFmt w:val="lowerLetter"/>
      <w:lvlText w:val="%1)"/>
      <w:lvlJc w:val="left"/>
      <w:pPr>
        <w:tabs>
          <w:tab w:val="num" w:pos="0"/>
        </w:tabs>
        <w:ind w:left="1091" w:hanging="360"/>
      </w:p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rPr>
        <w:b w:val="0"/>
        <w:bCs w:val="0"/>
      </w:rPr>
    </w:lvl>
    <w:lvl w:ilvl="3">
      <w:start w:val="1"/>
      <w:numFmt w:val="decimal"/>
      <w:lvlText w:val="%4."/>
      <w:lvlJc w:val="left"/>
      <w:pPr>
        <w:tabs>
          <w:tab w:val="num" w:pos="2880"/>
        </w:tabs>
        <w:ind w:left="2880" w:hanging="360"/>
      </w:pPr>
      <w:rPr>
        <w:b w:val="0"/>
        <w:bCs w:val="0"/>
      </w:rPr>
    </w:lvl>
    <w:lvl w:ilvl="4">
      <w:start w:val="1"/>
      <w:numFmt w:val="decimal"/>
      <w:lvlText w:val="%5."/>
      <w:lvlJc w:val="left"/>
      <w:pPr>
        <w:tabs>
          <w:tab w:val="num" w:pos="3600"/>
        </w:tabs>
        <w:ind w:left="3600" w:hanging="360"/>
      </w:pPr>
      <w:rPr>
        <w:b w:val="0"/>
        <w:bCs w:val="0"/>
      </w:rPr>
    </w:lvl>
    <w:lvl w:ilvl="5">
      <w:start w:val="1"/>
      <w:numFmt w:val="decimal"/>
      <w:lvlText w:val="%6."/>
      <w:lvlJc w:val="left"/>
      <w:pPr>
        <w:tabs>
          <w:tab w:val="num" w:pos="4320"/>
        </w:tabs>
        <w:ind w:left="4320" w:hanging="360"/>
      </w:pPr>
      <w:rPr>
        <w:b w:val="0"/>
        <w:bCs w:val="0"/>
      </w:rPr>
    </w:lvl>
    <w:lvl w:ilvl="6">
      <w:start w:val="1"/>
      <w:numFmt w:val="decimal"/>
      <w:lvlText w:val="%7."/>
      <w:lvlJc w:val="left"/>
      <w:pPr>
        <w:tabs>
          <w:tab w:val="num" w:pos="5040"/>
        </w:tabs>
        <w:ind w:left="5040" w:hanging="360"/>
      </w:pPr>
      <w:rPr>
        <w:b w:val="0"/>
        <w:bCs w:val="0"/>
      </w:rPr>
    </w:lvl>
    <w:lvl w:ilvl="7">
      <w:start w:val="1"/>
      <w:numFmt w:val="decimal"/>
      <w:lvlText w:val="%8."/>
      <w:lvlJc w:val="left"/>
      <w:pPr>
        <w:tabs>
          <w:tab w:val="num" w:pos="5760"/>
        </w:tabs>
        <w:ind w:left="5760" w:hanging="360"/>
      </w:pPr>
      <w:rPr>
        <w:b w:val="0"/>
        <w:bCs w:val="0"/>
      </w:rPr>
    </w:lvl>
    <w:lvl w:ilvl="8">
      <w:start w:val="1"/>
      <w:numFmt w:val="decimal"/>
      <w:lvlText w:val="%9."/>
      <w:lvlJc w:val="left"/>
      <w:pPr>
        <w:tabs>
          <w:tab w:val="num" w:pos="6480"/>
        </w:tabs>
        <w:ind w:left="6480" w:hanging="360"/>
      </w:pPr>
      <w:rPr>
        <w:b w:val="0"/>
        <w:bCs w:val="0"/>
      </w:rPr>
    </w:lvl>
  </w:abstractNum>
  <w:abstractNum w:abstractNumId="7" w15:restartNumberingAfterBreak="0">
    <w:nsid w:val="00000010"/>
    <w:multiLevelType w:val="multilevel"/>
    <w:tmpl w:val="12A8F52E"/>
    <w:name w:val="WW8Num1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2"/>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rPr>
    </w:lvl>
    <w:lvl w:ilvl="4">
      <w:start w:val="2"/>
      <w:numFmt w:val="decimal"/>
      <w:lvlText w:val="%5."/>
      <w:lvlJc w:val="left"/>
      <w:pPr>
        <w:tabs>
          <w:tab w:val="num" w:pos="2160"/>
        </w:tabs>
        <w:ind w:left="2160" w:hanging="360"/>
      </w:pPr>
      <w:rPr>
        <w:rFonts w:hint="default"/>
      </w:rPr>
    </w:lvl>
    <w:lvl w:ilvl="5">
      <w:start w:val="2"/>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2"/>
      <w:numFmt w:val="decimal"/>
      <w:lvlText w:val="%8."/>
      <w:lvlJc w:val="left"/>
      <w:pPr>
        <w:tabs>
          <w:tab w:val="num" w:pos="3240"/>
        </w:tabs>
        <w:ind w:left="3240" w:hanging="360"/>
      </w:pPr>
      <w:rPr>
        <w:rFonts w:hint="default"/>
      </w:rPr>
    </w:lvl>
    <w:lvl w:ilvl="8">
      <w:start w:val="2"/>
      <w:numFmt w:val="decimal"/>
      <w:lvlText w:val="%9."/>
      <w:lvlJc w:val="left"/>
      <w:pPr>
        <w:tabs>
          <w:tab w:val="num" w:pos="3600"/>
        </w:tabs>
        <w:ind w:left="3600" w:hanging="360"/>
      </w:pPr>
      <w:rPr>
        <w:rFonts w:hint="default"/>
      </w:rPr>
    </w:lvl>
  </w:abstractNum>
  <w:abstractNum w:abstractNumId="8" w15:restartNumberingAfterBreak="0">
    <w:nsid w:val="00000017"/>
    <w:multiLevelType w:val="multilevel"/>
    <w:tmpl w:val="00000017"/>
    <w:name w:val="WW8Num2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9"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10" w15:restartNumberingAfterBreak="0">
    <w:nsid w:val="0000001B"/>
    <w:multiLevelType w:val="multilevel"/>
    <w:tmpl w:val="520E446A"/>
    <w:name w:val="WW8Num27"/>
    <w:lvl w:ilvl="0">
      <w:start w:val="1"/>
      <w:numFmt w:val="decimal"/>
      <w:lvlText w:val="%1."/>
      <w:lvlJc w:val="left"/>
      <w:pPr>
        <w:tabs>
          <w:tab w:val="num" w:pos="720"/>
        </w:tabs>
        <w:ind w:left="720" w:hanging="360"/>
      </w:pPr>
      <w:rPr>
        <w:rFonts w:ascii="Tahoma" w:hAnsi="Tahoma" w:cs="Tahoma"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1" w15:restartNumberingAfterBreak="0">
    <w:nsid w:val="0000001C"/>
    <w:multiLevelType w:val="multilevel"/>
    <w:tmpl w:val="62A8311C"/>
    <w:name w:val="WW8Num28"/>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rPr>
        <w:i w:val="0"/>
      </w:rPr>
    </w:lvl>
    <w:lvl w:ilvl="2">
      <w:start w:val="1"/>
      <w:numFmt w:val="bullet"/>
      <w:lvlText w:val=""/>
      <w:lvlJc w:val="left"/>
      <w:pPr>
        <w:tabs>
          <w:tab w:val="num" w:pos="1440"/>
        </w:tabs>
        <w:ind w:left="1440" w:hanging="360"/>
      </w:pPr>
      <w:rPr>
        <w:rFonts w:ascii="Wingdings" w:hAnsi="Wingdings" w:hint="default"/>
        <w:i w:val="0"/>
      </w:r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rPr>
        <w:i w:val="0"/>
      </w:rPr>
    </w:lvl>
    <w:lvl w:ilvl="5">
      <w:start w:val="1"/>
      <w:numFmt w:val="decimal"/>
      <w:lvlText w:val="%6."/>
      <w:lvlJc w:val="left"/>
      <w:pPr>
        <w:tabs>
          <w:tab w:val="num" w:pos="2520"/>
        </w:tabs>
        <w:ind w:left="2520" w:hanging="360"/>
      </w:pPr>
      <w:rPr>
        <w:i w:val="0"/>
      </w:rPr>
    </w:lvl>
    <w:lvl w:ilvl="6">
      <w:start w:val="1"/>
      <w:numFmt w:val="decimal"/>
      <w:lvlText w:val="%7."/>
      <w:lvlJc w:val="left"/>
      <w:pPr>
        <w:tabs>
          <w:tab w:val="num" w:pos="2880"/>
        </w:tabs>
        <w:ind w:left="2880" w:hanging="360"/>
      </w:pPr>
      <w:rPr>
        <w:i w:val="0"/>
      </w:rPr>
    </w:lvl>
    <w:lvl w:ilvl="7">
      <w:start w:val="1"/>
      <w:numFmt w:val="decimal"/>
      <w:lvlText w:val="%8."/>
      <w:lvlJc w:val="left"/>
      <w:pPr>
        <w:tabs>
          <w:tab w:val="num" w:pos="3240"/>
        </w:tabs>
        <w:ind w:left="3240" w:hanging="360"/>
      </w:pPr>
      <w:rPr>
        <w:i w:val="0"/>
      </w:rPr>
    </w:lvl>
    <w:lvl w:ilvl="8">
      <w:start w:val="1"/>
      <w:numFmt w:val="decimal"/>
      <w:lvlText w:val="%9."/>
      <w:lvlJc w:val="left"/>
      <w:pPr>
        <w:tabs>
          <w:tab w:val="num" w:pos="3600"/>
        </w:tabs>
        <w:ind w:left="3600" w:hanging="360"/>
      </w:pPr>
      <w:rPr>
        <w:i w:val="0"/>
      </w:rPr>
    </w:lvl>
  </w:abstractNum>
  <w:abstractNum w:abstractNumId="12" w15:restartNumberingAfterBreak="0">
    <w:nsid w:val="00000021"/>
    <w:multiLevelType w:val="multilevel"/>
    <w:tmpl w:val="00000021"/>
    <w:name w:val="WW8Num3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3" w15:restartNumberingAfterBreak="0">
    <w:nsid w:val="00000022"/>
    <w:multiLevelType w:val="multilevel"/>
    <w:tmpl w:val="00000022"/>
    <w:name w:val="WW8Num3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4" w15:restartNumberingAfterBreak="0">
    <w:nsid w:val="00000023"/>
    <w:multiLevelType w:val="multilevel"/>
    <w:tmpl w:val="00000023"/>
    <w:name w:val="WW8Num35"/>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5" w15:restartNumberingAfterBreak="0">
    <w:nsid w:val="00000026"/>
    <w:multiLevelType w:val="singleLevel"/>
    <w:tmpl w:val="00000026"/>
    <w:name w:val="WW8Num49"/>
    <w:lvl w:ilvl="0">
      <w:start w:val="1"/>
      <w:numFmt w:val="lowerLetter"/>
      <w:lvlText w:val="%1)"/>
      <w:lvlJc w:val="left"/>
      <w:pPr>
        <w:tabs>
          <w:tab w:val="num" w:pos="0"/>
        </w:tabs>
        <w:ind w:left="1068" w:hanging="360"/>
      </w:pPr>
      <w:rPr>
        <w:rFonts w:ascii="Arial" w:eastAsia="Times New Roman" w:hAnsi="Arial" w:cs="Arial"/>
      </w:rPr>
    </w:lvl>
  </w:abstractNum>
  <w:abstractNum w:abstractNumId="16" w15:restartNumberingAfterBreak="0">
    <w:nsid w:val="0000004C"/>
    <w:multiLevelType w:val="singleLevel"/>
    <w:tmpl w:val="0000004C"/>
    <w:name w:val="WW8Num89"/>
    <w:lvl w:ilvl="0">
      <w:start w:val="1"/>
      <w:numFmt w:val="lowerLetter"/>
      <w:lvlText w:val="%1)"/>
      <w:lvlJc w:val="left"/>
      <w:pPr>
        <w:tabs>
          <w:tab w:val="num" w:pos="1080"/>
        </w:tabs>
        <w:ind w:left="1080" w:hanging="360"/>
      </w:pPr>
      <w:rPr>
        <w:rFonts w:ascii="Arial" w:eastAsia="Times New Roman" w:hAnsi="Arial" w:cs="Arial"/>
      </w:rPr>
    </w:lvl>
  </w:abstractNum>
  <w:abstractNum w:abstractNumId="17" w15:restartNumberingAfterBreak="0">
    <w:nsid w:val="0000005C"/>
    <w:multiLevelType w:val="singleLevel"/>
    <w:tmpl w:val="0000005C"/>
    <w:name w:val="WW8Num107"/>
    <w:lvl w:ilvl="0">
      <w:start w:val="1"/>
      <w:numFmt w:val="lowerLetter"/>
      <w:lvlText w:val="%1)"/>
      <w:lvlJc w:val="left"/>
      <w:pPr>
        <w:tabs>
          <w:tab w:val="num" w:pos="1080"/>
        </w:tabs>
        <w:ind w:left="1080" w:hanging="360"/>
      </w:pPr>
      <w:rPr>
        <w:rFonts w:ascii="Arial" w:eastAsia="Times New Roman" w:hAnsi="Arial" w:cs="Arial"/>
      </w:rPr>
    </w:lvl>
  </w:abstractNum>
  <w:abstractNum w:abstractNumId="18" w15:restartNumberingAfterBreak="0">
    <w:nsid w:val="0000005D"/>
    <w:multiLevelType w:val="singleLevel"/>
    <w:tmpl w:val="0000005D"/>
    <w:name w:val="WW8Num108"/>
    <w:lvl w:ilvl="0">
      <w:start w:val="1"/>
      <w:numFmt w:val="lowerLetter"/>
      <w:lvlText w:val="%1)"/>
      <w:lvlJc w:val="left"/>
      <w:pPr>
        <w:tabs>
          <w:tab w:val="num" w:pos="0"/>
        </w:tabs>
        <w:ind w:left="1068" w:hanging="360"/>
      </w:pPr>
      <w:rPr>
        <w:rFonts w:ascii="Arial" w:eastAsia="Times New Roman" w:hAnsi="Arial" w:cs="Arial"/>
      </w:rPr>
    </w:lvl>
  </w:abstractNum>
  <w:abstractNum w:abstractNumId="19" w15:restartNumberingAfterBreak="0">
    <w:nsid w:val="00000073"/>
    <w:multiLevelType w:val="singleLevel"/>
    <w:tmpl w:val="00000073"/>
    <w:name w:val="WW8Num131"/>
    <w:lvl w:ilvl="0">
      <w:start w:val="1"/>
      <w:numFmt w:val="decimal"/>
      <w:lvlText w:val="%1)"/>
      <w:lvlJc w:val="left"/>
      <w:pPr>
        <w:tabs>
          <w:tab w:val="num" w:pos="0"/>
        </w:tabs>
        <w:ind w:left="360" w:hanging="360"/>
      </w:pPr>
    </w:lvl>
  </w:abstractNum>
  <w:abstractNum w:abstractNumId="20" w15:restartNumberingAfterBreak="0">
    <w:nsid w:val="00000076"/>
    <w:multiLevelType w:val="singleLevel"/>
    <w:tmpl w:val="00000076"/>
    <w:name w:val="WW8Num134"/>
    <w:lvl w:ilvl="0">
      <w:start w:val="1"/>
      <w:numFmt w:val="lowerLetter"/>
      <w:lvlText w:val="%1)"/>
      <w:lvlJc w:val="left"/>
      <w:pPr>
        <w:tabs>
          <w:tab w:val="num" w:pos="0"/>
        </w:tabs>
        <w:ind w:left="1068" w:hanging="360"/>
      </w:pPr>
      <w:rPr>
        <w:rFonts w:ascii="Arial" w:eastAsia="Times New Roman" w:hAnsi="Arial" w:cs="Arial"/>
      </w:rPr>
    </w:lvl>
  </w:abstractNum>
  <w:abstractNum w:abstractNumId="21" w15:restartNumberingAfterBreak="0">
    <w:nsid w:val="04833D8F"/>
    <w:multiLevelType w:val="hybridMultilevel"/>
    <w:tmpl w:val="C1EE5690"/>
    <w:lvl w:ilvl="0" w:tplc="E8E07C1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059E30DB"/>
    <w:multiLevelType w:val="hybridMultilevel"/>
    <w:tmpl w:val="F8B4A8FA"/>
    <w:lvl w:ilvl="0" w:tplc="2E0262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12074DAD"/>
    <w:multiLevelType w:val="hybridMultilevel"/>
    <w:tmpl w:val="75E20424"/>
    <w:lvl w:ilvl="0" w:tplc="04150005">
      <w:start w:val="1"/>
      <w:numFmt w:val="bullet"/>
      <w:lvlText w:val=""/>
      <w:lvlJc w:val="left"/>
      <w:pPr>
        <w:ind w:left="1287"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16643F83"/>
    <w:multiLevelType w:val="multilevel"/>
    <w:tmpl w:val="956E2BDA"/>
    <w:lvl w:ilvl="0">
      <w:start w:val="1"/>
      <w:numFmt w:val="decimal"/>
      <w:pStyle w:val="Nagwek1"/>
      <w:lvlText w:val="%1."/>
      <w:lvlJc w:val="left"/>
      <w:pPr>
        <w:tabs>
          <w:tab w:val="num" w:pos="2984"/>
        </w:tabs>
        <w:ind w:left="2984" w:hanging="432"/>
      </w:pPr>
      <w:rPr>
        <w:rFonts w:hint="default"/>
      </w:rPr>
    </w:lvl>
    <w:lvl w:ilvl="1">
      <w:start w:val="1"/>
      <w:numFmt w:val="decimal"/>
      <w:pStyle w:val="Nagwek2"/>
      <w:lvlText w:val="%1.%2."/>
      <w:lvlJc w:val="left"/>
      <w:pPr>
        <w:tabs>
          <w:tab w:val="num" w:pos="1713"/>
        </w:tabs>
        <w:ind w:left="1560" w:hanging="567"/>
      </w:pPr>
      <w:rPr>
        <w:rFonts w:hint="default"/>
        <w:lang w:val="pl-PL"/>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5" w15:restartNumberingAfterBreak="0">
    <w:nsid w:val="16CF4644"/>
    <w:multiLevelType w:val="hybridMultilevel"/>
    <w:tmpl w:val="DDFC8F18"/>
    <w:lvl w:ilvl="0" w:tplc="04150005">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18301B97"/>
    <w:multiLevelType w:val="hybridMultilevel"/>
    <w:tmpl w:val="6F7A3F7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90208EC"/>
    <w:multiLevelType w:val="hybridMultilevel"/>
    <w:tmpl w:val="DD5EEB0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90A3DFB"/>
    <w:multiLevelType w:val="hybridMultilevel"/>
    <w:tmpl w:val="CC22EC8C"/>
    <w:lvl w:ilvl="0" w:tplc="04150005">
      <w:start w:val="1"/>
      <w:numFmt w:val="bullet"/>
      <w:lvlText w:val=""/>
      <w:lvlJc w:val="left"/>
      <w:pPr>
        <w:ind w:left="360" w:hanging="360"/>
      </w:pPr>
      <w:rPr>
        <w:rFonts w:ascii="Wingdings" w:hAnsi="Wingdings" w:hint="default"/>
      </w:rPr>
    </w:lvl>
    <w:lvl w:ilvl="1" w:tplc="86EA2FAC">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CEA0050"/>
    <w:multiLevelType w:val="hybridMultilevel"/>
    <w:tmpl w:val="706C81A6"/>
    <w:lvl w:ilvl="0" w:tplc="5CA80C72">
      <w:start w:val="1"/>
      <w:numFmt w:val="bullet"/>
      <w:lvlText w:val="-"/>
      <w:lvlJc w:val="left"/>
      <w:pPr>
        <w:ind w:left="717" w:hanging="360"/>
      </w:pPr>
      <w:rPr>
        <w:rFonts w:ascii="Courier New" w:hAnsi="Courier New" w:hint="default"/>
        <w:color w:val="00000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0" w15:restartNumberingAfterBreak="0">
    <w:nsid w:val="1D7F5418"/>
    <w:multiLevelType w:val="hybridMultilevel"/>
    <w:tmpl w:val="C34E23E0"/>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1E50104A"/>
    <w:multiLevelType w:val="hybridMultilevel"/>
    <w:tmpl w:val="2BA48846"/>
    <w:lvl w:ilvl="0" w:tplc="04150005">
      <w:start w:val="1"/>
      <w:numFmt w:val="bullet"/>
      <w:lvlText w:val=""/>
      <w:lvlJc w:val="left"/>
      <w:pPr>
        <w:ind w:left="1287" w:hanging="360"/>
      </w:pPr>
      <w:rPr>
        <w:rFonts w:ascii="Wingdings" w:hAnsi="Wingdings"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1EE563E6"/>
    <w:multiLevelType w:val="hybridMultilevel"/>
    <w:tmpl w:val="6EC89262"/>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20797044"/>
    <w:multiLevelType w:val="hybridMultilevel"/>
    <w:tmpl w:val="51660D70"/>
    <w:lvl w:ilvl="0" w:tplc="899E1D3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1527D01"/>
    <w:multiLevelType w:val="hybridMultilevel"/>
    <w:tmpl w:val="ADB4454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15:restartNumberingAfterBreak="0">
    <w:nsid w:val="22F84BF0"/>
    <w:multiLevelType w:val="hybridMultilevel"/>
    <w:tmpl w:val="038666E0"/>
    <w:lvl w:ilvl="0" w:tplc="B7F85C6A">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5987ABF"/>
    <w:multiLevelType w:val="hybridMultilevel"/>
    <w:tmpl w:val="A54E1470"/>
    <w:lvl w:ilvl="0" w:tplc="2E0262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267805A5"/>
    <w:multiLevelType w:val="hybridMultilevel"/>
    <w:tmpl w:val="71BA6074"/>
    <w:lvl w:ilvl="0" w:tplc="04150005">
      <w:start w:val="1"/>
      <w:numFmt w:val="bullet"/>
      <w:lvlText w:val=""/>
      <w:lvlJc w:val="left"/>
      <w:pPr>
        <w:ind w:left="360" w:hanging="360"/>
      </w:pPr>
      <w:rPr>
        <w:rFonts w:ascii="Wingdings" w:hAnsi="Wingdings" w:hint="default"/>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7F64E22"/>
    <w:multiLevelType w:val="hybridMultilevel"/>
    <w:tmpl w:val="503CA1A6"/>
    <w:lvl w:ilvl="0" w:tplc="04150005">
      <w:start w:val="1"/>
      <w:numFmt w:val="bullet"/>
      <w:lvlText w:val=""/>
      <w:lvlJc w:val="left"/>
      <w:pPr>
        <w:ind w:left="720" w:hanging="360"/>
      </w:pPr>
      <w:rPr>
        <w:rFonts w:ascii="Wingdings" w:hAnsi="Wingdings" w:hint="default"/>
      </w:rPr>
    </w:lvl>
    <w:lvl w:ilvl="1" w:tplc="38207682">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634C2A"/>
    <w:multiLevelType w:val="hybridMultilevel"/>
    <w:tmpl w:val="48287A38"/>
    <w:lvl w:ilvl="0" w:tplc="04150005">
      <w:start w:val="1"/>
      <w:numFmt w:val="bullet"/>
      <w:lvlText w:val=""/>
      <w:lvlJc w:val="left"/>
      <w:pPr>
        <w:ind w:left="1287" w:hanging="360"/>
      </w:pPr>
      <w:rPr>
        <w:rFonts w:ascii="Wingdings" w:hAnsi="Wingdings" w:hint="default"/>
      </w:rPr>
    </w:lvl>
    <w:lvl w:ilvl="1" w:tplc="2E0262B0">
      <w:start w:val="1"/>
      <w:numFmt w:val="bullet"/>
      <w:lvlText w:val=""/>
      <w:lvlJc w:val="left"/>
      <w:pPr>
        <w:ind w:left="2007" w:hanging="360"/>
      </w:pPr>
      <w:rPr>
        <w:rFonts w:ascii="Symbol" w:hAnsi="Symbol"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15:restartNumberingAfterBreak="0">
    <w:nsid w:val="2CEC0BFE"/>
    <w:multiLevelType w:val="hybridMultilevel"/>
    <w:tmpl w:val="739CA30E"/>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4014E19"/>
    <w:multiLevelType w:val="hybridMultilevel"/>
    <w:tmpl w:val="B5BA45D6"/>
    <w:lvl w:ilvl="0" w:tplc="04150005">
      <w:start w:val="1"/>
      <w:numFmt w:val="bullet"/>
      <w:lvlText w:val=""/>
      <w:lvlJc w:val="left"/>
      <w:pPr>
        <w:ind w:left="1004" w:hanging="360"/>
      </w:pPr>
      <w:rPr>
        <w:rFonts w:ascii="Wingdings" w:hAnsi="Wingdings" w:hint="default"/>
      </w:rPr>
    </w:lvl>
    <w:lvl w:ilvl="1" w:tplc="38207682">
      <w:start w:val="1"/>
      <w:numFmt w:val="bullet"/>
      <w:lvlText w:val="−"/>
      <w:lvlJc w:val="left"/>
      <w:pPr>
        <w:ind w:left="1724" w:hanging="360"/>
      </w:pPr>
      <w:rPr>
        <w:rFonts w:ascii="Times New Roman" w:hAnsi="Times New Roman" w:cs="Times New Roman"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383B712E"/>
    <w:multiLevelType w:val="hybridMultilevel"/>
    <w:tmpl w:val="85EE7EFE"/>
    <w:lvl w:ilvl="0" w:tplc="FFFFFFFF">
      <w:start w:val="1"/>
      <w:numFmt w:val="bullet"/>
      <w:lvlText w:val=""/>
      <w:lvlJc w:val="left"/>
      <w:pPr>
        <w:ind w:left="360" w:hanging="360"/>
      </w:pPr>
      <w:rPr>
        <w:rFonts w:ascii="Wingdings" w:hAnsi="Wingdings" w:hint="default"/>
      </w:rPr>
    </w:lvl>
    <w:lvl w:ilvl="1" w:tplc="0415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9A654DB"/>
    <w:multiLevelType w:val="hybridMultilevel"/>
    <w:tmpl w:val="8DAEE6D6"/>
    <w:lvl w:ilvl="0" w:tplc="EEDAB12C">
      <w:start w:val="1"/>
      <w:numFmt w:val="upp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4D8F2F7C"/>
    <w:multiLevelType w:val="hybridMultilevel"/>
    <w:tmpl w:val="B8E6E438"/>
    <w:lvl w:ilvl="0" w:tplc="04150005">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4E752A82"/>
    <w:multiLevelType w:val="hybridMultilevel"/>
    <w:tmpl w:val="08004B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F593E6B"/>
    <w:multiLevelType w:val="hybridMultilevel"/>
    <w:tmpl w:val="BD7AA260"/>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7" w15:restartNumberingAfterBreak="0">
    <w:nsid w:val="505F0300"/>
    <w:multiLevelType w:val="singleLevel"/>
    <w:tmpl w:val="707485A4"/>
    <w:lvl w:ilvl="0">
      <w:start w:val="2"/>
      <w:numFmt w:val="upperRoman"/>
      <w:pStyle w:val="Styl3"/>
      <w:lvlText w:val="%1."/>
      <w:lvlJc w:val="left"/>
      <w:pPr>
        <w:tabs>
          <w:tab w:val="num" w:pos="720"/>
        </w:tabs>
        <w:ind w:left="720" w:hanging="720"/>
      </w:pPr>
      <w:rPr>
        <w:rFonts w:hint="default"/>
      </w:rPr>
    </w:lvl>
  </w:abstractNum>
  <w:abstractNum w:abstractNumId="48" w15:restartNumberingAfterBreak="0">
    <w:nsid w:val="52AA1BD5"/>
    <w:multiLevelType w:val="hybridMultilevel"/>
    <w:tmpl w:val="16065720"/>
    <w:lvl w:ilvl="0" w:tplc="04150005">
      <w:start w:val="1"/>
      <w:numFmt w:val="bullet"/>
      <w:lvlText w:val=""/>
      <w:lvlJc w:val="left"/>
      <w:pPr>
        <w:ind w:left="1287" w:hanging="360"/>
      </w:pPr>
      <w:rPr>
        <w:rFonts w:ascii="Wingdings" w:hAnsi="Wingdings" w:hint="default"/>
      </w:rPr>
    </w:lvl>
    <w:lvl w:ilvl="1" w:tplc="38207682">
      <w:start w:val="1"/>
      <w:numFmt w:val="bullet"/>
      <w:lvlText w:val="−"/>
      <w:lvlJc w:val="left"/>
      <w:pPr>
        <w:ind w:left="2007" w:hanging="360"/>
      </w:pPr>
      <w:rPr>
        <w:rFonts w:ascii="Times New Roman" w:hAnsi="Times New Roman" w:cs="Times New Roman"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15:restartNumberingAfterBreak="0">
    <w:nsid w:val="55295001"/>
    <w:multiLevelType w:val="hybridMultilevel"/>
    <w:tmpl w:val="EB4458EC"/>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DF37248"/>
    <w:multiLevelType w:val="hybridMultilevel"/>
    <w:tmpl w:val="04E2AE50"/>
    <w:lvl w:ilvl="0" w:tplc="04150005">
      <w:start w:val="1"/>
      <w:numFmt w:val="bullet"/>
      <w:lvlText w:val=""/>
      <w:lvlJc w:val="left"/>
      <w:pPr>
        <w:ind w:left="1356" w:hanging="360"/>
      </w:pPr>
      <w:rPr>
        <w:rFonts w:ascii="Wingdings" w:hAnsi="Wingdings" w:hint="default"/>
      </w:rPr>
    </w:lvl>
    <w:lvl w:ilvl="1" w:tplc="04150003" w:tentative="1">
      <w:start w:val="1"/>
      <w:numFmt w:val="bullet"/>
      <w:lvlText w:val="o"/>
      <w:lvlJc w:val="left"/>
      <w:pPr>
        <w:ind w:left="2076" w:hanging="360"/>
      </w:pPr>
      <w:rPr>
        <w:rFonts w:ascii="Courier New" w:hAnsi="Courier New" w:cs="Courier New" w:hint="default"/>
      </w:rPr>
    </w:lvl>
    <w:lvl w:ilvl="2" w:tplc="04150005" w:tentative="1">
      <w:start w:val="1"/>
      <w:numFmt w:val="bullet"/>
      <w:lvlText w:val=""/>
      <w:lvlJc w:val="left"/>
      <w:pPr>
        <w:ind w:left="2796" w:hanging="360"/>
      </w:pPr>
      <w:rPr>
        <w:rFonts w:ascii="Wingdings" w:hAnsi="Wingdings" w:hint="default"/>
      </w:rPr>
    </w:lvl>
    <w:lvl w:ilvl="3" w:tplc="04150001" w:tentative="1">
      <w:start w:val="1"/>
      <w:numFmt w:val="bullet"/>
      <w:lvlText w:val=""/>
      <w:lvlJc w:val="left"/>
      <w:pPr>
        <w:ind w:left="3516" w:hanging="360"/>
      </w:pPr>
      <w:rPr>
        <w:rFonts w:ascii="Symbol" w:hAnsi="Symbol" w:hint="default"/>
      </w:rPr>
    </w:lvl>
    <w:lvl w:ilvl="4" w:tplc="04150003" w:tentative="1">
      <w:start w:val="1"/>
      <w:numFmt w:val="bullet"/>
      <w:lvlText w:val="o"/>
      <w:lvlJc w:val="left"/>
      <w:pPr>
        <w:ind w:left="4236" w:hanging="360"/>
      </w:pPr>
      <w:rPr>
        <w:rFonts w:ascii="Courier New" w:hAnsi="Courier New" w:cs="Courier New" w:hint="default"/>
      </w:rPr>
    </w:lvl>
    <w:lvl w:ilvl="5" w:tplc="04150005" w:tentative="1">
      <w:start w:val="1"/>
      <w:numFmt w:val="bullet"/>
      <w:lvlText w:val=""/>
      <w:lvlJc w:val="left"/>
      <w:pPr>
        <w:ind w:left="4956" w:hanging="360"/>
      </w:pPr>
      <w:rPr>
        <w:rFonts w:ascii="Wingdings" w:hAnsi="Wingdings" w:hint="default"/>
      </w:rPr>
    </w:lvl>
    <w:lvl w:ilvl="6" w:tplc="04150001" w:tentative="1">
      <w:start w:val="1"/>
      <w:numFmt w:val="bullet"/>
      <w:lvlText w:val=""/>
      <w:lvlJc w:val="left"/>
      <w:pPr>
        <w:ind w:left="5676" w:hanging="360"/>
      </w:pPr>
      <w:rPr>
        <w:rFonts w:ascii="Symbol" w:hAnsi="Symbol" w:hint="default"/>
      </w:rPr>
    </w:lvl>
    <w:lvl w:ilvl="7" w:tplc="04150003" w:tentative="1">
      <w:start w:val="1"/>
      <w:numFmt w:val="bullet"/>
      <w:lvlText w:val="o"/>
      <w:lvlJc w:val="left"/>
      <w:pPr>
        <w:ind w:left="6396" w:hanging="360"/>
      </w:pPr>
      <w:rPr>
        <w:rFonts w:ascii="Courier New" w:hAnsi="Courier New" w:cs="Courier New" w:hint="default"/>
      </w:rPr>
    </w:lvl>
    <w:lvl w:ilvl="8" w:tplc="04150005" w:tentative="1">
      <w:start w:val="1"/>
      <w:numFmt w:val="bullet"/>
      <w:lvlText w:val=""/>
      <w:lvlJc w:val="left"/>
      <w:pPr>
        <w:ind w:left="7116" w:hanging="360"/>
      </w:pPr>
      <w:rPr>
        <w:rFonts w:ascii="Wingdings" w:hAnsi="Wingdings" w:hint="default"/>
      </w:rPr>
    </w:lvl>
  </w:abstractNum>
  <w:abstractNum w:abstractNumId="51" w15:restartNumberingAfterBreak="0">
    <w:nsid w:val="5E5C4B43"/>
    <w:multiLevelType w:val="hybridMultilevel"/>
    <w:tmpl w:val="FF3EA6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FD250F2"/>
    <w:multiLevelType w:val="hybridMultilevel"/>
    <w:tmpl w:val="11BA6656"/>
    <w:lvl w:ilvl="0" w:tplc="04150005">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3033042"/>
    <w:multiLevelType w:val="hybridMultilevel"/>
    <w:tmpl w:val="3CE80EB6"/>
    <w:lvl w:ilvl="0" w:tplc="38207682">
      <w:start w:val="1"/>
      <w:numFmt w:val="bullet"/>
      <w:lvlText w:val="−"/>
      <w:lvlJc w:val="left"/>
      <w:pPr>
        <w:ind w:left="717" w:hanging="360"/>
      </w:pPr>
      <w:rPr>
        <w:rFonts w:ascii="Times New Roman" w:hAnsi="Times New Roman" w:cs="Times New Roman" w:hint="default"/>
      </w:rPr>
    </w:lvl>
    <w:lvl w:ilvl="1" w:tplc="38207682">
      <w:start w:val="1"/>
      <w:numFmt w:val="bullet"/>
      <w:lvlText w:val="−"/>
      <w:lvlJc w:val="left"/>
      <w:pPr>
        <w:ind w:left="1437" w:hanging="360"/>
      </w:pPr>
      <w:rPr>
        <w:rFonts w:ascii="Times New Roman" w:hAnsi="Times New Roman" w:cs="Times New Roman" w:hint="default"/>
      </w:rPr>
    </w:lvl>
    <w:lvl w:ilvl="2" w:tplc="04150005">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4" w15:restartNumberingAfterBreak="0">
    <w:nsid w:val="6C636C09"/>
    <w:multiLevelType w:val="hybridMultilevel"/>
    <w:tmpl w:val="FE68A6A6"/>
    <w:lvl w:ilvl="0" w:tplc="04150011">
      <w:start w:val="1"/>
      <w:numFmt w:val="decimal"/>
      <w:lvlText w:val="%1)"/>
      <w:lvlJc w:val="left"/>
      <w:pPr>
        <w:ind w:left="306" w:hanging="360"/>
      </w:pPr>
      <w:rPr>
        <w:rFonts w:hint="default"/>
        <w:color w:val="auto"/>
      </w:rPr>
    </w:lvl>
    <w:lvl w:ilvl="1" w:tplc="04150019" w:tentative="1">
      <w:start w:val="1"/>
      <w:numFmt w:val="lowerLetter"/>
      <w:lvlText w:val="%2."/>
      <w:lvlJc w:val="left"/>
      <w:pPr>
        <w:ind w:left="1026" w:hanging="360"/>
      </w:pPr>
    </w:lvl>
    <w:lvl w:ilvl="2" w:tplc="0415001B" w:tentative="1">
      <w:start w:val="1"/>
      <w:numFmt w:val="lowerRoman"/>
      <w:lvlText w:val="%3."/>
      <w:lvlJc w:val="right"/>
      <w:pPr>
        <w:ind w:left="1746" w:hanging="180"/>
      </w:pPr>
    </w:lvl>
    <w:lvl w:ilvl="3" w:tplc="0415000F" w:tentative="1">
      <w:start w:val="1"/>
      <w:numFmt w:val="decimal"/>
      <w:lvlText w:val="%4."/>
      <w:lvlJc w:val="left"/>
      <w:pPr>
        <w:ind w:left="2466" w:hanging="360"/>
      </w:pPr>
    </w:lvl>
    <w:lvl w:ilvl="4" w:tplc="04150019" w:tentative="1">
      <w:start w:val="1"/>
      <w:numFmt w:val="lowerLetter"/>
      <w:lvlText w:val="%5."/>
      <w:lvlJc w:val="left"/>
      <w:pPr>
        <w:ind w:left="3186" w:hanging="360"/>
      </w:pPr>
    </w:lvl>
    <w:lvl w:ilvl="5" w:tplc="0415001B" w:tentative="1">
      <w:start w:val="1"/>
      <w:numFmt w:val="lowerRoman"/>
      <w:lvlText w:val="%6."/>
      <w:lvlJc w:val="right"/>
      <w:pPr>
        <w:ind w:left="3906" w:hanging="180"/>
      </w:pPr>
    </w:lvl>
    <w:lvl w:ilvl="6" w:tplc="0415000F" w:tentative="1">
      <w:start w:val="1"/>
      <w:numFmt w:val="decimal"/>
      <w:lvlText w:val="%7."/>
      <w:lvlJc w:val="left"/>
      <w:pPr>
        <w:ind w:left="4626" w:hanging="360"/>
      </w:pPr>
    </w:lvl>
    <w:lvl w:ilvl="7" w:tplc="04150019" w:tentative="1">
      <w:start w:val="1"/>
      <w:numFmt w:val="lowerLetter"/>
      <w:lvlText w:val="%8."/>
      <w:lvlJc w:val="left"/>
      <w:pPr>
        <w:ind w:left="5346" w:hanging="360"/>
      </w:pPr>
    </w:lvl>
    <w:lvl w:ilvl="8" w:tplc="0415001B" w:tentative="1">
      <w:start w:val="1"/>
      <w:numFmt w:val="lowerRoman"/>
      <w:lvlText w:val="%9."/>
      <w:lvlJc w:val="right"/>
      <w:pPr>
        <w:ind w:left="6066" w:hanging="180"/>
      </w:pPr>
    </w:lvl>
  </w:abstractNum>
  <w:abstractNum w:abstractNumId="55" w15:restartNumberingAfterBreak="0">
    <w:nsid w:val="6D1C1295"/>
    <w:multiLevelType w:val="hybridMultilevel"/>
    <w:tmpl w:val="FE68A6A6"/>
    <w:lvl w:ilvl="0" w:tplc="04150011">
      <w:start w:val="1"/>
      <w:numFmt w:val="decimal"/>
      <w:lvlText w:val="%1)"/>
      <w:lvlJc w:val="left"/>
      <w:pPr>
        <w:ind w:left="306" w:hanging="360"/>
      </w:pPr>
      <w:rPr>
        <w:rFonts w:hint="default"/>
        <w:color w:val="auto"/>
      </w:rPr>
    </w:lvl>
    <w:lvl w:ilvl="1" w:tplc="04150019" w:tentative="1">
      <w:start w:val="1"/>
      <w:numFmt w:val="lowerLetter"/>
      <w:lvlText w:val="%2."/>
      <w:lvlJc w:val="left"/>
      <w:pPr>
        <w:ind w:left="1026" w:hanging="360"/>
      </w:pPr>
    </w:lvl>
    <w:lvl w:ilvl="2" w:tplc="0415001B" w:tentative="1">
      <w:start w:val="1"/>
      <w:numFmt w:val="lowerRoman"/>
      <w:lvlText w:val="%3."/>
      <w:lvlJc w:val="right"/>
      <w:pPr>
        <w:ind w:left="1746" w:hanging="180"/>
      </w:pPr>
    </w:lvl>
    <w:lvl w:ilvl="3" w:tplc="0415000F" w:tentative="1">
      <w:start w:val="1"/>
      <w:numFmt w:val="decimal"/>
      <w:lvlText w:val="%4."/>
      <w:lvlJc w:val="left"/>
      <w:pPr>
        <w:ind w:left="2466" w:hanging="360"/>
      </w:pPr>
    </w:lvl>
    <w:lvl w:ilvl="4" w:tplc="04150019" w:tentative="1">
      <w:start w:val="1"/>
      <w:numFmt w:val="lowerLetter"/>
      <w:lvlText w:val="%5."/>
      <w:lvlJc w:val="left"/>
      <w:pPr>
        <w:ind w:left="3186" w:hanging="360"/>
      </w:pPr>
    </w:lvl>
    <w:lvl w:ilvl="5" w:tplc="0415001B" w:tentative="1">
      <w:start w:val="1"/>
      <w:numFmt w:val="lowerRoman"/>
      <w:lvlText w:val="%6."/>
      <w:lvlJc w:val="right"/>
      <w:pPr>
        <w:ind w:left="3906" w:hanging="180"/>
      </w:pPr>
    </w:lvl>
    <w:lvl w:ilvl="6" w:tplc="0415000F" w:tentative="1">
      <w:start w:val="1"/>
      <w:numFmt w:val="decimal"/>
      <w:lvlText w:val="%7."/>
      <w:lvlJc w:val="left"/>
      <w:pPr>
        <w:ind w:left="4626" w:hanging="360"/>
      </w:pPr>
    </w:lvl>
    <w:lvl w:ilvl="7" w:tplc="04150019" w:tentative="1">
      <w:start w:val="1"/>
      <w:numFmt w:val="lowerLetter"/>
      <w:lvlText w:val="%8."/>
      <w:lvlJc w:val="left"/>
      <w:pPr>
        <w:ind w:left="5346" w:hanging="360"/>
      </w:pPr>
    </w:lvl>
    <w:lvl w:ilvl="8" w:tplc="0415001B" w:tentative="1">
      <w:start w:val="1"/>
      <w:numFmt w:val="lowerRoman"/>
      <w:lvlText w:val="%9."/>
      <w:lvlJc w:val="right"/>
      <w:pPr>
        <w:ind w:left="6066" w:hanging="180"/>
      </w:pPr>
    </w:lvl>
  </w:abstractNum>
  <w:abstractNum w:abstractNumId="56" w15:restartNumberingAfterBreak="0">
    <w:nsid w:val="72C82657"/>
    <w:multiLevelType w:val="hybridMultilevel"/>
    <w:tmpl w:val="246247A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77571DA6"/>
    <w:multiLevelType w:val="hybridMultilevel"/>
    <w:tmpl w:val="D302AB8C"/>
    <w:lvl w:ilvl="0" w:tplc="04150005">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15:restartNumberingAfterBreak="0">
    <w:nsid w:val="7C117846"/>
    <w:multiLevelType w:val="hybridMultilevel"/>
    <w:tmpl w:val="AC34DB24"/>
    <w:lvl w:ilvl="0" w:tplc="04150005">
      <w:start w:val="1"/>
      <w:numFmt w:val="bullet"/>
      <w:lvlText w:val=""/>
      <w:lvlJc w:val="left"/>
      <w:pPr>
        <w:ind w:left="1287" w:hanging="360"/>
      </w:pPr>
      <w:rPr>
        <w:rFonts w:ascii="Wingdings" w:hAnsi="Wingdings"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4"/>
  </w:num>
  <w:num w:numId="2">
    <w:abstractNumId w:val="47"/>
  </w:num>
  <w:num w:numId="3">
    <w:abstractNumId w:val="1"/>
  </w:num>
  <w:num w:numId="4">
    <w:abstractNumId w:val="45"/>
  </w:num>
  <w:num w:numId="5">
    <w:abstractNumId w:val="48"/>
  </w:num>
  <w:num w:numId="6">
    <w:abstractNumId w:val="27"/>
  </w:num>
  <w:num w:numId="7">
    <w:abstractNumId w:val="0"/>
  </w:num>
  <w:num w:numId="8">
    <w:abstractNumId w:val="40"/>
  </w:num>
  <w:num w:numId="9">
    <w:abstractNumId w:val="38"/>
  </w:num>
  <w:num w:numId="10">
    <w:abstractNumId w:val="21"/>
  </w:num>
  <w:num w:numId="11">
    <w:abstractNumId w:val="25"/>
  </w:num>
  <w:num w:numId="12">
    <w:abstractNumId w:val="28"/>
  </w:num>
  <w:num w:numId="13">
    <w:abstractNumId w:val="35"/>
  </w:num>
  <w:num w:numId="14">
    <w:abstractNumId w:val="52"/>
  </w:num>
  <w:num w:numId="15">
    <w:abstractNumId w:val="34"/>
  </w:num>
  <w:num w:numId="16">
    <w:abstractNumId w:val="33"/>
  </w:num>
  <w:num w:numId="17">
    <w:abstractNumId w:val="37"/>
  </w:num>
  <w:num w:numId="18">
    <w:abstractNumId w:val="50"/>
  </w:num>
  <w:num w:numId="19">
    <w:abstractNumId w:val="53"/>
  </w:num>
  <w:num w:numId="20">
    <w:abstractNumId w:val="55"/>
  </w:num>
  <w:num w:numId="21">
    <w:abstractNumId w:val="46"/>
  </w:num>
  <w:num w:numId="22">
    <w:abstractNumId w:val="57"/>
  </w:num>
  <w:num w:numId="23">
    <w:abstractNumId w:val="39"/>
  </w:num>
  <w:num w:numId="24">
    <w:abstractNumId w:val="54"/>
  </w:num>
  <w:num w:numId="25">
    <w:abstractNumId w:val="30"/>
  </w:num>
  <w:num w:numId="26">
    <w:abstractNumId w:val="23"/>
  </w:num>
  <w:num w:numId="27">
    <w:abstractNumId w:val="26"/>
  </w:num>
  <w:num w:numId="28">
    <w:abstractNumId w:val="36"/>
  </w:num>
  <w:num w:numId="29">
    <w:abstractNumId w:val="41"/>
  </w:num>
  <w:num w:numId="30">
    <w:abstractNumId w:val="58"/>
  </w:num>
  <w:num w:numId="31">
    <w:abstractNumId w:val="22"/>
  </w:num>
  <w:num w:numId="32">
    <w:abstractNumId w:val="44"/>
  </w:num>
  <w:num w:numId="33">
    <w:abstractNumId w:val="43"/>
  </w:num>
  <w:num w:numId="34">
    <w:abstractNumId w:val="31"/>
  </w:num>
  <w:num w:numId="35">
    <w:abstractNumId w:val="51"/>
  </w:num>
  <w:num w:numId="36">
    <w:abstractNumId w:val="49"/>
  </w:num>
  <w:num w:numId="37">
    <w:abstractNumId w:val="42"/>
  </w:num>
  <w:num w:numId="38">
    <w:abstractNumId w:val="32"/>
  </w:num>
  <w:num w:numId="39">
    <w:abstractNumId w:val="56"/>
  </w:num>
  <w:num w:numId="4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isplayHorizontalDrawingGridEvery w:val="2"/>
  <w:noPunctuationKerning/>
  <w:characterSpacingControl w:val="doNotCompress"/>
  <w:hdrShapeDefaults>
    <o:shapedefaults v:ext="edit" spidmax="2050">
      <o:colormru v:ext="edit" colors="red,#c30,#f30,#960,#6f3,#f60,#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EC"/>
    <w:rsid w:val="00000039"/>
    <w:rsid w:val="00000582"/>
    <w:rsid w:val="00000680"/>
    <w:rsid w:val="00000704"/>
    <w:rsid w:val="000007D3"/>
    <w:rsid w:val="00000915"/>
    <w:rsid w:val="00000C5E"/>
    <w:rsid w:val="00000C70"/>
    <w:rsid w:val="00001A9C"/>
    <w:rsid w:val="00001B80"/>
    <w:rsid w:val="00001C3F"/>
    <w:rsid w:val="00001E4C"/>
    <w:rsid w:val="00001E76"/>
    <w:rsid w:val="00002188"/>
    <w:rsid w:val="000024F4"/>
    <w:rsid w:val="000027F3"/>
    <w:rsid w:val="00002B18"/>
    <w:rsid w:val="00002B49"/>
    <w:rsid w:val="0000354B"/>
    <w:rsid w:val="000035B1"/>
    <w:rsid w:val="00003C67"/>
    <w:rsid w:val="00003EE8"/>
    <w:rsid w:val="0000411C"/>
    <w:rsid w:val="00004840"/>
    <w:rsid w:val="000048CA"/>
    <w:rsid w:val="000049B5"/>
    <w:rsid w:val="00004D70"/>
    <w:rsid w:val="00004EEC"/>
    <w:rsid w:val="00005395"/>
    <w:rsid w:val="000054AF"/>
    <w:rsid w:val="00005FEB"/>
    <w:rsid w:val="000066B0"/>
    <w:rsid w:val="00006814"/>
    <w:rsid w:val="00006F0A"/>
    <w:rsid w:val="0000707E"/>
    <w:rsid w:val="000076A8"/>
    <w:rsid w:val="0000785F"/>
    <w:rsid w:val="0000795D"/>
    <w:rsid w:val="00007D8D"/>
    <w:rsid w:val="00007F24"/>
    <w:rsid w:val="000100ED"/>
    <w:rsid w:val="00010C70"/>
    <w:rsid w:val="00010CA9"/>
    <w:rsid w:val="00010CAD"/>
    <w:rsid w:val="00010CBB"/>
    <w:rsid w:val="000111E1"/>
    <w:rsid w:val="000111FB"/>
    <w:rsid w:val="00011372"/>
    <w:rsid w:val="00011464"/>
    <w:rsid w:val="000115A8"/>
    <w:rsid w:val="0001191D"/>
    <w:rsid w:val="00011B83"/>
    <w:rsid w:val="00012203"/>
    <w:rsid w:val="00012384"/>
    <w:rsid w:val="0001262B"/>
    <w:rsid w:val="000127C7"/>
    <w:rsid w:val="00012A31"/>
    <w:rsid w:val="00012C13"/>
    <w:rsid w:val="0001326A"/>
    <w:rsid w:val="0001353A"/>
    <w:rsid w:val="0001362C"/>
    <w:rsid w:val="00013630"/>
    <w:rsid w:val="00013804"/>
    <w:rsid w:val="00013999"/>
    <w:rsid w:val="00013A8F"/>
    <w:rsid w:val="000142F0"/>
    <w:rsid w:val="000149D0"/>
    <w:rsid w:val="00015037"/>
    <w:rsid w:val="000153E5"/>
    <w:rsid w:val="00015CB1"/>
    <w:rsid w:val="00015D7E"/>
    <w:rsid w:val="000162D8"/>
    <w:rsid w:val="00017331"/>
    <w:rsid w:val="00017715"/>
    <w:rsid w:val="00017784"/>
    <w:rsid w:val="000177FE"/>
    <w:rsid w:val="00017FAB"/>
    <w:rsid w:val="000200FD"/>
    <w:rsid w:val="00020323"/>
    <w:rsid w:val="000204C9"/>
    <w:rsid w:val="000205C9"/>
    <w:rsid w:val="00020AA5"/>
    <w:rsid w:val="00020CBB"/>
    <w:rsid w:val="00020D75"/>
    <w:rsid w:val="0002147E"/>
    <w:rsid w:val="0002157F"/>
    <w:rsid w:val="0002184A"/>
    <w:rsid w:val="00021A74"/>
    <w:rsid w:val="00021DE9"/>
    <w:rsid w:val="00021FA8"/>
    <w:rsid w:val="000227CA"/>
    <w:rsid w:val="00022E0E"/>
    <w:rsid w:val="00022FFC"/>
    <w:rsid w:val="00023085"/>
    <w:rsid w:val="000230FA"/>
    <w:rsid w:val="00023149"/>
    <w:rsid w:val="00023520"/>
    <w:rsid w:val="00023DDA"/>
    <w:rsid w:val="00023DF8"/>
    <w:rsid w:val="0002475E"/>
    <w:rsid w:val="000248C3"/>
    <w:rsid w:val="00024C4B"/>
    <w:rsid w:val="0002520F"/>
    <w:rsid w:val="000252BC"/>
    <w:rsid w:val="00025525"/>
    <w:rsid w:val="0002554D"/>
    <w:rsid w:val="0002567A"/>
    <w:rsid w:val="00025A81"/>
    <w:rsid w:val="00025C25"/>
    <w:rsid w:val="00025C4F"/>
    <w:rsid w:val="00025FF2"/>
    <w:rsid w:val="0002615C"/>
    <w:rsid w:val="0002652F"/>
    <w:rsid w:val="00026667"/>
    <w:rsid w:val="000266D9"/>
    <w:rsid w:val="00026F13"/>
    <w:rsid w:val="0002787D"/>
    <w:rsid w:val="00027E05"/>
    <w:rsid w:val="000308A3"/>
    <w:rsid w:val="000309EF"/>
    <w:rsid w:val="00030ABB"/>
    <w:rsid w:val="00030F97"/>
    <w:rsid w:val="00031087"/>
    <w:rsid w:val="00031368"/>
    <w:rsid w:val="0003172D"/>
    <w:rsid w:val="00031B17"/>
    <w:rsid w:val="00031ECC"/>
    <w:rsid w:val="00031F55"/>
    <w:rsid w:val="00032104"/>
    <w:rsid w:val="0003238E"/>
    <w:rsid w:val="0003243C"/>
    <w:rsid w:val="00032552"/>
    <w:rsid w:val="00032917"/>
    <w:rsid w:val="00032CE1"/>
    <w:rsid w:val="00032E40"/>
    <w:rsid w:val="00032EC0"/>
    <w:rsid w:val="00032FD8"/>
    <w:rsid w:val="000334A3"/>
    <w:rsid w:val="00033875"/>
    <w:rsid w:val="00033A3D"/>
    <w:rsid w:val="00034AAE"/>
    <w:rsid w:val="0003552B"/>
    <w:rsid w:val="00035535"/>
    <w:rsid w:val="00035640"/>
    <w:rsid w:val="000356BA"/>
    <w:rsid w:val="0003572C"/>
    <w:rsid w:val="00035C70"/>
    <w:rsid w:val="00035D1F"/>
    <w:rsid w:val="00035DF0"/>
    <w:rsid w:val="0003607E"/>
    <w:rsid w:val="00036CE4"/>
    <w:rsid w:val="00037316"/>
    <w:rsid w:val="00037C3A"/>
    <w:rsid w:val="00037F5A"/>
    <w:rsid w:val="00040260"/>
    <w:rsid w:val="0004051E"/>
    <w:rsid w:val="000406C6"/>
    <w:rsid w:val="00040A79"/>
    <w:rsid w:val="00041403"/>
    <w:rsid w:val="0004194D"/>
    <w:rsid w:val="00041987"/>
    <w:rsid w:val="000427FB"/>
    <w:rsid w:val="000436D8"/>
    <w:rsid w:val="00043AE7"/>
    <w:rsid w:val="000440AF"/>
    <w:rsid w:val="00044541"/>
    <w:rsid w:val="000448E2"/>
    <w:rsid w:val="00045416"/>
    <w:rsid w:val="00045610"/>
    <w:rsid w:val="00045AA1"/>
    <w:rsid w:val="00045B05"/>
    <w:rsid w:val="00045D6E"/>
    <w:rsid w:val="000463CC"/>
    <w:rsid w:val="000469DD"/>
    <w:rsid w:val="00046A66"/>
    <w:rsid w:val="00046E85"/>
    <w:rsid w:val="00046FEC"/>
    <w:rsid w:val="0004704E"/>
    <w:rsid w:val="00047137"/>
    <w:rsid w:val="00047675"/>
    <w:rsid w:val="00047A67"/>
    <w:rsid w:val="000508F2"/>
    <w:rsid w:val="00050908"/>
    <w:rsid w:val="000517A8"/>
    <w:rsid w:val="00051A18"/>
    <w:rsid w:val="00051B3E"/>
    <w:rsid w:val="00051F1B"/>
    <w:rsid w:val="0005217C"/>
    <w:rsid w:val="0005252F"/>
    <w:rsid w:val="000526E9"/>
    <w:rsid w:val="00052B2E"/>
    <w:rsid w:val="000535BB"/>
    <w:rsid w:val="000538E6"/>
    <w:rsid w:val="00053AFD"/>
    <w:rsid w:val="00053F7E"/>
    <w:rsid w:val="0005447E"/>
    <w:rsid w:val="00054814"/>
    <w:rsid w:val="00054816"/>
    <w:rsid w:val="00054B0A"/>
    <w:rsid w:val="00054CB8"/>
    <w:rsid w:val="00054FAB"/>
    <w:rsid w:val="000550B0"/>
    <w:rsid w:val="00055266"/>
    <w:rsid w:val="00055872"/>
    <w:rsid w:val="00056288"/>
    <w:rsid w:val="000564F4"/>
    <w:rsid w:val="00056577"/>
    <w:rsid w:val="00056C00"/>
    <w:rsid w:val="0005705F"/>
    <w:rsid w:val="000573A9"/>
    <w:rsid w:val="00057965"/>
    <w:rsid w:val="00060003"/>
    <w:rsid w:val="0006037A"/>
    <w:rsid w:val="00060BF1"/>
    <w:rsid w:val="000615A0"/>
    <w:rsid w:val="00061859"/>
    <w:rsid w:val="00061B44"/>
    <w:rsid w:val="00061F37"/>
    <w:rsid w:val="0006210C"/>
    <w:rsid w:val="00062178"/>
    <w:rsid w:val="000626F7"/>
    <w:rsid w:val="00062A25"/>
    <w:rsid w:val="0006317D"/>
    <w:rsid w:val="000631EB"/>
    <w:rsid w:val="00063314"/>
    <w:rsid w:val="000636AC"/>
    <w:rsid w:val="00063CA7"/>
    <w:rsid w:val="0006442C"/>
    <w:rsid w:val="000649AC"/>
    <w:rsid w:val="00064BE1"/>
    <w:rsid w:val="000655E0"/>
    <w:rsid w:val="00065780"/>
    <w:rsid w:val="0006605D"/>
    <w:rsid w:val="0006629E"/>
    <w:rsid w:val="0006665A"/>
    <w:rsid w:val="00066831"/>
    <w:rsid w:val="00066B9E"/>
    <w:rsid w:val="00066C81"/>
    <w:rsid w:val="00066E16"/>
    <w:rsid w:val="00067A5D"/>
    <w:rsid w:val="00067D5C"/>
    <w:rsid w:val="000700C4"/>
    <w:rsid w:val="00070692"/>
    <w:rsid w:val="00070A6D"/>
    <w:rsid w:val="00070E17"/>
    <w:rsid w:val="00070E38"/>
    <w:rsid w:val="00071218"/>
    <w:rsid w:val="00071DB1"/>
    <w:rsid w:val="00071FE6"/>
    <w:rsid w:val="000721E3"/>
    <w:rsid w:val="0007230C"/>
    <w:rsid w:val="000728F0"/>
    <w:rsid w:val="000729BC"/>
    <w:rsid w:val="00073142"/>
    <w:rsid w:val="0007337C"/>
    <w:rsid w:val="000735D0"/>
    <w:rsid w:val="00073C70"/>
    <w:rsid w:val="00073E65"/>
    <w:rsid w:val="00074922"/>
    <w:rsid w:val="00074D98"/>
    <w:rsid w:val="00075233"/>
    <w:rsid w:val="0007536E"/>
    <w:rsid w:val="000756DE"/>
    <w:rsid w:val="0007582A"/>
    <w:rsid w:val="0007582F"/>
    <w:rsid w:val="00075B12"/>
    <w:rsid w:val="00075ED5"/>
    <w:rsid w:val="00075FB7"/>
    <w:rsid w:val="00076469"/>
    <w:rsid w:val="000764F0"/>
    <w:rsid w:val="0007679B"/>
    <w:rsid w:val="00076D86"/>
    <w:rsid w:val="00077445"/>
    <w:rsid w:val="0007793E"/>
    <w:rsid w:val="00077D75"/>
    <w:rsid w:val="00080037"/>
    <w:rsid w:val="00080656"/>
    <w:rsid w:val="000815CD"/>
    <w:rsid w:val="00081F70"/>
    <w:rsid w:val="000822D6"/>
    <w:rsid w:val="000823A4"/>
    <w:rsid w:val="0008268D"/>
    <w:rsid w:val="000828FE"/>
    <w:rsid w:val="00082CB3"/>
    <w:rsid w:val="00083173"/>
    <w:rsid w:val="000832FD"/>
    <w:rsid w:val="00083AE7"/>
    <w:rsid w:val="00083E7C"/>
    <w:rsid w:val="00083EFE"/>
    <w:rsid w:val="0008451B"/>
    <w:rsid w:val="00084726"/>
    <w:rsid w:val="00084CBF"/>
    <w:rsid w:val="00084D70"/>
    <w:rsid w:val="00084D98"/>
    <w:rsid w:val="00085001"/>
    <w:rsid w:val="00085A63"/>
    <w:rsid w:val="00085E97"/>
    <w:rsid w:val="000863E4"/>
    <w:rsid w:val="0008651B"/>
    <w:rsid w:val="00086625"/>
    <w:rsid w:val="00086E10"/>
    <w:rsid w:val="0008724B"/>
    <w:rsid w:val="00087680"/>
    <w:rsid w:val="00087B1D"/>
    <w:rsid w:val="00087E48"/>
    <w:rsid w:val="00087FA0"/>
    <w:rsid w:val="00090A76"/>
    <w:rsid w:val="00090AEF"/>
    <w:rsid w:val="00090CE2"/>
    <w:rsid w:val="000912CE"/>
    <w:rsid w:val="0009151E"/>
    <w:rsid w:val="0009160F"/>
    <w:rsid w:val="00091747"/>
    <w:rsid w:val="000917C6"/>
    <w:rsid w:val="000919A2"/>
    <w:rsid w:val="00091AC1"/>
    <w:rsid w:val="00091FB3"/>
    <w:rsid w:val="000920CD"/>
    <w:rsid w:val="000920FD"/>
    <w:rsid w:val="000924EC"/>
    <w:rsid w:val="000924F2"/>
    <w:rsid w:val="000925EC"/>
    <w:rsid w:val="0009280A"/>
    <w:rsid w:val="0009292A"/>
    <w:rsid w:val="00092C87"/>
    <w:rsid w:val="00092EF2"/>
    <w:rsid w:val="00093834"/>
    <w:rsid w:val="00093934"/>
    <w:rsid w:val="00093C95"/>
    <w:rsid w:val="000944CF"/>
    <w:rsid w:val="000947D0"/>
    <w:rsid w:val="00094FFC"/>
    <w:rsid w:val="0009503A"/>
    <w:rsid w:val="000953FB"/>
    <w:rsid w:val="00095F57"/>
    <w:rsid w:val="00096012"/>
    <w:rsid w:val="00096108"/>
    <w:rsid w:val="00096677"/>
    <w:rsid w:val="00096CC6"/>
    <w:rsid w:val="00096FAD"/>
    <w:rsid w:val="00097273"/>
    <w:rsid w:val="00097305"/>
    <w:rsid w:val="000973D8"/>
    <w:rsid w:val="00097C82"/>
    <w:rsid w:val="00097DA5"/>
    <w:rsid w:val="000A013E"/>
    <w:rsid w:val="000A0365"/>
    <w:rsid w:val="000A0484"/>
    <w:rsid w:val="000A0785"/>
    <w:rsid w:val="000A0D00"/>
    <w:rsid w:val="000A1274"/>
    <w:rsid w:val="000A1638"/>
    <w:rsid w:val="000A1870"/>
    <w:rsid w:val="000A1A0F"/>
    <w:rsid w:val="000A1CB3"/>
    <w:rsid w:val="000A1F89"/>
    <w:rsid w:val="000A21E2"/>
    <w:rsid w:val="000A2355"/>
    <w:rsid w:val="000A24A0"/>
    <w:rsid w:val="000A24BD"/>
    <w:rsid w:val="000A25E5"/>
    <w:rsid w:val="000A2AF0"/>
    <w:rsid w:val="000A2C0A"/>
    <w:rsid w:val="000A3177"/>
    <w:rsid w:val="000A38CC"/>
    <w:rsid w:val="000A4065"/>
    <w:rsid w:val="000A4A82"/>
    <w:rsid w:val="000A4C07"/>
    <w:rsid w:val="000A52B9"/>
    <w:rsid w:val="000A5731"/>
    <w:rsid w:val="000A5BE3"/>
    <w:rsid w:val="000A5D9A"/>
    <w:rsid w:val="000A6276"/>
    <w:rsid w:val="000A63B5"/>
    <w:rsid w:val="000A65E7"/>
    <w:rsid w:val="000A6D7E"/>
    <w:rsid w:val="000A6DFC"/>
    <w:rsid w:val="000A6EC3"/>
    <w:rsid w:val="000A70D1"/>
    <w:rsid w:val="000A7165"/>
    <w:rsid w:val="000A72F0"/>
    <w:rsid w:val="000A77C1"/>
    <w:rsid w:val="000B0666"/>
    <w:rsid w:val="000B072F"/>
    <w:rsid w:val="000B0A13"/>
    <w:rsid w:val="000B0D0B"/>
    <w:rsid w:val="000B0F1D"/>
    <w:rsid w:val="000B0FC9"/>
    <w:rsid w:val="000B11D8"/>
    <w:rsid w:val="000B13DA"/>
    <w:rsid w:val="000B14AC"/>
    <w:rsid w:val="000B19C1"/>
    <w:rsid w:val="000B1C3D"/>
    <w:rsid w:val="000B1CC5"/>
    <w:rsid w:val="000B2317"/>
    <w:rsid w:val="000B2534"/>
    <w:rsid w:val="000B2615"/>
    <w:rsid w:val="000B291D"/>
    <w:rsid w:val="000B2A1D"/>
    <w:rsid w:val="000B2A5A"/>
    <w:rsid w:val="000B317D"/>
    <w:rsid w:val="000B341E"/>
    <w:rsid w:val="000B3ED1"/>
    <w:rsid w:val="000B483D"/>
    <w:rsid w:val="000B4ADC"/>
    <w:rsid w:val="000B4BC8"/>
    <w:rsid w:val="000B4F93"/>
    <w:rsid w:val="000B4FE9"/>
    <w:rsid w:val="000B52A6"/>
    <w:rsid w:val="000B52C3"/>
    <w:rsid w:val="000B579C"/>
    <w:rsid w:val="000B58F0"/>
    <w:rsid w:val="000B6085"/>
    <w:rsid w:val="000B6FA0"/>
    <w:rsid w:val="000B72B4"/>
    <w:rsid w:val="000B7422"/>
    <w:rsid w:val="000B75B8"/>
    <w:rsid w:val="000B7C91"/>
    <w:rsid w:val="000C0221"/>
    <w:rsid w:val="000C0420"/>
    <w:rsid w:val="000C04E3"/>
    <w:rsid w:val="000C06BA"/>
    <w:rsid w:val="000C0C19"/>
    <w:rsid w:val="000C0D26"/>
    <w:rsid w:val="000C0D2B"/>
    <w:rsid w:val="000C14EA"/>
    <w:rsid w:val="000C188C"/>
    <w:rsid w:val="000C1B2F"/>
    <w:rsid w:val="000C1EDE"/>
    <w:rsid w:val="000C2071"/>
    <w:rsid w:val="000C223F"/>
    <w:rsid w:val="000C2D0D"/>
    <w:rsid w:val="000C2FFD"/>
    <w:rsid w:val="000C30AC"/>
    <w:rsid w:val="000C36D9"/>
    <w:rsid w:val="000C3AF2"/>
    <w:rsid w:val="000C424C"/>
    <w:rsid w:val="000C4A4A"/>
    <w:rsid w:val="000C4E23"/>
    <w:rsid w:val="000C512A"/>
    <w:rsid w:val="000C5214"/>
    <w:rsid w:val="000C638B"/>
    <w:rsid w:val="000C6487"/>
    <w:rsid w:val="000C6C58"/>
    <w:rsid w:val="000C6CEA"/>
    <w:rsid w:val="000C6E0D"/>
    <w:rsid w:val="000C6E5C"/>
    <w:rsid w:val="000C6EED"/>
    <w:rsid w:val="000C6FA5"/>
    <w:rsid w:val="000C7266"/>
    <w:rsid w:val="000C7444"/>
    <w:rsid w:val="000C7999"/>
    <w:rsid w:val="000C7D73"/>
    <w:rsid w:val="000D014C"/>
    <w:rsid w:val="000D0B7F"/>
    <w:rsid w:val="000D1214"/>
    <w:rsid w:val="000D15F5"/>
    <w:rsid w:val="000D167F"/>
    <w:rsid w:val="000D1739"/>
    <w:rsid w:val="000D1C99"/>
    <w:rsid w:val="000D201D"/>
    <w:rsid w:val="000D278B"/>
    <w:rsid w:val="000D2DB7"/>
    <w:rsid w:val="000D31B7"/>
    <w:rsid w:val="000D3943"/>
    <w:rsid w:val="000D3B1B"/>
    <w:rsid w:val="000D3B41"/>
    <w:rsid w:val="000D3BE2"/>
    <w:rsid w:val="000D4BBD"/>
    <w:rsid w:val="000D4D52"/>
    <w:rsid w:val="000D5195"/>
    <w:rsid w:val="000D5BD2"/>
    <w:rsid w:val="000D6202"/>
    <w:rsid w:val="000D6620"/>
    <w:rsid w:val="000D67EA"/>
    <w:rsid w:val="000D686A"/>
    <w:rsid w:val="000D6EE8"/>
    <w:rsid w:val="000D6F9F"/>
    <w:rsid w:val="000D7087"/>
    <w:rsid w:val="000D7572"/>
    <w:rsid w:val="000D7769"/>
    <w:rsid w:val="000D77C5"/>
    <w:rsid w:val="000D7822"/>
    <w:rsid w:val="000D790C"/>
    <w:rsid w:val="000D7A98"/>
    <w:rsid w:val="000E057B"/>
    <w:rsid w:val="000E0E85"/>
    <w:rsid w:val="000E1171"/>
    <w:rsid w:val="000E196A"/>
    <w:rsid w:val="000E1DD6"/>
    <w:rsid w:val="000E281F"/>
    <w:rsid w:val="000E2F0A"/>
    <w:rsid w:val="000E35F9"/>
    <w:rsid w:val="000E3722"/>
    <w:rsid w:val="000E3ECF"/>
    <w:rsid w:val="000E4502"/>
    <w:rsid w:val="000E4993"/>
    <w:rsid w:val="000E4A3F"/>
    <w:rsid w:val="000E4B07"/>
    <w:rsid w:val="000E4BA4"/>
    <w:rsid w:val="000E4F74"/>
    <w:rsid w:val="000E4FDD"/>
    <w:rsid w:val="000E528A"/>
    <w:rsid w:val="000E53D1"/>
    <w:rsid w:val="000E5804"/>
    <w:rsid w:val="000E593C"/>
    <w:rsid w:val="000E61F4"/>
    <w:rsid w:val="000E62B1"/>
    <w:rsid w:val="000E6571"/>
    <w:rsid w:val="000E6AAE"/>
    <w:rsid w:val="000E6EE7"/>
    <w:rsid w:val="000E709B"/>
    <w:rsid w:val="000E7555"/>
    <w:rsid w:val="000E760C"/>
    <w:rsid w:val="000E76A3"/>
    <w:rsid w:val="000E7794"/>
    <w:rsid w:val="000E7E18"/>
    <w:rsid w:val="000F013E"/>
    <w:rsid w:val="000F033C"/>
    <w:rsid w:val="000F03DA"/>
    <w:rsid w:val="000F0493"/>
    <w:rsid w:val="000F0640"/>
    <w:rsid w:val="000F07B4"/>
    <w:rsid w:val="000F0C25"/>
    <w:rsid w:val="000F0E3B"/>
    <w:rsid w:val="000F10E5"/>
    <w:rsid w:val="000F17C4"/>
    <w:rsid w:val="000F1897"/>
    <w:rsid w:val="000F2108"/>
    <w:rsid w:val="000F24D5"/>
    <w:rsid w:val="000F26A4"/>
    <w:rsid w:val="000F2982"/>
    <w:rsid w:val="000F2D3D"/>
    <w:rsid w:val="000F3E2D"/>
    <w:rsid w:val="000F414D"/>
    <w:rsid w:val="000F41EC"/>
    <w:rsid w:val="000F43B1"/>
    <w:rsid w:val="000F452B"/>
    <w:rsid w:val="000F52DC"/>
    <w:rsid w:val="000F57A8"/>
    <w:rsid w:val="000F5815"/>
    <w:rsid w:val="000F6462"/>
    <w:rsid w:val="000F6723"/>
    <w:rsid w:val="000F6DBA"/>
    <w:rsid w:val="000F6F4D"/>
    <w:rsid w:val="000F6FD0"/>
    <w:rsid w:val="000F7FCC"/>
    <w:rsid w:val="00100107"/>
    <w:rsid w:val="00100543"/>
    <w:rsid w:val="00100720"/>
    <w:rsid w:val="00100B77"/>
    <w:rsid w:val="00100F69"/>
    <w:rsid w:val="0010169D"/>
    <w:rsid w:val="00101748"/>
    <w:rsid w:val="00101E65"/>
    <w:rsid w:val="001021CA"/>
    <w:rsid w:val="001023B0"/>
    <w:rsid w:val="00102B4A"/>
    <w:rsid w:val="00102B5B"/>
    <w:rsid w:val="0010320F"/>
    <w:rsid w:val="001037C0"/>
    <w:rsid w:val="00103937"/>
    <w:rsid w:val="00103A3D"/>
    <w:rsid w:val="001045AE"/>
    <w:rsid w:val="001049E4"/>
    <w:rsid w:val="00104C9D"/>
    <w:rsid w:val="0010511E"/>
    <w:rsid w:val="00105421"/>
    <w:rsid w:val="00105858"/>
    <w:rsid w:val="00105931"/>
    <w:rsid w:val="00105945"/>
    <w:rsid w:val="001059A3"/>
    <w:rsid w:val="00105A8D"/>
    <w:rsid w:val="00105B0A"/>
    <w:rsid w:val="00105DDF"/>
    <w:rsid w:val="00105F48"/>
    <w:rsid w:val="001060F2"/>
    <w:rsid w:val="00106390"/>
    <w:rsid w:val="001064C8"/>
    <w:rsid w:val="00106636"/>
    <w:rsid w:val="0010675C"/>
    <w:rsid w:val="00106D39"/>
    <w:rsid w:val="00106F0D"/>
    <w:rsid w:val="00107475"/>
    <w:rsid w:val="001079ED"/>
    <w:rsid w:val="00107A8C"/>
    <w:rsid w:val="00107BB6"/>
    <w:rsid w:val="00107E4B"/>
    <w:rsid w:val="00111018"/>
    <w:rsid w:val="0011188B"/>
    <w:rsid w:val="00111D70"/>
    <w:rsid w:val="00111DA3"/>
    <w:rsid w:val="00111E8E"/>
    <w:rsid w:val="0011218A"/>
    <w:rsid w:val="0011218C"/>
    <w:rsid w:val="001122B6"/>
    <w:rsid w:val="001124F6"/>
    <w:rsid w:val="00112672"/>
    <w:rsid w:val="001130BE"/>
    <w:rsid w:val="001133CA"/>
    <w:rsid w:val="0011356F"/>
    <w:rsid w:val="00113B43"/>
    <w:rsid w:val="001140A3"/>
    <w:rsid w:val="0011446D"/>
    <w:rsid w:val="00114729"/>
    <w:rsid w:val="00114802"/>
    <w:rsid w:val="00114A31"/>
    <w:rsid w:val="00114A85"/>
    <w:rsid w:val="00114B49"/>
    <w:rsid w:val="00115B47"/>
    <w:rsid w:val="00115D8B"/>
    <w:rsid w:val="0011697C"/>
    <w:rsid w:val="00116C11"/>
    <w:rsid w:val="00116E24"/>
    <w:rsid w:val="00117183"/>
    <w:rsid w:val="00117191"/>
    <w:rsid w:val="0011727A"/>
    <w:rsid w:val="00117435"/>
    <w:rsid w:val="00117606"/>
    <w:rsid w:val="00117B11"/>
    <w:rsid w:val="00117E39"/>
    <w:rsid w:val="00120111"/>
    <w:rsid w:val="00120278"/>
    <w:rsid w:val="00120EAC"/>
    <w:rsid w:val="00120FC1"/>
    <w:rsid w:val="001210B8"/>
    <w:rsid w:val="00121220"/>
    <w:rsid w:val="00121356"/>
    <w:rsid w:val="00121623"/>
    <w:rsid w:val="00121C10"/>
    <w:rsid w:val="00122134"/>
    <w:rsid w:val="00122151"/>
    <w:rsid w:val="00122201"/>
    <w:rsid w:val="0012220E"/>
    <w:rsid w:val="00122288"/>
    <w:rsid w:val="001223D4"/>
    <w:rsid w:val="00122A47"/>
    <w:rsid w:val="00122C5C"/>
    <w:rsid w:val="00122D97"/>
    <w:rsid w:val="00122FA4"/>
    <w:rsid w:val="0012342E"/>
    <w:rsid w:val="00123523"/>
    <w:rsid w:val="001238FF"/>
    <w:rsid w:val="00123DA2"/>
    <w:rsid w:val="00123F7E"/>
    <w:rsid w:val="00125577"/>
    <w:rsid w:val="001256EE"/>
    <w:rsid w:val="0012585E"/>
    <w:rsid w:val="00125AFF"/>
    <w:rsid w:val="001261D1"/>
    <w:rsid w:val="001263A7"/>
    <w:rsid w:val="00126546"/>
    <w:rsid w:val="001276A1"/>
    <w:rsid w:val="0012771E"/>
    <w:rsid w:val="001277EC"/>
    <w:rsid w:val="0013029A"/>
    <w:rsid w:val="00130FBE"/>
    <w:rsid w:val="001319B7"/>
    <w:rsid w:val="00131ECD"/>
    <w:rsid w:val="00132269"/>
    <w:rsid w:val="001323C6"/>
    <w:rsid w:val="00132827"/>
    <w:rsid w:val="00132D1B"/>
    <w:rsid w:val="00132F19"/>
    <w:rsid w:val="00132FFA"/>
    <w:rsid w:val="0013305A"/>
    <w:rsid w:val="0013397D"/>
    <w:rsid w:val="00133D27"/>
    <w:rsid w:val="001342F0"/>
    <w:rsid w:val="00134569"/>
    <w:rsid w:val="00134CD3"/>
    <w:rsid w:val="00134FA8"/>
    <w:rsid w:val="001351FC"/>
    <w:rsid w:val="00135469"/>
    <w:rsid w:val="001354D9"/>
    <w:rsid w:val="00135820"/>
    <w:rsid w:val="00135E7E"/>
    <w:rsid w:val="0013669C"/>
    <w:rsid w:val="00136F87"/>
    <w:rsid w:val="0013737B"/>
    <w:rsid w:val="001374B0"/>
    <w:rsid w:val="001407AB"/>
    <w:rsid w:val="00140974"/>
    <w:rsid w:val="00140BF8"/>
    <w:rsid w:val="00140C43"/>
    <w:rsid w:val="00140D16"/>
    <w:rsid w:val="00140D39"/>
    <w:rsid w:val="0014125D"/>
    <w:rsid w:val="0014135F"/>
    <w:rsid w:val="0014137F"/>
    <w:rsid w:val="00141518"/>
    <w:rsid w:val="00141546"/>
    <w:rsid w:val="00141846"/>
    <w:rsid w:val="0014196F"/>
    <w:rsid w:val="001419E6"/>
    <w:rsid w:val="00141A07"/>
    <w:rsid w:val="00141B2C"/>
    <w:rsid w:val="00141C8D"/>
    <w:rsid w:val="00141D17"/>
    <w:rsid w:val="00142410"/>
    <w:rsid w:val="00142637"/>
    <w:rsid w:val="001427A5"/>
    <w:rsid w:val="00142C13"/>
    <w:rsid w:val="00142D00"/>
    <w:rsid w:val="00143304"/>
    <w:rsid w:val="001433DE"/>
    <w:rsid w:val="00143B16"/>
    <w:rsid w:val="00143D39"/>
    <w:rsid w:val="00143E3E"/>
    <w:rsid w:val="001442DD"/>
    <w:rsid w:val="00144553"/>
    <w:rsid w:val="001446AA"/>
    <w:rsid w:val="001452D9"/>
    <w:rsid w:val="001454B3"/>
    <w:rsid w:val="001456FB"/>
    <w:rsid w:val="00145DBA"/>
    <w:rsid w:val="00146C42"/>
    <w:rsid w:val="00146F97"/>
    <w:rsid w:val="001472F9"/>
    <w:rsid w:val="001475B1"/>
    <w:rsid w:val="00147708"/>
    <w:rsid w:val="001478B9"/>
    <w:rsid w:val="00147AC5"/>
    <w:rsid w:val="00147CBE"/>
    <w:rsid w:val="00147D9D"/>
    <w:rsid w:val="00147DA6"/>
    <w:rsid w:val="00150250"/>
    <w:rsid w:val="0015068C"/>
    <w:rsid w:val="00150BBF"/>
    <w:rsid w:val="00150EE9"/>
    <w:rsid w:val="001511DE"/>
    <w:rsid w:val="0015194D"/>
    <w:rsid w:val="0015213C"/>
    <w:rsid w:val="00152192"/>
    <w:rsid w:val="001523EF"/>
    <w:rsid w:val="0015259F"/>
    <w:rsid w:val="0015297E"/>
    <w:rsid w:val="00152D8B"/>
    <w:rsid w:val="001531EF"/>
    <w:rsid w:val="00153628"/>
    <w:rsid w:val="0015387B"/>
    <w:rsid w:val="00153936"/>
    <w:rsid w:val="00153D49"/>
    <w:rsid w:val="00153D8C"/>
    <w:rsid w:val="00153EE1"/>
    <w:rsid w:val="00154246"/>
    <w:rsid w:val="0015493B"/>
    <w:rsid w:val="00154CA4"/>
    <w:rsid w:val="00154E97"/>
    <w:rsid w:val="00154EC7"/>
    <w:rsid w:val="001551B0"/>
    <w:rsid w:val="00155907"/>
    <w:rsid w:val="00156081"/>
    <w:rsid w:val="001560AA"/>
    <w:rsid w:val="001560F4"/>
    <w:rsid w:val="001561BE"/>
    <w:rsid w:val="0015627C"/>
    <w:rsid w:val="00156469"/>
    <w:rsid w:val="00156745"/>
    <w:rsid w:val="00156815"/>
    <w:rsid w:val="001574AC"/>
    <w:rsid w:val="00157D34"/>
    <w:rsid w:val="00157E86"/>
    <w:rsid w:val="00157FD8"/>
    <w:rsid w:val="001604E2"/>
    <w:rsid w:val="00160A30"/>
    <w:rsid w:val="00160DFD"/>
    <w:rsid w:val="00161032"/>
    <w:rsid w:val="0016104F"/>
    <w:rsid w:val="0016164C"/>
    <w:rsid w:val="00161714"/>
    <w:rsid w:val="0016199C"/>
    <w:rsid w:val="00161A22"/>
    <w:rsid w:val="0016243F"/>
    <w:rsid w:val="00162686"/>
    <w:rsid w:val="00162B30"/>
    <w:rsid w:val="00162B84"/>
    <w:rsid w:val="00162DCF"/>
    <w:rsid w:val="00163821"/>
    <w:rsid w:val="00163B9A"/>
    <w:rsid w:val="00163E2E"/>
    <w:rsid w:val="0016427F"/>
    <w:rsid w:val="0016470A"/>
    <w:rsid w:val="00164C9B"/>
    <w:rsid w:val="00164D55"/>
    <w:rsid w:val="001650B8"/>
    <w:rsid w:val="001650CE"/>
    <w:rsid w:val="00165207"/>
    <w:rsid w:val="00165739"/>
    <w:rsid w:val="00165FEA"/>
    <w:rsid w:val="00166456"/>
    <w:rsid w:val="00166688"/>
    <w:rsid w:val="00166B0D"/>
    <w:rsid w:val="00166B41"/>
    <w:rsid w:val="00166F4C"/>
    <w:rsid w:val="00167194"/>
    <w:rsid w:val="00167884"/>
    <w:rsid w:val="00167980"/>
    <w:rsid w:val="00170018"/>
    <w:rsid w:val="001701B8"/>
    <w:rsid w:val="00170552"/>
    <w:rsid w:val="001705C1"/>
    <w:rsid w:val="0017074B"/>
    <w:rsid w:val="0017076C"/>
    <w:rsid w:val="001708F0"/>
    <w:rsid w:val="00170DD1"/>
    <w:rsid w:val="00171234"/>
    <w:rsid w:val="001713EB"/>
    <w:rsid w:val="00171B23"/>
    <w:rsid w:val="00171D6C"/>
    <w:rsid w:val="001720D6"/>
    <w:rsid w:val="00172172"/>
    <w:rsid w:val="00172218"/>
    <w:rsid w:val="0017276F"/>
    <w:rsid w:val="00172863"/>
    <w:rsid w:val="00172D7E"/>
    <w:rsid w:val="00173374"/>
    <w:rsid w:val="001737D3"/>
    <w:rsid w:val="00173D4B"/>
    <w:rsid w:val="00173FF5"/>
    <w:rsid w:val="00174761"/>
    <w:rsid w:val="00174A85"/>
    <w:rsid w:val="00174C0E"/>
    <w:rsid w:val="00174D1F"/>
    <w:rsid w:val="0017521A"/>
    <w:rsid w:val="00175870"/>
    <w:rsid w:val="00175A5D"/>
    <w:rsid w:val="001760BA"/>
    <w:rsid w:val="001760D7"/>
    <w:rsid w:val="00176125"/>
    <w:rsid w:val="00176488"/>
    <w:rsid w:val="0017658F"/>
    <w:rsid w:val="00176A10"/>
    <w:rsid w:val="00176AD7"/>
    <w:rsid w:val="00176CFB"/>
    <w:rsid w:val="00176D87"/>
    <w:rsid w:val="00177266"/>
    <w:rsid w:val="001772B8"/>
    <w:rsid w:val="00177D3F"/>
    <w:rsid w:val="00177EA9"/>
    <w:rsid w:val="00180218"/>
    <w:rsid w:val="001802C4"/>
    <w:rsid w:val="00180A06"/>
    <w:rsid w:val="00180A1D"/>
    <w:rsid w:val="00180C04"/>
    <w:rsid w:val="00180C63"/>
    <w:rsid w:val="00180D1E"/>
    <w:rsid w:val="00181247"/>
    <w:rsid w:val="00181300"/>
    <w:rsid w:val="00181333"/>
    <w:rsid w:val="00181770"/>
    <w:rsid w:val="00181868"/>
    <w:rsid w:val="00181A9A"/>
    <w:rsid w:val="00181BC9"/>
    <w:rsid w:val="00182183"/>
    <w:rsid w:val="001829F3"/>
    <w:rsid w:val="001831CD"/>
    <w:rsid w:val="001832FF"/>
    <w:rsid w:val="00183FB2"/>
    <w:rsid w:val="0018441E"/>
    <w:rsid w:val="0018471C"/>
    <w:rsid w:val="00184965"/>
    <w:rsid w:val="00184BB3"/>
    <w:rsid w:val="00184C0D"/>
    <w:rsid w:val="001850DD"/>
    <w:rsid w:val="0018585F"/>
    <w:rsid w:val="00185C96"/>
    <w:rsid w:val="00185CA6"/>
    <w:rsid w:val="001867C1"/>
    <w:rsid w:val="001867CB"/>
    <w:rsid w:val="00186BB4"/>
    <w:rsid w:val="001874DA"/>
    <w:rsid w:val="001875B0"/>
    <w:rsid w:val="00187723"/>
    <w:rsid w:val="001877CC"/>
    <w:rsid w:val="001879D3"/>
    <w:rsid w:val="001906D5"/>
    <w:rsid w:val="00190863"/>
    <w:rsid w:val="00190C5E"/>
    <w:rsid w:val="00190DCE"/>
    <w:rsid w:val="00190F40"/>
    <w:rsid w:val="00190F58"/>
    <w:rsid w:val="00191931"/>
    <w:rsid w:val="001921CB"/>
    <w:rsid w:val="001921E6"/>
    <w:rsid w:val="001928AC"/>
    <w:rsid w:val="00193042"/>
    <w:rsid w:val="00193446"/>
    <w:rsid w:val="00193B6F"/>
    <w:rsid w:val="00193C3E"/>
    <w:rsid w:val="00193CEB"/>
    <w:rsid w:val="00193D8F"/>
    <w:rsid w:val="00194420"/>
    <w:rsid w:val="0019466C"/>
    <w:rsid w:val="001946BD"/>
    <w:rsid w:val="00195AE6"/>
    <w:rsid w:val="00195F13"/>
    <w:rsid w:val="00196549"/>
    <w:rsid w:val="001966AF"/>
    <w:rsid w:val="0019687C"/>
    <w:rsid w:val="00196921"/>
    <w:rsid w:val="00196A08"/>
    <w:rsid w:val="00196BD5"/>
    <w:rsid w:val="0019710A"/>
    <w:rsid w:val="00197314"/>
    <w:rsid w:val="0019735D"/>
    <w:rsid w:val="00197523"/>
    <w:rsid w:val="00197AAC"/>
    <w:rsid w:val="00197B64"/>
    <w:rsid w:val="00197B78"/>
    <w:rsid w:val="00197F1A"/>
    <w:rsid w:val="00197FA7"/>
    <w:rsid w:val="001A015C"/>
    <w:rsid w:val="001A044C"/>
    <w:rsid w:val="001A088D"/>
    <w:rsid w:val="001A098A"/>
    <w:rsid w:val="001A0AEB"/>
    <w:rsid w:val="001A0E59"/>
    <w:rsid w:val="001A1671"/>
    <w:rsid w:val="001A1FCC"/>
    <w:rsid w:val="001A24C4"/>
    <w:rsid w:val="001A26A8"/>
    <w:rsid w:val="001A29D3"/>
    <w:rsid w:val="001A2B42"/>
    <w:rsid w:val="001A339D"/>
    <w:rsid w:val="001A33FF"/>
    <w:rsid w:val="001A3A0C"/>
    <w:rsid w:val="001A4356"/>
    <w:rsid w:val="001A4380"/>
    <w:rsid w:val="001A4384"/>
    <w:rsid w:val="001A457F"/>
    <w:rsid w:val="001A477E"/>
    <w:rsid w:val="001A484B"/>
    <w:rsid w:val="001A4E28"/>
    <w:rsid w:val="001A4F97"/>
    <w:rsid w:val="001A52D6"/>
    <w:rsid w:val="001A53B1"/>
    <w:rsid w:val="001A53FE"/>
    <w:rsid w:val="001A60CA"/>
    <w:rsid w:val="001A6313"/>
    <w:rsid w:val="001A63AF"/>
    <w:rsid w:val="001A76D2"/>
    <w:rsid w:val="001A7716"/>
    <w:rsid w:val="001A771A"/>
    <w:rsid w:val="001B004D"/>
    <w:rsid w:val="001B0164"/>
    <w:rsid w:val="001B0199"/>
    <w:rsid w:val="001B02E9"/>
    <w:rsid w:val="001B0592"/>
    <w:rsid w:val="001B0B6E"/>
    <w:rsid w:val="001B0E08"/>
    <w:rsid w:val="001B1070"/>
    <w:rsid w:val="001B135E"/>
    <w:rsid w:val="001B158D"/>
    <w:rsid w:val="001B175E"/>
    <w:rsid w:val="001B1F2A"/>
    <w:rsid w:val="001B21AF"/>
    <w:rsid w:val="001B2C1C"/>
    <w:rsid w:val="001B2D95"/>
    <w:rsid w:val="001B2E40"/>
    <w:rsid w:val="001B35D8"/>
    <w:rsid w:val="001B36EE"/>
    <w:rsid w:val="001B389C"/>
    <w:rsid w:val="001B3CB1"/>
    <w:rsid w:val="001B3CF2"/>
    <w:rsid w:val="001B3FBE"/>
    <w:rsid w:val="001B4216"/>
    <w:rsid w:val="001B439C"/>
    <w:rsid w:val="001B4A57"/>
    <w:rsid w:val="001B4A9A"/>
    <w:rsid w:val="001B5CF7"/>
    <w:rsid w:val="001B5EED"/>
    <w:rsid w:val="001B608E"/>
    <w:rsid w:val="001B6504"/>
    <w:rsid w:val="001B6892"/>
    <w:rsid w:val="001B6958"/>
    <w:rsid w:val="001B6FA6"/>
    <w:rsid w:val="001B707F"/>
    <w:rsid w:val="001B71D5"/>
    <w:rsid w:val="001B78DC"/>
    <w:rsid w:val="001B7D66"/>
    <w:rsid w:val="001C04EB"/>
    <w:rsid w:val="001C0655"/>
    <w:rsid w:val="001C148A"/>
    <w:rsid w:val="001C148B"/>
    <w:rsid w:val="001C19C2"/>
    <w:rsid w:val="001C2975"/>
    <w:rsid w:val="001C2B07"/>
    <w:rsid w:val="001C2B9B"/>
    <w:rsid w:val="001C3533"/>
    <w:rsid w:val="001C3B18"/>
    <w:rsid w:val="001C3B3B"/>
    <w:rsid w:val="001C492E"/>
    <w:rsid w:val="001C5172"/>
    <w:rsid w:val="001C51D2"/>
    <w:rsid w:val="001C558F"/>
    <w:rsid w:val="001C5681"/>
    <w:rsid w:val="001C5734"/>
    <w:rsid w:val="001C58F1"/>
    <w:rsid w:val="001C59CB"/>
    <w:rsid w:val="001C63C3"/>
    <w:rsid w:val="001C6574"/>
    <w:rsid w:val="001C6933"/>
    <w:rsid w:val="001C6BD7"/>
    <w:rsid w:val="001C6D49"/>
    <w:rsid w:val="001C6DB0"/>
    <w:rsid w:val="001C7756"/>
    <w:rsid w:val="001C7871"/>
    <w:rsid w:val="001D00FE"/>
    <w:rsid w:val="001D09E7"/>
    <w:rsid w:val="001D0ECE"/>
    <w:rsid w:val="001D1288"/>
    <w:rsid w:val="001D135F"/>
    <w:rsid w:val="001D1520"/>
    <w:rsid w:val="001D15B1"/>
    <w:rsid w:val="001D15CA"/>
    <w:rsid w:val="001D1D76"/>
    <w:rsid w:val="001D258D"/>
    <w:rsid w:val="001D2689"/>
    <w:rsid w:val="001D2B09"/>
    <w:rsid w:val="001D2B4A"/>
    <w:rsid w:val="001D2DA7"/>
    <w:rsid w:val="001D33FB"/>
    <w:rsid w:val="001D35A0"/>
    <w:rsid w:val="001D3C05"/>
    <w:rsid w:val="001D4C11"/>
    <w:rsid w:val="001D4C55"/>
    <w:rsid w:val="001D5018"/>
    <w:rsid w:val="001D5028"/>
    <w:rsid w:val="001D5176"/>
    <w:rsid w:val="001D5333"/>
    <w:rsid w:val="001D5335"/>
    <w:rsid w:val="001D553E"/>
    <w:rsid w:val="001D5915"/>
    <w:rsid w:val="001D5945"/>
    <w:rsid w:val="001D6470"/>
    <w:rsid w:val="001D6679"/>
    <w:rsid w:val="001D67A1"/>
    <w:rsid w:val="001D6847"/>
    <w:rsid w:val="001D6B88"/>
    <w:rsid w:val="001D6F54"/>
    <w:rsid w:val="001D740B"/>
    <w:rsid w:val="001D75A3"/>
    <w:rsid w:val="001E0233"/>
    <w:rsid w:val="001E0DC3"/>
    <w:rsid w:val="001E10F2"/>
    <w:rsid w:val="001E1431"/>
    <w:rsid w:val="001E173B"/>
    <w:rsid w:val="001E22B5"/>
    <w:rsid w:val="001E2D8E"/>
    <w:rsid w:val="001E3459"/>
    <w:rsid w:val="001E373E"/>
    <w:rsid w:val="001E4324"/>
    <w:rsid w:val="001E4517"/>
    <w:rsid w:val="001E49F1"/>
    <w:rsid w:val="001E4DE7"/>
    <w:rsid w:val="001E4ECD"/>
    <w:rsid w:val="001E5570"/>
    <w:rsid w:val="001E5C21"/>
    <w:rsid w:val="001E6300"/>
    <w:rsid w:val="001E638C"/>
    <w:rsid w:val="001E64D7"/>
    <w:rsid w:val="001E6A48"/>
    <w:rsid w:val="001E6AE2"/>
    <w:rsid w:val="001E6F49"/>
    <w:rsid w:val="001E6F73"/>
    <w:rsid w:val="001E720B"/>
    <w:rsid w:val="001E7669"/>
    <w:rsid w:val="001E7949"/>
    <w:rsid w:val="001E7B3F"/>
    <w:rsid w:val="001E7BDB"/>
    <w:rsid w:val="001E7DC5"/>
    <w:rsid w:val="001F0420"/>
    <w:rsid w:val="001F07CC"/>
    <w:rsid w:val="001F092C"/>
    <w:rsid w:val="001F1262"/>
    <w:rsid w:val="001F13A8"/>
    <w:rsid w:val="001F1710"/>
    <w:rsid w:val="001F18BE"/>
    <w:rsid w:val="001F1D40"/>
    <w:rsid w:val="001F1E69"/>
    <w:rsid w:val="001F28AB"/>
    <w:rsid w:val="001F3441"/>
    <w:rsid w:val="001F398B"/>
    <w:rsid w:val="001F3F98"/>
    <w:rsid w:val="001F412C"/>
    <w:rsid w:val="001F4336"/>
    <w:rsid w:val="001F4850"/>
    <w:rsid w:val="001F4C84"/>
    <w:rsid w:val="001F4D45"/>
    <w:rsid w:val="001F50BE"/>
    <w:rsid w:val="001F59CE"/>
    <w:rsid w:val="001F5C60"/>
    <w:rsid w:val="001F6200"/>
    <w:rsid w:val="001F676F"/>
    <w:rsid w:val="001F6C4F"/>
    <w:rsid w:val="001F737F"/>
    <w:rsid w:val="001F7384"/>
    <w:rsid w:val="001F743D"/>
    <w:rsid w:val="001F75B1"/>
    <w:rsid w:val="001F7691"/>
    <w:rsid w:val="001F7E36"/>
    <w:rsid w:val="001F7F25"/>
    <w:rsid w:val="00200375"/>
    <w:rsid w:val="00200543"/>
    <w:rsid w:val="00200636"/>
    <w:rsid w:val="00200874"/>
    <w:rsid w:val="00200B9B"/>
    <w:rsid w:val="00200EE2"/>
    <w:rsid w:val="00200F19"/>
    <w:rsid w:val="002011BF"/>
    <w:rsid w:val="00201297"/>
    <w:rsid w:val="002017CE"/>
    <w:rsid w:val="00201DFC"/>
    <w:rsid w:val="0020245F"/>
    <w:rsid w:val="00202774"/>
    <w:rsid w:val="00203423"/>
    <w:rsid w:val="002034AC"/>
    <w:rsid w:val="002035DC"/>
    <w:rsid w:val="00204A34"/>
    <w:rsid w:val="00204BF5"/>
    <w:rsid w:val="00204EE9"/>
    <w:rsid w:val="002058D8"/>
    <w:rsid w:val="002058E3"/>
    <w:rsid w:val="002058FC"/>
    <w:rsid w:val="00205B6F"/>
    <w:rsid w:val="00205CB0"/>
    <w:rsid w:val="0020620D"/>
    <w:rsid w:val="00206428"/>
    <w:rsid w:val="00206555"/>
    <w:rsid w:val="002065B7"/>
    <w:rsid w:val="002067C7"/>
    <w:rsid w:val="00206CF5"/>
    <w:rsid w:val="00207752"/>
    <w:rsid w:val="00207B81"/>
    <w:rsid w:val="00207CEE"/>
    <w:rsid w:val="002101D8"/>
    <w:rsid w:val="002107B4"/>
    <w:rsid w:val="00210B4F"/>
    <w:rsid w:val="00210C0B"/>
    <w:rsid w:val="0021192C"/>
    <w:rsid w:val="00212505"/>
    <w:rsid w:val="00212850"/>
    <w:rsid w:val="00212866"/>
    <w:rsid w:val="00212BBB"/>
    <w:rsid w:val="00212C1D"/>
    <w:rsid w:val="00212C89"/>
    <w:rsid w:val="0021321F"/>
    <w:rsid w:val="002134F8"/>
    <w:rsid w:val="0021382D"/>
    <w:rsid w:val="002139F5"/>
    <w:rsid w:val="002141CA"/>
    <w:rsid w:val="0021465C"/>
    <w:rsid w:val="002147F5"/>
    <w:rsid w:val="00214DE3"/>
    <w:rsid w:val="00214F42"/>
    <w:rsid w:val="00214FAA"/>
    <w:rsid w:val="002154FB"/>
    <w:rsid w:val="002155F5"/>
    <w:rsid w:val="00215864"/>
    <w:rsid w:val="00215B64"/>
    <w:rsid w:val="00215D90"/>
    <w:rsid w:val="00215E22"/>
    <w:rsid w:val="002161ED"/>
    <w:rsid w:val="00216979"/>
    <w:rsid w:val="00216C4D"/>
    <w:rsid w:val="00216C81"/>
    <w:rsid w:val="00216CD5"/>
    <w:rsid w:val="00217189"/>
    <w:rsid w:val="002176E0"/>
    <w:rsid w:val="00217AF3"/>
    <w:rsid w:val="00220384"/>
    <w:rsid w:val="00220436"/>
    <w:rsid w:val="00220784"/>
    <w:rsid w:val="002208F8"/>
    <w:rsid w:val="00220DEE"/>
    <w:rsid w:val="00220E6C"/>
    <w:rsid w:val="00221687"/>
    <w:rsid w:val="002217F5"/>
    <w:rsid w:val="00221A11"/>
    <w:rsid w:val="00221B00"/>
    <w:rsid w:val="00222C57"/>
    <w:rsid w:val="00222DE4"/>
    <w:rsid w:val="00222DEB"/>
    <w:rsid w:val="002247A0"/>
    <w:rsid w:val="00224E37"/>
    <w:rsid w:val="00225026"/>
    <w:rsid w:val="00225176"/>
    <w:rsid w:val="00225268"/>
    <w:rsid w:val="0022537E"/>
    <w:rsid w:val="00225475"/>
    <w:rsid w:val="002255D2"/>
    <w:rsid w:val="00225774"/>
    <w:rsid w:val="00225922"/>
    <w:rsid w:val="002259CF"/>
    <w:rsid w:val="00225A3E"/>
    <w:rsid w:val="00225F99"/>
    <w:rsid w:val="002261A6"/>
    <w:rsid w:val="002264D7"/>
    <w:rsid w:val="002265D2"/>
    <w:rsid w:val="00226635"/>
    <w:rsid w:val="0022696E"/>
    <w:rsid w:val="00226BE8"/>
    <w:rsid w:val="00226C8B"/>
    <w:rsid w:val="00226DB5"/>
    <w:rsid w:val="002276DD"/>
    <w:rsid w:val="0022785B"/>
    <w:rsid w:val="00227992"/>
    <w:rsid w:val="00227A81"/>
    <w:rsid w:val="00227C70"/>
    <w:rsid w:val="00230500"/>
    <w:rsid w:val="00230569"/>
    <w:rsid w:val="00230876"/>
    <w:rsid w:val="00231084"/>
    <w:rsid w:val="002320F4"/>
    <w:rsid w:val="00232386"/>
    <w:rsid w:val="00232A5A"/>
    <w:rsid w:val="00232B61"/>
    <w:rsid w:val="00232E7E"/>
    <w:rsid w:val="00233099"/>
    <w:rsid w:val="002336E3"/>
    <w:rsid w:val="00233842"/>
    <w:rsid w:val="00233946"/>
    <w:rsid w:val="00233967"/>
    <w:rsid w:val="0023399D"/>
    <w:rsid w:val="00233C5F"/>
    <w:rsid w:val="00233D69"/>
    <w:rsid w:val="00234002"/>
    <w:rsid w:val="0023420B"/>
    <w:rsid w:val="002345EA"/>
    <w:rsid w:val="002346F0"/>
    <w:rsid w:val="00234A6F"/>
    <w:rsid w:val="00234BFF"/>
    <w:rsid w:val="00234D41"/>
    <w:rsid w:val="0023522D"/>
    <w:rsid w:val="00236774"/>
    <w:rsid w:val="00237377"/>
    <w:rsid w:val="0023776F"/>
    <w:rsid w:val="00237780"/>
    <w:rsid w:val="00237884"/>
    <w:rsid w:val="00237CAF"/>
    <w:rsid w:val="00240811"/>
    <w:rsid w:val="00240BF6"/>
    <w:rsid w:val="002410EF"/>
    <w:rsid w:val="0024174B"/>
    <w:rsid w:val="002417F4"/>
    <w:rsid w:val="002419F4"/>
    <w:rsid w:val="00241A22"/>
    <w:rsid w:val="00241A55"/>
    <w:rsid w:val="00241FF2"/>
    <w:rsid w:val="00242035"/>
    <w:rsid w:val="002420DA"/>
    <w:rsid w:val="0024221C"/>
    <w:rsid w:val="0024235B"/>
    <w:rsid w:val="002424D6"/>
    <w:rsid w:val="00242DA5"/>
    <w:rsid w:val="00242E8C"/>
    <w:rsid w:val="00242E9B"/>
    <w:rsid w:val="002433C4"/>
    <w:rsid w:val="002439C4"/>
    <w:rsid w:val="00243A97"/>
    <w:rsid w:val="00243A9C"/>
    <w:rsid w:val="00243FAA"/>
    <w:rsid w:val="00244061"/>
    <w:rsid w:val="00244373"/>
    <w:rsid w:val="002444C3"/>
    <w:rsid w:val="00245007"/>
    <w:rsid w:val="00245171"/>
    <w:rsid w:val="002459E8"/>
    <w:rsid w:val="00245B35"/>
    <w:rsid w:val="00245EB0"/>
    <w:rsid w:val="00246875"/>
    <w:rsid w:val="00246975"/>
    <w:rsid w:val="00246C97"/>
    <w:rsid w:val="00247964"/>
    <w:rsid w:val="002479E2"/>
    <w:rsid w:val="00247C8C"/>
    <w:rsid w:val="00247E27"/>
    <w:rsid w:val="00250085"/>
    <w:rsid w:val="00250803"/>
    <w:rsid w:val="00250813"/>
    <w:rsid w:val="00250A04"/>
    <w:rsid w:val="00250A0F"/>
    <w:rsid w:val="00251059"/>
    <w:rsid w:val="00251363"/>
    <w:rsid w:val="0025196E"/>
    <w:rsid w:val="002519D4"/>
    <w:rsid w:val="002520A4"/>
    <w:rsid w:val="002522DE"/>
    <w:rsid w:val="00252512"/>
    <w:rsid w:val="0025289B"/>
    <w:rsid w:val="00252A7C"/>
    <w:rsid w:val="00252C4E"/>
    <w:rsid w:val="00252DCE"/>
    <w:rsid w:val="00252FF7"/>
    <w:rsid w:val="0025334A"/>
    <w:rsid w:val="0025350E"/>
    <w:rsid w:val="002538F2"/>
    <w:rsid w:val="0025454F"/>
    <w:rsid w:val="00254AF3"/>
    <w:rsid w:val="00254BC2"/>
    <w:rsid w:val="00254C83"/>
    <w:rsid w:val="00254CD1"/>
    <w:rsid w:val="002553C2"/>
    <w:rsid w:val="002557FA"/>
    <w:rsid w:val="00255808"/>
    <w:rsid w:val="00255919"/>
    <w:rsid w:val="00255EE9"/>
    <w:rsid w:val="00255F6E"/>
    <w:rsid w:val="002562FC"/>
    <w:rsid w:val="00256716"/>
    <w:rsid w:val="00256FD4"/>
    <w:rsid w:val="00257621"/>
    <w:rsid w:val="002577E1"/>
    <w:rsid w:val="00257C98"/>
    <w:rsid w:val="00257FF9"/>
    <w:rsid w:val="00260234"/>
    <w:rsid w:val="002606EB"/>
    <w:rsid w:val="002607CD"/>
    <w:rsid w:val="00260803"/>
    <w:rsid w:val="00260B5F"/>
    <w:rsid w:val="00260C91"/>
    <w:rsid w:val="0026114A"/>
    <w:rsid w:val="00261637"/>
    <w:rsid w:val="002618DC"/>
    <w:rsid w:val="00261906"/>
    <w:rsid w:val="00261A61"/>
    <w:rsid w:val="00261A8F"/>
    <w:rsid w:val="0026208D"/>
    <w:rsid w:val="002622C7"/>
    <w:rsid w:val="0026242F"/>
    <w:rsid w:val="00262540"/>
    <w:rsid w:val="00262636"/>
    <w:rsid w:val="00262869"/>
    <w:rsid w:val="0026287B"/>
    <w:rsid w:val="00262BB0"/>
    <w:rsid w:val="00262BC9"/>
    <w:rsid w:val="0026379D"/>
    <w:rsid w:val="00264593"/>
    <w:rsid w:val="002645DE"/>
    <w:rsid w:val="002645EF"/>
    <w:rsid w:val="00264F6A"/>
    <w:rsid w:val="002655A6"/>
    <w:rsid w:val="00265608"/>
    <w:rsid w:val="00265BF1"/>
    <w:rsid w:val="00265E7B"/>
    <w:rsid w:val="00265FFB"/>
    <w:rsid w:val="00266041"/>
    <w:rsid w:val="002660C0"/>
    <w:rsid w:val="0026619D"/>
    <w:rsid w:val="002662D4"/>
    <w:rsid w:val="00266506"/>
    <w:rsid w:val="00266565"/>
    <w:rsid w:val="002666E4"/>
    <w:rsid w:val="00266D99"/>
    <w:rsid w:val="00266EB9"/>
    <w:rsid w:val="00266FEF"/>
    <w:rsid w:val="002679A4"/>
    <w:rsid w:val="00267F82"/>
    <w:rsid w:val="0027040C"/>
    <w:rsid w:val="00270455"/>
    <w:rsid w:val="002704FF"/>
    <w:rsid w:val="0027054D"/>
    <w:rsid w:val="00270B68"/>
    <w:rsid w:val="00270C0C"/>
    <w:rsid w:val="0027118B"/>
    <w:rsid w:val="002713DD"/>
    <w:rsid w:val="002715DD"/>
    <w:rsid w:val="00271BBD"/>
    <w:rsid w:val="00271FAF"/>
    <w:rsid w:val="002720F6"/>
    <w:rsid w:val="002724CD"/>
    <w:rsid w:val="00272502"/>
    <w:rsid w:val="002728F4"/>
    <w:rsid w:val="00272DA6"/>
    <w:rsid w:val="00272E19"/>
    <w:rsid w:val="00273942"/>
    <w:rsid w:val="0027394B"/>
    <w:rsid w:val="00273D44"/>
    <w:rsid w:val="00273E27"/>
    <w:rsid w:val="00274170"/>
    <w:rsid w:val="002749F0"/>
    <w:rsid w:val="00274B91"/>
    <w:rsid w:val="00274DFB"/>
    <w:rsid w:val="00275148"/>
    <w:rsid w:val="00275166"/>
    <w:rsid w:val="002751D4"/>
    <w:rsid w:val="0027565B"/>
    <w:rsid w:val="002759D8"/>
    <w:rsid w:val="00275BC4"/>
    <w:rsid w:val="00275FAA"/>
    <w:rsid w:val="002764DE"/>
    <w:rsid w:val="002766DF"/>
    <w:rsid w:val="0027689F"/>
    <w:rsid w:val="00276A0E"/>
    <w:rsid w:val="00276BA5"/>
    <w:rsid w:val="0027785C"/>
    <w:rsid w:val="002800B8"/>
    <w:rsid w:val="002800CC"/>
    <w:rsid w:val="00280395"/>
    <w:rsid w:val="002803FA"/>
    <w:rsid w:val="00280534"/>
    <w:rsid w:val="0028063B"/>
    <w:rsid w:val="00280961"/>
    <w:rsid w:val="00280BB0"/>
    <w:rsid w:val="0028110D"/>
    <w:rsid w:val="002815C9"/>
    <w:rsid w:val="002816BF"/>
    <w:rsid w:val="002817D0"/>
    <w:rsid w:val="0028194C"/>
    <w:rsid w:val="00282292"/>
    <w:rsid w:val="0028245A"/>
    <w:rsid w:val="00282773"/>
    <w:rsid w:val="00282C33"/>
    <w:rsid w:val="00282DE1"/>
    <w:rsid w:val="0028325E"/>
    <w:rsid w:val="00283455"/>
    <w:rsid w:val="00283A01"/>
    <w:rsid w:val="00283AF2"/>
    <w:rsid w:val="00283CFF"/>
    <w:rsid w:val="00284677"/>
    <w:rsid w:val="00284DEF"/>
    <w:rsid w:val="00284E09"/>
    <w:rsid w:val="00284FCD"/>
    <w:rsid w:val="00284FD1"/>
    <w:rsid w:val="00285249"/>
    <w:rsid w:val="002855A2"/>
    <w:rsid w:val="002857C3"/>
    <w:rsid w:val="00285A02"/>
    <w:rsid w:val="002863D3"/>
    <w:rsid w:val="002863FA"/>
    <w:rsid w:val="0028662B"/>
    <w:rsid w:val="00286B9B"/>
    <w:rsid w:val="00286F90"/>
    <w:rsid w:val="002872F9"/>
    <w:rsid w:val="00287997"/>
    <w:rsid w:val="002879DD"/>
    <w:rsid w:val="00290AD8"/>
    <w:rsid w:val="00290B5E"/>
    <w:rsid w:val="00290C1F"/>
    <w:rsid w:val="00291392"/>
    <w:rsid w:val="002913A0"/>
    <w:rsid w:val="002917F6"/>
    <w:rsid w:val="0029209B"/>
    <w:rsid w:val="00292541"/>
    <w:rsid w:val="0029265D"/>
    <w:rsid w:val="00292896"/>
    <w:rsid w:val="002929F3"/>
    <w:rsid w:val="00292B87"/>
    <w:rsid w:val="002930FE"/>
    <w:rsid w:val="00293108"/>
    <w:rsid w:val="0029348A"/>
    <w:rsid w:val="00293BB4"/>
    <w:rsid w:val="00294060"/>
    <w:rsid w:val="002940FB"/>
    <w:rsid w:val="002941F5"/>
    <w:rsid w:val="002943FB"/>
    <w:rsid w:val="00294704"/>
    <w:rsid w:val="0029495B"/>
    <w:rsid w:val="002949C6"/>
    <w:rsid w:val="00294CFF"/>
    <w:rsid w:val="002952DA"/>
    <w:rsid w:val="00295527"/>
    <w:rsid w:val="00295860"/>
    <w:rsid w:val="00295A58"/>
    <w:rsid w:val="00295AE1"/>
    <w:rsid w:val="00295C9B"/>
    <w:rsid w:val="00295F29"/>
    <w:rsid w:val="002960F7"/>
    <w:rsid w:val="002964F0"/>
    <w:rsid w:val="0029666B"/>
    <w:rsid w:val="00296BB6"/>
    <w:rsid w:val="00296CDB"/>
    <w:rsid w:val="00296D6D"/>
    <w:rsid w:val="002973B6"/>
    <w:rsid w:val="0029788C"/>
    <w:rsid w:val="002979D9"/>
    <w:rsid w:val="00297C1B"/>
    <w:rsid w:val="00297D40"/>
    <w:rsid w:val="00297D84"/>
    <w:rsid w:val="002A001B"/>
    <w:rsid w:val="002A0440"/>
    <w:rsid w:val="002A0B7F"/>
    <w:rsid w:val="002A0D85"/>
    <w:rsid w:val="002A0D98"/>
    <w:rsid w:val="002A1826"/>
    <w:rsid w:val="002A1932"/>
    <w:rsid w:val="002A1B12"/>
    <w:rsid w:val="002A1E5B"/>
    <w:rsid w:val="002A2005"/>
    <w:rsid w:val="002A23CA"/>
    <w:rsid w:val="002A25BF"/>
    <w:rsid w:val="002A2B58"/>
    <w:rsid w:val="002A2DA0"/>
    <w:rsid w:val="002A305A"/>
    <w:rsid w:val="002A343B"/>
    <w:rsid w:val="002A348B"/>
    <w:rsid w:val="002A37AF"/>
    <w:rsid w:val="002A3826"/>
    <w:rsid w:val="002A3EF5"/>
    <w:rsid w:val="002A43B4"/>
    <w:rsid w:val="002A470D"/>
    <w:rsid w:val="002A4A39"/>
    <w:rsid w:val="002A5028"/>
    <w:rsid w:val="002A50E3"/>
    <w:rsid w:val="002A50F2"/>
    <w:rsid w:val="002A51B9"/>
    <w:rsid w:val="002A5262"/>
    <w:rsid w:val="002A5805"/>
    <w:rsid w:val="002A5EF6"/>
    <w:rsid w:val="002A5F75"/>
    <w:rsid w:val="002A6620"/>
    <w:rsid w:val="002A6784"/>
    <w:rsid w:val="002A695E"/>
    <w:rsid w:val="002A71AE"/>
    <w:rsid w:val="002A7280"/>
    <w:rsid w:val="002A7867"/>
    <w:rsid w:val="002A7BEB"/>
    <w:rsid w:val="002B0049"/>
    <w:rsid w:val="002B0297"/>
    <w:rsid w:val="002B0693"/>
    <w:rsid w:val="002B094E"/>
    <w:rsid w:val="002B1761"/>
    <w:rsid w:val="002B1F15"/>
    <w:rsid w:val="002B2379"/>
    <w:rsid w:val="002B2809"/>
    <w:rsid w:val="002B2932"/>
    <w:rsid w:val="002B2B40"/>
    <w:rsid w:val="002B308E"/>
    <w:rsid w:val="002B38B4"/>
    <w:rsid w:val="002B3A06"/>
    <w:rsid w:val="002B3A46"/>
    <w:rsid w:val="002B3ABD"/>
    <w:rsid w:val="002B3B45"/>
    <w:rsid w:val="002B3E2B"/>
    <w:rsid w:val="002B404D"/>
    <w:rsid w:val="002B4909"/>
    <w:rsid w:val="002B4DE0"/>
    <w:rsid w:val="002B5240"/>
    <w:rsid w:val="002B5EC8"/>
    <w:rsid w:val="002B5FE5"/>
    <w:rsid w:val="002B6186"/>
    <w:rsid w:val="002B684D"/>
    <w:rsid w:val="002B7D33"/>
    <w:rsid w:val="002B7DF2"/>
    <w:rsid w:val="002B7FC6"/>
    <w:rsid w:val="002C021C"/>
    <w:rsid w:val="002C0A8C"/>
    <w:rsid w:val="002C1187"/>
    <w:rsid w:val="002C1766"/>
    <w:rsid w:val="002C1DBB"/>
    <w:rsid w:val="002C23A1"/>
    <w:rsid w:val="002C27DF"/>
    <w:rsid w:val="002C29D9"/>
    <w:rsid w:val="002C3031"/>
    <w:rsid w:val="002C39C8"/>
    <w:rsid w:val="002C3E0A"/>
    <w:rsid w:val="002C4622"/>
    <w:rsid w:val="002C46C0"/>
    <w:rsid w:val="002C47AA"/>
    <w:rsid w:val="002C4B4B"/>
    <w:rsid w:val="002C5463"/>
    <w:rsid w:val="002C5845"/>
    <w:rsid w:val="002C65ED"/>
    <w:rsid w:val="002C6BA8"/>
    <w:rsid w:val="002C6E01"/>
    <w:rsid w:val="002C74CE"/>
    <w:rsid w:val="002C75CF"/>
    <w:rsid w:val="002C7AA3"/>
    <w:rsid w:val="002C7D22"/>
    <w:rsid w:val="002C7D35"/>
    <w:rsid w:val="002C7F7C"/>
    <w:rsid w:val="002D03DC"/>
    <w:rsid w:val="002D060F"/>
    <w:rsid w:val="002D08D4"/>
    <w:rsid w:val="002D0B6B"/>
    <w:rsid w:val="002D0E00"/>
    <w:rsid w:val="002D1734"/>
    <w:rsid w:val="002D183E"/>
    <w:rsid w:val="002D1B52"/>
    <w:rsid w:val="002D2357"/>
    <w:rsid w:val="002D27B1"/>
    <w:rsid w:val="002D27C8"/>
    <w:rsid w:val="002D2A53"/>
    <w:rsid w:val="002D2E61"/>
    <w:rsid w:val="002D3373"/>
    <w:rsid w:val="002D33D1"/>
    <w:rsid w:val="002D34F6"/>
    <w:rsid w:val="002D38A9"/>
    <w:rsid w:val="002D38F5"/>
    <w:rsid w:val="002D3AB8"/>
    <w:rsid w:val="002D3CB6"/>
    <w:rsid w:val="002D3F9F"/>
    <w:rsid w:val="002D4140"/>
    <w:rsid w:val="002D4281"/>
    <w:rsid w:val="002D4EF4"/>
    <w:rsid w:val="002D56D3"/>
    <w:rsid w:val="002D57F5"/>
    <w:rsid w:val="002D5E89"/>
    <w:rsid w:val="002D5F09"/>
    <w:rsid w:val="002D62E9"/>
    <w:rsid w:val="002D6690"/>
    <w:rsid w:val="002D6BC8"/>
    <w:rsid w:val="002D6F49"/>
    <w:rsid w:val="002D703E"/>
    <w:rsid w:val="002D74A2"/>
    <w:rsid w:val="002D7989"/>
    <w:rsid w:val="002E0321"/>
    <w:rsid w:val="002E03A7"/>
    <w:rsid w:val="002E0578"/>
    <w:rsid w:val="002E073B"/>
    <w:rsid w:val="002E0B3B"/>
    <w:rsid w:val="002E0DC9"/>
    <w:rsid w:val="002E0E28"/>
    <w:rsid w:val="002E1363"/>
    <w:rsid w:val="002E23BE"/>
    <w:rsid w:val="002E23F6"/>
    <w:rsid w:val="002E24A6"/>
    <w:rsid w:val="002E29EE"/>
    <w:rsid w:val="002E2A75"/>
    <w:rsid w:val="002E2B15"/>
    <w:rsid w:val="002E2DA8"/>
    <w:rsid w:val="002E324E"/>
    <w:rsid w:val="002E3412"/>
    <w:rsid w:val="002E34EB"/>
    <w:rsid w:val="002E376F"/>
    <w:rsid w:val="002E37D2"/>
    <w:rsid w:val="002E3B21"/>
    <w:rsid w:val="002E3D28"/>
    <w:rsid w:val="002E4BD5"/>
    <w:rsid w:val="002E4D7A"/>
    <w:rsid w:val="002E4DA5"/>
    <w:rsid w:val="002E4E56"/>
    <w:rsid w:val="002E4F0C"/>
    <w:rsid w:val="002E50FE"/>
    <w:rsid w:val="002E5C44"/>
    <w:rsid w:val="002E5EFA"/>
    <w:rsid w:val="002E6AC9"/>
    <w:rsid w:val="002E6DC4"/>
    <w:rsid w:val="002E738D"/>
    <w:rsid w:val="002E78CA"/>
    <w:rsid w:val="002E7B65"/>
    <w:rsid w:val="002E7D82"/>
    <w:rsid w:val="002F039F"/>
    <w:rsid w:val="002F087C"/>
    <w:rsid w:val="002F0B23"/>
    <w:rsid w:val="002F156F"/>
    <w:rsid w:val="002F20E1"/>
    <w:rsid w:val="002F227B"/>
    <w:rsid w:val="002F25CF"/>
    <w:rsid w:val="002F2A78"/>
    <w:rsid w:val="002F2B32"/>
    <w:rsid w:val="002F2BCC"/>
    <w:rsid w:val="002F30DB"/>
    <w:rsid w:val="002F3119"/>
    <w:rsid w:val="002F3407"/>
    <w:rsid w:val="002F342D"/>
    <w:rsid w:val="002F3D93"/>
    <w:rsid w:val="002F3E6B"/>
    <w:rsid w:val="002F4705"/>
    <w:rsid w:val="002F47AB"/>
    <w:rsid w:val="002F60AB"/>
    <w:rsid w:val="002F6129"/>
    <w:rsid w:val="002F61BD"/>
    <w:rsid w:val="002F6D02"/>
    <w:rsid w:val="002F7036"/>
    <w:rsid w:val="002F704C"/>
    <w:rsid w:val="002F70DC"/>
    <w:rsid w:val="002F7A22"/>
    <w:rsid w:val="002F7B95"/>
    <w:rsid w:val="002F7CEB"/>
    <w:rsid w:val="002F7D56"/>
    <w:rsid w:val="003000BF"/>
    <w:rsid w:val="003003A2"/>
    <w:rsid w:val="003007CC"/>
    <w:rsid w:val="003008C5"/>
    <w:rsid w:val="0030187F"/>
    <w:rsid w:val="00301B51"/>
    <w:rsid w:val="00301DE8"/>
    <w:rsid w:val="00301E32"/>
    <w:rsid w:val="00302360"/>
    <w:rsid w:val="0030274A"/>
    <w:rsid w:val="0030277A"/>
    <w:rsid w:val="00302834"/>
    <w:rsid w:val="00302979"/>
    <w:rsid w:val="00302B3F"/>
    <w:rsid w:val="00303088"/>
    <w:rsid w:val="00303143"/>
    <w:rsid w:val="00303B65"/>
    <w:rsid w:val="00303DB2"/>
    <w:rsid w:val="003041B8"/>
    <w:rsid w:val="00304651"/>
    <w:rsid w:val="00304D58"/>
    <w:rsid w:val="00304F08"/>
    <w:rsid w:val="00305084"/>
    <w:rsid w:val="00305528"/>
    <w:rsid w:val="0030593B"/>
    <w:rsid w:val="00305A8A"/>
    <w:rsid w:val="00305B8A"/>
    <w:rsid w:val="0030624C"/>
    <w:rsid w:val="003065C2"/>
    <w:rsid w:val="00306664"/>
    <w:rsid w:val="00306754"/>
    <w:rsid w:val="003068C9"/>
    <w:rsid w:val="00306D3E"/>
    <w:rsid w:val="00307405"/>
    <w:rsid w:val="00307968"/>
    <w:rsid w:val="00307B0F"/>
    <w:rsid w:val="00307BCC"/>
    <w:rsid w:val="00307C70"/>
    <w:rsid w:val="00310629"/>
    <w:rsid w:val="003107B5"/>
    <w:rsid w:val="003107D0"/>
    <w:rsid w:val="003107FE"/>
    <w:rsid w:val="00310CA5"/>
    <w:rsid w:val="00311037"/>
    <w:rsid w:val="003111E7"/>
    <w:rsid w:val="003114AB"/>
    <w:rsid w:val="00311672"/>
    <w:rsid w:val="00311A6D"/>
    <w:rsid w:val="00311E1A"/>
    <w:rsid w:val="003123BA"/>
    <w:rsid w:val="003124D3"/>
    <w:rsid w:val="00312556"/>
    <w:rsid w:val="00312709"/>
    <w:rsid w:val="00312F4B"/>
    <w:rsid w:val="003132CD"/>
    <w:rsid w:val="0031339A"/>
    <w:rsid w:val="0031379B"/>
    <w:rsid w:val="00313BBD"/>
    <w:rsid w:val="00313C96"/>
    <w:rsid w:val="00313D57"/>
    <w:rsid w:val="00314144"/>
    <w:rsid w:val="00314409"/>
    <w:rsid w:val="00314611"/>
    <w:rsid w:val="00314A12"/>
    <w:rsid w:val="00314B1D"/>
    <w:rsid w:val="00314CF2"/>
    <w:rsid w:val="00314E9E"/>
    <w:rsid w:val="00315266"/>
    <w:rsid w:val="003153F5"/>
    <w:rsid w:val="003155F0"/>
    <w:rsid w:val="0031561E"/>
    <w:rsid w:val="00315657"/>
    <w:rsid w:val="003158A8"/>
    <w:rsid w:val="00315BE6"/>
    <w:rsid w:val="003169F9"/>
    <w:rsid w:val="00316AA5"/>
    <w:rsid w:val="00316B22"/>
    <w:rsid w:val="00316CE4"/>
    <w:rsid w:val="00316D12"/>
    <w:rsid w:val="003173EE"/>
    <w:rsid w:val="00317507"/>
    <w:rsid w:val="00320059"/>
    <w:rsid w:val="00320463"/>
    <w:rsid w:val="003204A1"/>
    <w:rsid w:val="0032098D"/>
    <w:rsid w:val="00320A60"/>
    <w:rsid w:val="00320E22"/>
    <w:rsid w:val="00320F29"/>
    <w:rsid w:val="00321030"/>
    <w:rsid w:val="00321276"/>
    <w:rsid w:val="00321F4C"/>
    <w:rsid w:val="00322192"/>
    <w:rsid w:val="003221AB"/>
    <w:rsid w:val="00322700"/>
    <w:rsid w:val="0032273B"/>
    <w:rsid w:val="003227E8"/>
    <w:rsid w:val="00322BD9"/>
    <w:rsid w:val="00322DEC"/>
    <w:rsid w:val="00322ED3"/>
    <w:rsid w:val="0032303D"/>
    <w:rsid w:val="00323EEE"/>
    <w:rsid w:val="00323F6C"/>
    <w:rsid w:val="00324DF1"/>
    <w:rsid w:val="00325429"/>
    <w:rsid w:val="003254F8"/>
    <w:rsid w:val="003258C5"/>
    <w:rsid w:val="00325943"/>
    <w:rsid w:val="003259FC"/>
    <w:rsid w:val="003264E9"/>
    <w:rsid w:val="00326A31"/>
    <w:rsid w:val="00327289"/>
    <w:rsid w:val="003272F7"/>
    <w:rsid w:val="00327703"/>
    <w:rsid w:val="00327B6C"/>
    <w:rsid w:val="0033002F"/>
    <w:rsid w:val="0033005E"/>
    <w:rsid w:val="003303F6"/>
    <w:rsid w:val="00330979"/>
    <w:rsid w:val="0033146A"/>
    <w:rsid w:val="00331790"/>
    <w:rsid w:val="003319A1"/>
    <w:rsid w:val="003319FB"/>
    <w:rsid w:val="00331A93"/>
    <w:rsid w:val="00331C82"/>
    <w:rsid w:val="003324D7"/>
    <w:rsid w:val="00332904"/>
    <w:rsid w:val="0033355B"/>
    <w:rsid w:val="003335B4"/>
    <w:rsid w:val="00333807"/>
    <w:rsid w:val="00333D55"/>
    <w:rsid w:val="00333F5B"/>
    <w:rsid w:val="0033418C"/>
    <w:rsid w:val="00334C27"/>
    <w:rsid w:val="00334E75"/>
    <w:rsid w:val="00334F98"/>
    <w:rsid w:val="00334FF5"/>
    <w:rsid w:val="003357D9"/>
    <w:rsid w:val="00335930"/>
    <w:rsid w:val="00335934"/>
    <w:rsid w:val="00335A8E"/>
    <w:rsid w:val="00335EAF"/>
    <w:rsid w:val="003364E7"/>
    <w:rsid w:val="0033657F"/>
    <w:rsid w:val="00336A2B"/>
    <w:rsid w:val="00336AFE"/>
    <w:rsid w:val="00336B6B"/>
    <w:rsid w:val="00336C7B"/>
    <w:rsid w:val="00336EB0"/>
    <w:rsid w:val="0033707D"/>
    <w:rsid w:val="0033789B"/>
    <w:rsid w:val="00337A60"/>
    <w:rsid w:val="00337A89"/>
    <w:rsid w:val="00337C4C"/>
    <w:rsid w:val="00337CBF"/>
    <w:rsid w:val="00340062"/>
    <w:rsid w:val="0034055B"/>
    <w:rsid w:val="00340876"/>
    <w:rsid w:val="00341078"/>
    <w:rsid w:val="003410F4"/>
    <w:rsid w:val="00341785"/>
    <w:rsid w:val="0034192A"/>
    <w:rsid w:val="00341957"/>
    <w:rsid w:val="00341DEC"/>
    <w:rsid w:val="00341EB2"/>
    <w:rsid w:val="003425ED"/>
    <w:rsid w:val="00342624"/>
    <w:rsid w:val="00342D90"/>
    <w:rsid w:val="0034303C"/>
    <w:rsid w:val="00343062"/>
    <w:rsid w:val="003431B5"/>
    <w:rsid w:val="00343446"/>
    <w:rsid w:val="0034368F"/>
    <w:rsid w:val="0034391C"/>
    <w:rsid w:val="00343960"/>
    <w:rsid w:val="00343999"/>
    <w:rsid w:val="00343FC7"/>
    <w:rsid w:val="003443A7"/>
    <w:rsid w:val="003443BD"/>
    <w:rsid w:val="003445D0"/>
    <w:rsid w:val="00344756"/>
    <w:rsid w:val="003447B5"/>
    <w:rsid w:val="00344E52"/>
    <w:rsid w:val="003450DC"/>
    <w:rsid w:val="0034537A"/>
    <w:rsid w:val="00345D5A"/>
    <w:rsid w:val="00345DA7"/>
    <w:rsid w:val="00346181"/>
    <w:rsid w:val="00346577"/>
    <w:rsid w:val="003468CC"/>
    <w:rsid w:val="00346B4D"/>
    <w:rsid w:val="00346B4E"/>
    <w:rsid w:val="00346B5D"/>
    <w:rsid w:val="00346CF6"/>
    <w:rsid w:val="00346EF0"/>
    <w:rsid w:val="00347A5D"/>
    <w:rsid w:val="00347E5A"/>
    <w:rsid w:val="00347FAF"/>
    <w:rsid w:val="0035005E"/>
    <w:rsid w:val="003500BD"/>
    <w:rsid w:val="003501CA"/>
    <w:rsid w:val="003504A2"/>
    <w:rsid w:val="0035060F"/>
    <w:rsid w:val="00350E30"/>
    <w:rsid w:val="003512FD"/>
    <w:rsid w:val="00351C32"/>
    <w:rsid w:val="00351CE5"/>
    <w:rsid w:val="00351D3A"/>
    <w:rsid w:val="00351F0A"/>
    <w:rsid w:val="003521A3"/>
    <w:rsid w:val="003526E2"/>
    <w:rsid w:val="003527EC"/>
    <w:rsid w:val="0035285E"/>
    <w:rsid w:val="0035297F"/>
    <w:rsid w:val="00352E71"/>
    <w:rsid w:val="00353667"/>
    <w:rsid w:val="0035377D"/>
    <w:rsid w:val="00353904"/>
    <w:rsid w:val="003539FA"/>
    <w:rsid w:val="00353F23"/>
    <w:rsid w:val="00354420"/>
    <w:rsid w:val="003545CE"/>
    <w:rsid w:val="00354600"/>
    <w:rsid w:val="00354F29"/>
    <w:rsid w:val="0035507C"/>
    <w:rsid w:val="003550D4"/>
    <w:rsid w:val="0035589C"/>
    <w:rsid w:val="00355968"/>
    <w:rsid w:val="00355B55"/>
    <w:rsid w:val="00356037"/>
    <w:rsid w:val="003560EA"/>
    <w:rsid w:val="003566AF"/>
    <w:rsid w:val="003566B2"/>
    <w:rsid w:val="003571C1"/>
    <w:rsid w:val="0035746F"/>
    <w:rsid w:val="00357BF3"/>
    <w:rsid w:val="003609AF"/>
    <w:rsid w:val="00360B7E"/>
    <w:rsid w:val="00361592"/>
    <w:rsid w:val="003617F6"/>
    <w:rsid w:val="0036184D"/>
    <w:rsid w:val="00362098"/>
    <w:rsid w:val="00362CC8"/>
    <w:rsid w:val="00362D23"/>
    <w:rsid w:val="00362F57"/>
    <w:rsid w:val="00363783"/>
    <w:rsid w:val="0036387B"/>
    <w:rsid w:val="0036396A"/>
    <w:rsid w:val="00363AA3"/>
    <w:rsid w:val="00363BB7"/>
    <w:rsid w:val="00363F40"/>
    <w:rsid w:val="003644B5"/>
    <w:rsid w:val="003656D0"/>
    <w:rsid w:val="003659B0"/>
    <w:rsid w:val="00365BE9"/>
    <w:rsid w:val="003661B6"/>
    <w:rsid w:val="003664DC"/>
    <w:rsid w:val="00366678"/>
    <w:rsid w:val="00366EAA"/>
    <w:rsid w:val="0036710F"/>
    <w:rsid w:val="0036715E"/>
    <w:rsid w:val="00370327"/>
    <w:rsid w:val="003705D4"/>
    <w:rsid w:val="003709CE"/>
    <w:rsid w:val="003709DC"/>
    <w:rsid w:val="00370C34"/>
    <w:rsid w:val="00370CFC"/>
    <w:rsid w:val="0037199B"/>
    <w:rsid w:val="00371BBD"/>
    <w:rsid w:val="00371E23"/>
    <w:rsid w:val="0037203C"/>
    <w:rsid w:val="003723D0"/>
    <w:rsid w:val="0037277D"/>
    <w:rsid w:val="00372CF8"/>
    <w:rsid w:val="00373053"/>
    <w:rsid w:val="003731BD"/>
    <w:rsid w:val="00373288"/>
    <w:rsid w:val="003733BB"/>
    <w:rsid w:val="00373434"/>
    <w:rsid w:val="003739C9"/>
    <w:rsid w:val="00373B99"/>
    <w:rsid w:val="00373E88"/>
    <w:rsid w:val="00374725"/>
    <w:rsid w:val="0037515C"/>
    <w:rsid w:val="0037516B"/>
    <w:rsid w:val="003751D0"/>
    <w:rsid w:val="00375610"/>
    <w:rsid w:val="003758F3"/>
    <w:rsid w:val="00375BAA"/>
    <w:rsid w:val="00375C63"/>
    <w:rsid w:val="00375EB1"/>
    <w:rsid w:val="003762A1"/>
    <w:rsid w:val="00376305"/>
    <w:rsid w:val="003767FA"/>
    <w:rsid w:val="00376A90"/>
    <w:rsid w:val="00376BB0"/>
    <w:rsid w:val="00376D5E"/>
    <w:rsid w:val="0037720C"/>
    <w:rsid w:val="0037772D"/>
    <w:rsid w:val="00377763"/>
    <w:rsid w:val="003777F1"/>
    <w:rsid w:val="00377974"/>
    <w:rsid w:val="00377B3F"/>
    <w:rsid w:val="00377DF1"/>
    <w:rsid w:val="00377E0D"/>
    <w:rsid w:val="00377E41"/>
    <w:rsid w:val="00377E68"/>
    <w:rsid w:val="00377F72"/>
    <w:rsid w:val="00380B12"/>
    <w:rsid w:val="00381005"/>
    <w:rsid w:val="003810F4"/>
    <w:rsid w:val="003818F9"/>
    <w:rsid w:val="00381911"/>
    <w:rsid w:val="00381CFD"/>
    <w:rsid w:val="003825B5"/>
    <w:rsid w:val="00382A33"/>
    <w:rsid w:val="00382B7B"/>
    <w:rsid w:val="00383156"/>
    <w:rsid w:val="003831D2"/>
    <w:rsid w:val="00383B57"/>
    <w:rsid w:val="00383E80"/>
    <w:rsid w:val="00384015"/>
    <w:rsid w:val="003844AB"/>
    <w:rsid w:val="003846A6"/>
    <w:rsid w:val="00384939"/>
    <w:rsid w:val="00384FF1"/>
    <w:rsid w:val="003859F3"/>
    <w:rsid w:val="00385AD4"/>
    <w:rsid w:val="00385C90"/>
    <w:rsid w:val="0038625B"/>
    <w:rsid w:val="00386460"/>
    <w:rsid w:val="003866C1"/>
    <w:rsid w:val="00386AE5"/>
    <w:rsid w:val="00386B82"/>
    <w:rsid w:val="00386BA7"/>
    <w:rsid w:val="00386C82"/>
    <w:rsid w:val="00386F3E"/>
    <w:rsid w:val="00387397"/>
    <w:rsid w:val="003877ED"/>
    <w:rsid w:val="00387951"/>
    <w:rsid w:val="00387EA7"/>
    <w:rsid w:val="00390078"/>
    <w:rsid w:val="0039033E"/>
    <w:rsid w:val="0039052F"/>
    <w:rsid w:val="00390D99"/>
    <w:rsid w:val="00390E0C"/>
    <w:rsid w:val="0039122B"/>
    <w:rsid w:val="00391350"/>
    <w:rsid w:val="003915A3"/>
    <w:rsid w:val="0039166E"/>
    <w:rsid w:val="00391878"/>
    <w:rsid w:val="003918AC"/>
    <w:rsid w:val="00391C9A"/>
    <w:rsid w:val="00391E14"/>
    <w:rsid w:val="00391FF7"/>
    <w:rsid w:val="00392872"/>
    <w:rsid w:val="00392FB2"/>
    <w:rsid w:val="00393213"/>
    <w:rsid w:val="003932E9"/>
    <w:rsid w:val="00394267"/>
    <w:rsid w:val="00394340"/>
    <w:rsid w:val="0039443E"/>
    <w:rsid w:val="00394B09"/>
    <w:rsid w:val="00394E52"/>
    <w:rsid w:val="003951D1"/>
    <w:rsid w:val="003954E9"/>
    <w:rsid w:val="003955A1"/>
    <w:rsid w:val="003957A7"/>
    <w:rsid w:val="0039590B"/>
    <w:rsid w:val="00395C0D"/>
    <w:rsid w:val="00395E5D"/>
    <w:rsid w:val="00395E66"/>
    <w:rsid w:val="003962B2"/>
    <w:rsid w:val="0039631E"/>
    <w:rsid w:val="0039662D"/>
    <w:rsid w:val="00396711"/>
    <w:rsid w:val="00396718"/>
    <w:rsid w:val="0039717A"/>
    <w:rsid w:val="00397A77"/>
    <w:rsid w:val="00397E1A"/>
    <w:rsid w:val="003A0B88"/>
    <w:rsid w:val="003A12A4"/>
    <w:rsid w:val="003A1578"/>
    <w:rsid w:val="003A2132"/>
    <w:rsid w:val="003A285A"/>
    <w:rsid w:val="003A3016"/>
    <w:rsid w:val="003A32D9"/>
    <w:rsid w:val="003A34D5"/>
    <w:rsid w:val="003A3B55"/>
    <w:rsid w:val="003A3DFA"/>
    <w:rsid w:val="003A41C5"/>
    <w:rsid w:val="003A41E0"/>
    <w:rsid w:val="003A4355"/>
    <w:rsid w:val="003A441B"/>
    <w:rsid w:val="003A4C4F"/>
    <w:rsid w:val="003A4EB1"/>
    <w:rsid w:val="003A54F7"/>
    <w:rsid w:val="003A55FF"/>
    <w:rsid w:val="003A5624"/>
    <w:rsid w:val="003A6044"/>
    <w:rsid w:val="003A6192"/>
    <w:rsid w:val="003A6438"/>
    <w:rsid w:val="003A6C6F"/>
    <w:rsid w:val="003A6CA4"/>
    <w:rsid w:val="003A76B8"/>
    <w:rsid w:val="003A772D"/>
    <w:rsid w:val="003A7964"/>
    <w:rsid w:val="003A7A70"/>
    <w:rsid w:val="003A7D08"/>
    <w:rsid w:val="003A7D89"/>
    <w:rsid w:val="003A7F35"/>
    <w:rsid w:val="003B039E"/>
    <w:rsid w:val="003B062E"/>
    <w:rsid w:val="003B10F2"/>
    <w:rsid w:val="003B129C"/>
    <w:rsid w:val="003B12F6"/>
    <w:rsid w:val="003B1DF3"/>
    <w:rsid w:val="003B1EA1"/>
    <w:rsid w:val="003B269D"/>
    <w:rsid w:val="003B26F7"/>
    <w:rsid w:val="003B2A5A"/>
    <w:rsid w:val="003B2B2B"/>
    <w:rsid w:val="003B2B8D"/>
    <w:rsid w:val="003B2C11"/>
    <w:rsid w:val="003B2C60"/>
    <w:rsid w:val="003B2F52"/>
    <w:rsid w:val="003B329A"/>
    <w:rsid w:val="003B37C2"/>
    <w:rsid w:val="003B3C26"/>
    <w:rsid w:val="003B3D0B"/>
    <w:rsid w:val="003B3FE1"/>
    <w:rsid w:val="003B40BC"/>
    <w:rsid w:val="003B4182"/>
    <w:rsid w:val="003B489E"/>
    <w:rsid w:val="003B4A64"/>
    <w:rsid w:val="003B4D39"/>
    <w:rsid w:val="003B520D"/>
    <w:rsid w:val="003B527A"/>
    <w:rsid w:val="003B53F2"/>
    <w:rsid w:val="003B5419"/>
    <w:rsid w:val="003B5CD0"/>
    <w:rsid w:val="003B5D86"/>
    <w:rsid w:val="003B5E0A"/>
    <w:rsid w:val="003B6577"/>
    <w:rsid w:val="003B662B"/>
    <w:rsid w:val="003B665D"/>
    <w:rsid w:val="003B6993"/>
    <w:rsid w:val="003B6CA4"/>
    <w:rsid w:val="003B7983"/>
    <w:rsid w:val="003B7CA2"/>
    <w:rsid w:val="003B7D0B"/>
    <w:rsid w:val="003B7E7F"/>
    <w:rsid w:val="003B7F3A"/>
    <w:rsid w:val="003C0104"/>
    <w:rsid w:val="003C026B"/>
    <w:rsid w:val="003C1AD7"/>
    <w:rsid w:val="003C23D4"/>
    <w:rsid w:val="003C2981"/>
    <w:rsid w:val="003C2ECA"/>
    <w:rsid w:val="003C4066"/>
    <w:rsid w:val="003C4656"/>
    <w:rsid w:val="003C46C6"/>
    <w:rsid w:val="003C4700"/>
    <w:rsid w:val="003C4833"/>
    <w:rsid w:val="003C4DBF"/>
    <w:rsid w:val="003C5F5F"/>
    <w:rsid w:val="003C613B"/>
    <w:rsid w:val="003C649C"/>
    <w:rsid w:val="003C67BB"/>
    <w:rsid w:val="003C69B8"/>
    <w:rsid w:val="003C6E6F"/>
    <w:rsid w:val="003C7488"/>
    <w:rsid w:val="003C78F2"/>
    <w:rsid w:val="003C7945"/>
    <w:rsid w:val="003C7E12"/>
    <w:rsid w:val="003D02F9"/>
    <w:rsid w:val="003D054D"/>
    <w:rsid w:val="003D073B"/>
    <w:rsid w:val="003D081E"/>
    <w:rsid w:val="003D0E22"/>
    <w:rsid w:val="003D0E7A"/>
    <w:rsid w:val="003D1DC7"/>
    <w:rsid w:val="003D2081"/>
    <w:rsid w:val="003D25D8"/>
    <w:rsid w:val="003D2A0B"/>
    <w:rsid w:val="003D2EBC"/>
    <w:rsid w:val="003D30E3"/>
    <w:rsid w:val="003D3629"/>
    <w:rsid w:val="003D370E"/>
    <w:rsid w:val="003D3934"/>
    <w:rsid w:val="003D3A2B"/>
    <w:rsid w:val="003D3CD3"/>
    <w:rsid w:val="003D41DB"/>
    <w:rsid w:val="003D54A9"/>
    <w:rsid w:val="003D576B"/>
    <w:rsid w:val="003D5AC8"/>
    <w:rsid w:val="003D5DAE"/>
    <w:rsid w:val="003D6230"/>
    <w:rsid w:val="003D6518"/>
    <w:rsid w:val="003D6AD5"/>
    <w:rsid w:val="003D6ADC"/>
    <w:rsid w:val="003D6E0C"/>
    <w:rsid w:val="003D6EEA"/>
    <w:rsid w:val="003D766F"/>
    <w:rsid w:val="003D7E23"/>
    <w:rsid w:val="003E03C5"/>
    <w:rsid w:val="003E0607"/>
    <w:rsid w:val="003E091A"/>
    <w:rsid w:val="003E0C9A"/>
    <w:rsid w:val="003E168C"/>
    <w:rsid w:val="003E190D"/>
    <w:rsid w:val="003E1EF1"/>
    <w:rsid w:val="003E230B"/>
    <w:rsid w:val="003E25E4"/>
    <w:rsid w:val="003E29B4"/>
    <w:rsid w:val="003E2B24"/>
    <w:rsid w:val="003E2C65"/>
    <w:rsid w:val="003E3416"/>
    <w:rsid w:val="003E3D39"/>
    <w:rsid w:val="003E409A"/>
    <w:rsid w:val="003E443A"/>
    <w:rsid w:val="003E4AEB"/>
    <w:rsid w:val="003E4BAF"/>
    <w:rsid w:val="003E4BF6"/>
    <w:rsid w:val="003E561F"/>
    <w:rsid w:val="003E56E1"/>
    <w:rsid w:val="003E5937"/>
    <w:rsid w:val="003E5B42"/>
    <w:rsid w:val="003E5C15"/>
    <w:rsid w:val="003E5C7B"/>
    <w:rsid w:val="003E61E0"/>
    <w:rsid w:val="003E631B"/>
    <w:rsid w:val="003E6593"/>
    <w:rsid w:val="003E6E74"/>
    <w:rsid w:val="003E6F5E"/>
    <w:rsid w:val="003E7504"/>
    <w:rsid w:val="003E7884"/>
    <w:rsid w:val="003F0038"/>
    <w:rsid w:val="003F0263"/>
    <w:rsid w:val="003F027D"/>
    <w:rsid w:val="003F0944"/>
    <w:rsid w:val="003F09EC"/>
    <w:rsid w:val="003F09FE"/>
    <w:rsid w:val="003F0F8A"/>
    <w:rsid w:val="003F15BD"/>
    <w:rsid w:val="003F1ADB"/>
    <w:rsid w:val="003F1F93"/>
    <w:rsid w:val="003F21C3"/>
    <w:rsid w:val="003F2539"/>
    <w:rsid w:val="003F2AD0"/>
    <w:rsid w:val="003F2B9D"/>
    <w:rsid w:val="003F301A"/>
    <w:rsid w:val="003F326B"/>
    <w:rsid w:val="003F363D"/>
    <w:rsid w:val="003F3777"/>
    <w:rsid w:val="003F3BA7"/>
    <w:rsid w:val="003F3F85"/>
    <w:rsid w:val="003F4593"/>
    <w:rsid w:val="003F468D"/>
    <w:rsid w:val="003F4BC0"/>
    <w:rsid w:val="003F4CFB"/>
    <w:rsid w:val="003F4FA6"/>
    <w:rsid w:val="003F56C8"/>
    <w:rsid w:val="003F571E"/>
    <w:rsid w:val="003F5988"/>
    <w:rsid w:val="003F5C0D"/>
    <w:rsid w:val="003F6001"/>
    <w:rsid w:val="003F6334"/>
    <w:rsid w:val="003F675D"/>
    <w:rsid w:val="003F6A97"/>
    <w:rsid w:val="003F7277"/>
    <w:rsid w:val="003F74F7"/>
    <w:rsid w:val="003F7541"/>
    <w:rsid w:val="003F772B"/>
    <w:rsid w:val="003F7D07"/>
    <w:rsid w:val="003F7E52"/>
    <w:rsid w:val="004001D5"/>
    <w:rsid w:val="00400E17"/>
    <w:rsid w:val="00400ECF"/>
    <w:rsid w:val="004013A1"/>
    <w:rsid w:val="00401D81"/>
    <w:rsid w:val="00401E3A"/>
    <w:rsid w:val="0040207B"/>
    <w:rsid w:val="004022D3"/>
    <w:rsid w:val="00402685"/>
    <w:rsid w:val="00402697"/>
    <w:rsid w:val="0040286F"/>
    <w:rsid w:val="004028B9"/>
    <w:rsid w:val="0040291E"/>
    <w:rsid w:val="00402A8B"/>
    <w:rsid w:val="00402E3C"/>
    <w:rsid w:val="00403040"/>
    <w:rsid w:val="004032DD"/>
    <w:rsid w:val="00403639"/>
    <w:rsid w:val="004037B8"/>
    <w:rsid w:val="00403963"/>
    <w:rsid w:val="00403D1A"/>
    <w:rsid w:val="00403E75"/>
    <w:rsid w:val="00403F6F"/>
    <w:rsid w:val="0040400E"/>
    <w:rsid w:val="00404136"/>
    <w:rsid w:val="00404276"/>
    <w:rsid w:val="004045A6"/>
    <w:rsid w:val="00405DCE"/>
    <w:rsid w:val="004061B4"/>
    <w:rsid w:val="004067C7"/>
    <w:rsid w:val="00406F35"/>
    <w:rsid w:val="004074CE"/>
    <w:rsid w:val="00407593"/>
    <w:rsid w:val="004076E3"/>
    <w:rsid w:val="004077F4"/>
    <w:rsid w:val="0040783F"/>
    <w:rsid w:val="00407AE8"/>
    <w:rsid w:val="00407E99"/>
    <w:rsid w:val="004109A4"/>
    <w:rsid w:val="00410B05"/>
    <w:rsid w:val="00410F0E"/>
    <w:rsid w:val="00410F6F"/>
    <w:rsid w:val="004115D7"/>
    <w:rsid w:val="00411728"/>
    <w:rsid w:val="00411AC4"/>
    <w:rsid w:val="00411D39"/>
    <w:rsid w:val="0041219A"/>
    <w:rsid w:val="00412480"/>
    <w:rsid w:val="00412786"/>
    <w:rsid w:val="00412BF9"/>
    <w:rsid w:val="0041314B"/>
    <w:rsid w:val="00413317"/>
    <w:rsid w:val="0041393A"/>
    <w:rsid w:val="00413EBD"/>
    <w:rsid w:val="0041461F"/>
    <w:rsid w:val="00414DC6"/>
    <w:rsid w:val="0041513D"/>
    <w:rsid w:val="00415343"/>
    <w:rsid w:val="0041541B"/>
    <w:rsid w:val="0041542F"/>
    <w:rsid w:val="00415472"/>
    <w:rsid w:val="00415598"/>
    <w:rsid w:val="00415811"/>
    <w:rsid w:val="0041590D"/>
    <w:rsid w:val="00415DD6"/>
    <w:rsid w:val="004160D9"/>
    <w:rsid w:val="00416193"/>
    <w:rsid w:val="004163E1"/>
    <w:rsid w:val="004165A3"/>
    <w:rsid w:val="004165BD"/>
    <w:rsid w:val="0041661A"/>
    <w:rsid w:val="00416A99"/>
    <w:rsid w:val="00416B68"/>
    <w:rsid w:val="00416F22"/>
    <w:rsid w:val="004173D6"/>
    <w:rsid w:val="00417572"/>
    <w:rsid w:val="004175DE"/>
    <w:rsid w:val="0041783A"/>
    <w:rsid w:val="004179E4"/>
    <w:rsid w:val="00417B46"/>
    <w:rsid w:val="00417E5A"/>
    <w:rsid w:val="00417EF5"/>
    <w:rsid w:val="0042017C"/>
    <w:rsid w:val="004204B7"/>
    <w:rsid w:val="0042059E"/>
    <w:rsid w:val="00420639"/>
    <w:rsid w:val="0042064E"/>
    <w:rsid w:val="00420ABF"/>
    <w:rsid w:val="00420BDA"/>
    <w:rsid w:val="004213F9"/>
    <w:rsid w:val="0042162C"/>
    <w:rsid w:val="004219AC"/>
    <w:rsid w:val="004220DD"/>
    <w:rsid w:val="00422219"/>
    <w:rsid w:val="0042242E"/>
    <w:rsid w:val="004225EB"/>
    <w:rsid w:val="00422E74"/>
    <w:rsid w:val="00423406"/>
    <w:rsid w:val="0042347A"/>
    <w:rsid w:val="00423540"/>
    <w:rsid w:val="004239E7"/>
    <w:rsid w:val="00423FAD"/>
    <w:rsid w:val="00424313"/>
    <w:rsid w:val="00424556"/>
    <w:rsid w:val="00424924"/>
    <w:rsid w:val="00424A72"/>
    <w:rsid w:val="00424CD6"/>
    <w:rsid w:val="004251ED"/>
    <w:rsid w:val="0042533B"/>
    <w:rsid w:val="0042559E"/>
    <w:rsid w:val="004261A6"/>
    <w:rsid w:val="00426A85"/>
    <w:rsid w:val="00426AA8"/>
    <w:rsid w:val="0042716C"/>
    <w:rsid w:val="0042721B"/>
    <w:rsid w:val="004276C6"/>
    <w:rsid w:val="00427854"/>
    <w:rsid w:val="00427B4A"/>
    <w:rsid w:val="00427C49"/>
    <w:rsid w:val="00427D03"/>
    <w:rsid w:val="004300F2"/>
    <w:rsid w:val="004304F5"/>
    <w:rsid w:val="0043063E"/>
    <w:rsid w:val="00430644"/>
    <w:rsid w:val="00430791"/>
    <w:rsid w:val="00430CB5"/>
    <w:rsid w:val="00430F86"/>
    <w:rsid w:val="00431201"/>
    <w:rsid w:val="00431880"/>
    <w:rsid w:val="00432A36"/>
    <w:rsid w:val="00432ABD"/>
    <w:rsid w:val="00432CCF"/>
    <w:rsid w:val="00432D24"/>
    <w:rsid w:val="00432EE9"/>
    <w:rsid w:val="0043327E"/>
    <w:rsid w:val="00433862"/>
    <w:rsid w:val="00433BFB"/>
    <w:rsid w:val="004345BA"/>
    <w:rsid w:val="0043461D"/>
    <w:rsid w:val="00434B9C"/>
    <w:rsid w:val="00434E23"/>
    <w:rsid w:val="00434E2E"/>
    <w:rsid w:val="00434F2E"/>
    <w:rsid w:val="00434FA8"/>
    <w:rsid w:val="0043520D"/>
    <w:rsid w:val="004355A2"/>
    <w:rsid w:val="00435971"/>
    <w:rsid w:val="00435C82"/>
    <w:rsid w:val="00435F0A"/>
    <w:rsid w:val="00436046"/>
    <w:rsid w:val="00436545"/>
    <w:rsid w:val="00437724"/>
    <w:rsid w:val="0043775E"/>
    <w:rsid w:val="00437C00"/>
    <w:rsid w:val="00437F27"/>
    <w:rsid w:val="00437FE9"/>
    <w:rsid w:val="0044008F"/>
    <w:rsid w:val="004401BB"/>
    <w:rsid w:val="00440406"/>
    <w:rsid w:val="00441514"/>
    <w:rsid w:val="004418AE"/>
    <w:rsid w:val="0044191D"/>
    <w:rsid w:val="00441CAF"/>
    <w:rsid w:val="00441CE8"/>
    <w:rsid w:val="004420AD"/>
    <w:rsid w:val="004422B2"/>
    <w:rsid w:val="00442D16"/>
    <w:rsid w:val="00442D42"/>
    <w:rsid w:val="0044304C"/>
    <w:rsid w:val="0044344A"/>
    <w:rsid w:val="00443643"/>
    <w:rsid w:val="004437CD"/>
    <w:rsid w:val="00443B40"/>
    <w:rsid w:val="00443EB5"/>
    <w:rsid w:val="004440BB"/>
    <w:rsid w:val="004441D5"/>
    <w:rsid w:val="004448DA"/>
    <w:rsid w:val="00444A7C"/>
    <w:rsid w:val="00444AC3"/>
    <w:rsid w:val="00444DBD"/>
    <w:rsid w:val="00444E56"/>
    <w:rsid w:val="00444F19"/>
    <w:rsid w:val="0044515E"/>
    <w:rsid w:val="0044577B"/>
    <w:rsid w:val="00445D95"/>
    <w:rsid w:val="004460AC"/>
    <w:rsid w:val="00446177"/>
    <w:rsid w:val="0044686A"/>
    <w:rsid w:val="004469DD"/>
    <w:rsid w:val="00446B9C"/>
    <w:rsid w:val="00446D6B"/>
    <w:rsid w:val="00447065"/>
    <w:rsid w:val="00447650"/>
    <w:rsid w:val="004501CB"/>
    <w:rsid w:val="00450DE3"/>
    <w:rsid w:val="00450ED0"/>
    <w:rsid w:val="00451106"/>
    <w:rsid w:val="0045122A"/>
    <w:rsid w:val="00451393"/>
    <w:rsid w:val="00451461"/>
    <w:rsid w:val="004518E2"/>
    <w:rsid w:val="00451D84"/>
    <w:rsid w:val="004527CA"/>
    <w:rsid w:val="004527FE"/>
    <w:rsid w:val="00452B3B"/>
    <w:rsid w:val="00452F19"/>
    <w:rsid w:val="00452FC7"/>
    <w:rsid w:val="00453112"/>
    <w:rsid w:val="00453349"/>
    <w:rsid w:val="00453465"/>
    <w:rsid w:val="0045392A"/>
    <w:rsid w:val="00453B09"/>
    <w:rsid w:val="00453F54"/>
    <w:rsid w:val="00454C0B"/>
    <w:rsid w:val="00455B31"/>
    <w:rsid w:val="00456053"/>
    <w:rsid w:val="0045624F"/>
    <w:rsid w:val="004562A2"/>
    <w:rsid w:val="00456339"/>
    <w:rsid w:val="00456597"/>
    <w:rsid w:val="00456921"/>
    <w:rsid w:val="00456D34"/>
    <w:rsid w:val="0045748E"/>
    <w:rsid w:val="0045762F"/>
    <w:rsid w:val="00457914"/>
    <w:rsid w:val="004579E3"/>
    <w:rsid w:val="00457BA6"/>
    <w:rsid w:val="00457C5F"/>
    <w:rsid w:val="00457E94"/>
    <w:rsid w:val="00460349"/>
    <w:rsid w:val="004605BC"/>
    <w:rsid w:val="0046074E"/>
    <w:rsid w:val="00460988"/>
    <w:rsid w:val="00460B2D"/>
    <w:rsid w:val="00460CE1"/>
    <w:rsid w:val="00460F4F"/>
    <w:rsid w:val="00461179"/>
    <w:rsid w:val="00461A49"/>
    <w:rsid w:val="00461C02"/>
    <w:rsid w:val="00461CA7"/>
    <w:rsid w:val="00462293"/>
    <w:rsid w:val="00463268"/>
    <w:rsid w:val="00463314"/>
    <w:rsid w:val="0046370A"/>
    <w:rsid w:val="00463B39"/>
    <w:rsid w:val="00463C28"/>
    <w:rsid w:val="00463FE3"/>
    <w:rsid w:val="004644A5"/>
    <w:rsid w:val="0046487D"/>
    <w:rsid w:val="00464E68"/>
    <w:rsid w:val="00465545"/>
    <w:rsid w:val="004658E0"/>
    <w:rsid w:val="004663EE"/>
    <w:rsid w:val="0046649A"/>
    <w:rsid w:val="0046664E"/>
    <w:rsid w:val="00466752"/>
    <w:rsid w:val="00466A99"/>
    <w:rsid w:val="00466D8A"/>
    <w:rsid w:val="004672A9"/>
    <w:rsid w:val="00467399"/>
    <w:rsid w:val="00467841"/>
    <w:rsid w:val="00467ABD"/>
    <w:rsid w:val="00467ADE"/>
    <w:rsid w:val="00467E44"/>
    <w:rsid w:val="00467F08"/>
    <w:rsid w:val="00470011"/>
    <w:rsid w:val="004700B0"/>
    <w:rsid w:val="004702D1"/>
    <w:rsid w:val="0047032C"/>
    <w:rsid w:val="00470437"/>
    <w:rsid w:val="004704BC"/>
    <w:rsid w:val="00470617"/>
    <w:rsid w:val="004707E7"/>
    <w:rsid w:val="00470B05"/>
    <w:rsid w:val="00470C1F"/>
    <w:rsid w:val="00470DFC"/>
    <w:rsid w:val="00470E21"/>
    <w:rsid w:val="004726BE"/>
    <w:rsid w:val="004726C3"/>
    <w:rsid w:val="0047292B"/>
    <w:rsid w:val="0047389C"/>
    <w:rsid w:val="00473A84"/>
    <w:rsid w:val="004743A6"/>
    <w:rsid w:val="004743C8"/>
    <w:rsid w:val="00474409"/>
    <w:rsid w:val="00474535"/>
    <w:rsid w:val="0047463B"/>
    <w:rsid w:val="00474AB8"/>
    <w:rsid w:val="00474D00"/>
    <w:rsid w:val="00474D01"/>
    <w:rsid w:val="00474D12"/>
    <w:rsid w:val="00474F20"/>
    <w:rsid w:val="00474F5A"/>
    <w:rsid w:val="00475580"/>
    <w:rsid w:val="00475614"/>
    <w:rsid w:val="004761A8"/>
    <w:rsid w:val="004761C0"/>
    <w:rsid w:val="0047644A"/>
    <w:rsid w:val="00476514"/>
    <w:rsid w:val="00476B71"/>
    <w:rsid w:val="00476DFF"/>
    <w:rsid w:val="00476F7D"/>
    <w:rsid w:val="0047708B"/>
    <w:rsid w:val="0047719A"/>
    <w:rsid w:val="00477336"/>
    <w:rsid w:val="00477E25"/>
    <w:rsid w:val="00480751"/>
    <w:rsid w:val="0048088F"/>
    <w:rsid w:val="004808E1"/>
    <w:rsid w:val="00480939"/>
    <w:rsid w:val="00480B45"/>
    <w:rsid w:val="00480FAC"/>
    <w:rsid w:val="0048108B"/>
    <w:rsid w:val="00481346"/>
    <w:rsid w:val="00481379"/>
    <w:rsid w:val="00481909"/>
    <w:rsid w:val="00481BFD"/>
    <w:rsid w:val="00481D3B"/>
    <w:rsid w:val="00481FC8"/>
    <w:rsid w:val="00482389"/>
    <w:rsid w:val="00482653"/>
    <w:rsid w:val="00482716"/>
    <w:rsid w:val="004828D9"/>
    <w:rsid w:val="00482A55"/>
    <w:rsid w:val="004834C7"/>
    <w:rsid w:val="00483866"/>
    <w:rsid w:val="00483A98"/>
    <w:rsid w:val="00483B2D"/>
    <w:rsid w:val="00483C6C"/>
    <w:rsid w:val="00483E7B"/>
    <w:rsid w:val="0048433A"/>
    <w:rsid w:val="00484D4A"/>
    <w:rsid w:val="00485807"/>
    <w:rsid w:val="00485D59"/>
    <w:rsid w:val="00486118"/>
    <w:rsid w:val="00486894"/>
    <w:rsid w:val="0048716B"/>
    <w:rsid w:val="004872B2"/>
    <w:rsid w:val="0048735E"/>
    <w:rsid w:val="004873C9"/>
    <w:rsid w:val="0048773C"/>
    <w:rsid w:val="00487846"/>
    <w:rsid w:val="00487BCF"/>
    <w:rsid w:val="00487D3C"/>
    <w:rsid w:val="00487F76"/>
    <w:rsid w:val="004903CF"/>
    <w:rsid w:val="0049062B"/>
    <w:rsid w:val="004906BC"/>
    <w:rsid w:val="00490758"/>
    <w:rsid w:val="00490B8A"/>
    <w:rsid w:val="00490D97"/>
    <w:rsid w:val="004918F4"/>
    <w:rsid w:val="00491B42"/>
    <w:rsid w:val="00492338"/>
    <w:rsid w:val="0049264F"/>
    <w:rsid w:val="00492779"/>
    <w:rsid w:val="00492C4C"/>
    <w:rsid w:val="00492F77"/>
    <w:rsid w:val="00493069"/>
    <w:rsid w:val="00493212"/>
    <w:rsid w:val="0049321E"/>
    <w:rsid w:val="004933E1"/>
    <w:rsid w:val="00493BCE"/>
    <w:rsid w:val="004941CA"/>
    <w:rsid w:val="00494A1B"/>
    <w:rsid w:val="00494E0C"/>
    <w:rsid w:val="004950D1"/>
    <w:rsid w:val="00495294"/>
    <w:rsid w:val="004957F4"/>
    <w:rsid w:val="00495AB9"/>
    <w:rsid w:val="00495BC2"/>
    <w:rsid w:val="00495C3F"/>
    <w:rsid w:val="00495E41"/>
    <w:rsid w:val="00496110"/>
    <w:rsid w:val="004968F0"/>
    <w:rsid w:val="00496EB0"/>
    <w:rsid w:val="0049722A"/>
    <w:rsid w:val="004972DB"/>
    <w:rsid w:val="0049740F"/>
    <w:rsid w:val="0049753B"/>
    <w:rsid w:val="00497BD9"/>
    <w:rsid w:val="004A016A"/>
    <w:rsid w:val="004A026A"/>
    <w:rsid w:val="004A0476"/>
    <w:rsid w:val="004A082C"/>
    <w:rsid w:val="004A11EE"/>
    <w:rsid w:val="004A13BE"/>
    <w:rsid w:val="004A17C0"/>
    <w:rsid w:val="004A1853"/>
    <w:rsid w:val="004A1FA4"/>
    <w:rsid w:val="004A2975"/>
    <w:rsid w:val="004A29FE"/>
    <w:rsid w:val="004A2A4C"/>
    <w:rsid w:val="004A2D76"/>
    <w:rsid w:val="004A30E0"/>
    <w:rsid w:val="004A3659"/>
    <w:rsid w:val="004A39B0"/>
    <w:rsid w:val="004A3DDC"/>
    <w:rsid w:val="004A3E58"/>
    <w:rsid w:val="004A44A3"/>
    <w:rsid w:val="004A4F72"/>
    <w:rsid w:val="004A5247"/>
    <w:rsid w:val="004A55DD"/>
    <w:rsid w:val="004A63E9"/>
    <w:rsid w:val="004A6651"/>
    <w:rsid w:val="004A68C3"/>
    <w:rsid w:val="004A6993"/>
    <w:rsid w:val="004A6CD1"/>
    <w:rsid w:val="004A6D23"/>
    <w:rsid w:val="004A6E7B"/>
    <w:rsid w:val="004A722C"/>
    <w:rsid w:val="004A7243"/>
    <w:rsid w:val="004A7BE1"/>
    <w:rsid w:val="004A7C40"/>
    <w:rsid w:val="004A7DE8"/>
    <w:rsid w:val="004B021B"/>
    <w:rsid w:val="004B043C"/>
    <w:rsid w:val="004B0577"/>
    <w:rsid w:val="004B05BC"/>
    <w:rsid w:val="004B0C01"/>
    <w:rsid w:val="004B14D3"/>
    <w:rsid w:val="004B1910"/>
    <w:rsid w:val="004B1D4C"/>
    <w:rsid w:val="004B1EB9"/>
    <w:rsid w:val="004B202A"/>
    <w:rsid w:val="004B2212"/>
    <w:rsid w:val="004B2750"/>
    <w:rsid w:val="004B2765"/>
    <w:rsid w:val="004B2B89"/>
    <w:rsid w:val="004B2DD0"/>
    <w:rsid w:val="004B2FEA"/>
    <w:rsid w:val="004B3453"/>
    <w:rsid w:val="004B3656"/>
    <w:rsid w:val="004B3835"/>
    <w:rsid w:val="004B38F9"/>
    <w:rsid w:val="004B3920"/>
    <w:rsid w:val="004B3DFE"/>
    <w:rsid w:val="004B3E21"/>
    <w:rsid w:val="004B4696"/>
    <w:rsid w:val="004B4BAF"/>
    <w:rsid w:val="004B55EB"/>
    <w:rsid w:val="004B5834"/>
    <w:rsid w:val="004B6105"/>
    <w:rsid w:val="004B65AC"/>
    <w:rsid w:val="004B6677"/>
    <w:rsid w:val="004B6A21"/>
    <w:rsid w:val="004B789A"/>
    <w:rsid w:val="004B7CAC"/>
    <w:rsid w:val="004B7CCA"/>
    <w:rsid w:val="004C029A"/>
    <w:rsid w:val="004C0D0A"/>
    <w:rsid w:val="004C0F5B"/>
    <w:rsid w:val="004C10FC"/>
    <w:rsid w:val="004C12BC"/>
    <w:rsid w:val="004C190A"/>
    <w:rsid w:val="004C19CE"/>
    <w:rsid w:val="004C1C81"/>
    <w:rsid w:val="004C1DC3"/>
    <w:rsid w:val="004C238D"/>
    <w:rsid w:val="004C240E"/>
    <w:rsid w:val="004C2732"/>
    <w:rsid w:val="004C283C"/>
    <w:rsid w:val="004C295B"/>
    <w:rsid w:val="004C2BFF"/>
    <w:rsid w:val="004C2F8F"/>
    <w:rsid w:val="004C3090"/>
    <w:rsid w:val="004C30D6"/>
    <w:rsid w:val="004C316C"/>
    <w:rsid w:val="004C39B0"/>
    <w:rsid w:val="004C3B99"/>
    <w:rsid w:val="004C3D91"/>
    <w:rsid w:val="004C3EF1"/>
    <w:rsid w:val="004C4077"/>
    <w:rsid w:val="004C4868"/>
    <w:rsid w:val="004C4897"/>
    <w:rsid w:val="004C495F"/>
    <w:rsid w:val="004C508C"/>
    <w:rsid w:val="004C524C"/>
    <w:rsid w:val="004C56B1"/>
    <w:rsid w:val="004C56EC"/>
    <w:rsid w:val="004C5710"/>
    <w:rsid w:val="004C5AAC"/>
    <w:rsid w:val="004C60CA"/>
    <w:rsid w:val="004C6552"/>
    <w:rsid w:val="004C745C"/>
    <w:rsid w:val="004C7886"/>
    <w:rsid w:val="004C7F4C"/>
    <w:rsid w:val="004D018D"/>
    <w:rsid w:val="004D0332"/>
    <w:rsid w:val="004D0656"/>
    <w:rsid w:val="004D07A8"/>
    <w:rsid w:val="004D0A8A"/>
    <w:rsid w:val="004D0BEA"/>
    <w:rsid w:val="004D0BEC"/>
    <w:rsid w:val="004D142A"/>
    <w:rsid w:val="004D1589"/>
    <w:rsid w:val="004D15D0"/>
    <w:rsid w:val="004D1D76"/>
    <w:rsid w:val="004D1E7D"/>
    <w:rsid w:val="004D29D2"/>
    <w:rsid w:val="004D2A69"/>
    <w:rsid w:val="004D2F73"/>
    <w:rsid w:val="004D3106"/>
    <w:rsid w:val="004D399D"/>
    <w:rsid w:val="004D3B4D"/>
    <w:rsid w:val="004D437D"/>
    <w:rsid w:val="004D4E04"/>
    <w:rsid w:val="004D4EDF"/>
    <w:rsid w:val="004D5CEE"/>
    <w:rsid w:val="004D6A0E"/>
    <w:rsid w:val="004D6AA9"/>
    <w:rsid w:val="004D6C5F"/>
    <w:rsid w:val="004D6FC8"/>
    <w:rsid w:val="004D7BD8"/>
    <w:rsid w:val="004D7DFB"/>
    <w:rsid w:val="004E0175"/>
    <w:rsid w:val="004E0253"/>
    <w:rsid w:val="004E043C"/>
    <w:rsid w:val="004E0454"/>
    <w:rsid w:val="004E0580"/>
    <w:rsid w:val="004E0A48"/>
    <w:rsid w:val="004E0D82"/>
    <w:rsid w:val="004E0F3F"/>
    <w:rsid w:val="004E18AC"/>
    <w:rsid w:val="004E195F"/>
    <w:rsid w:val="004E1C4C"/>
    <w:rsid w:val="004E1F38"/>
    <w:rsid w:val="004E2026"/>
    <w:rsid w:val="004E2388"/>
    <w:rsid w:val="004E2621"/>
    <w:rsid w:val="004E2B59"/>
    <w:rsid w:val="004E2CC7"/>
    <w:rsid w:val="004E2EC3"/>
    <w:rsid w:val="004E2F7E"/>
    <w:rsid w:val="004E3323"/>
    <w:rsid w:val="004E34C8"/>
    <w:rsid w:val="004E3A32"/>
    <w:rsid w:val="004E3E90"/>
    <w:rsid w:val="004E41A3"/>
    <w:rsid w:val="004E425A"/>
    <w:rsid w:val="004E55ED"/>
    <w:rsid w:val="004E581F"/>
    <w:rsid w:val="004E596D"/>
    <w:rsid w:val="004E5D28"/>
    <w:rsid w:val="004E63A1"/>
    <w:rsid w:val="004E64D0"/>
    <w:rsid w:val="004E6617"/>
    <w:rsid w:val="004E667E"/>
    <w:rsid w:val="004E6A23"/>
    <w:rsid w:val="004E6CFF"/>
    <w:rsid w:val="004E71CF"/>
    <w:rsid w:val="004E7309"/>
    <w:rsid w:val="004E751C"/>
    <w:rsid w:val="004E7C69"/>
    <w:rsid w:val="004E7F53"/>
    <w:rsid w:val="004F1614"/>
    <w:rsid w:val="004F1626"/>
    <w:rsid w:val="004F1642"/>
    <w:rsid w:val="004F1F13"/>
    <w:rsid w:val="004F1F67"/>
    <w:rsid w:val="004F23AB"/>
    <w:rsid w:val="004F2859"/>
    <w:rsid w:val="004F2BA2"/>
    <w:rsid w:val="004F30BD"/>
    <w:rsid w:val="004F3687"/>
    <w:rsid w:val="004F5178"/>
    <w:rsid w:val="004F5264"/>
    <w:rsid w:val="004F59E0"/>
    <w:rsid w:val="004F5E25"/>
    <w:rsid w:val="004F6197"/>
    <w:rsid w:val="004F655D"/>
    <w:rsid w:val="004F673E"/>
    <w:rsid w:val="004F6B6A"/>
    <w:rsid w:val="004F6FF5"/>
    <w:rsid w:val="004F70D2"/>
    <w:rsid w:val="004F749B"/>
    <w:rsid w:val="004F760C"/>
    <w:rsid w:val="004F789C"/>
    <w:rsid w:val="004F7991"/>
    <w:rsid w:val="004F7ED2"/>
    <w:rsid w:val="00500028"/>
    <w:rsid w:val="00500776"/>
    <w:rsid w:val="00500DA6"/>
    <w:rsid w:val="00500EAA"/>
    <w:rsid w:val="005011A2"/>
    <w:rsid w:val="00501F0E"/>
    <w:rsid w:val="0050226A"/>
    <w:rsid w:val="0050227E"/>
    <w:rsid w:val="0050235B"/>
    <w:rsid w:val="005023EF"/>
    <w:rsid w:val="00502902"/>
    <w:rsid w:val="00503B2D"/>
    <w:rsid w:val="00503D53"/>
    <w:rsid w:val="00503D68"/>
    <w:rsid w:val="005044A1"/>
    <w:rsid w:val="005044E2"/>
    <w:rsid w:val="0050459C"/>
    <w:rsid w:val="005045A1"/>
    <w:rsid w:val="005046A7"/>
    <w:rsid w:val="005046D4"/>
    <w:rsid w:val="00504868"/>
    <w:rsid w:val="00504BD2"/>
    <w:rsid w:val="00504BD7"/>
    <w:rsid w:val="00505762"/>
    <w:rsid w:val="00506267"/>
    <w:rsid w:val="0050652B"/>
    <w:rsid w:val="005065AD"/>
    <w:rsid w:val="005067A2"/>
    <w:rsid w:val="00506F8D"/>
    <w:rsid w:val="00507071"/>
    <w:rsid w:val="00507377"/>
    <w:rsid w:val="005076DC"/>
    <w:rsid w:val="00507B5E"/>
    <w:rsid w:val="00507F59"/>
    <w:rsid w:val="005105D3"/>
    <w:rsid w:val="00510879"/>
    <w:rsid w:val="00510A17"/>
    <w:rsid w:val="00510EFB"/>
    <w:rsid w:val="00510F9C"/>
    <w:rsid w:val="005112A8"/>
    <w:rsid w:val="005112F9"/>
    <w:rsid w:val="00511C36"/>
    <w:rsid w:val="00512236"/>
    <w:rsid w:val="0051237E"/>
    <w:rsid w:val="005123C4"/>
    <w:rsid w:val="00512820"/>
    <w:rsid w:val="00512E69"/>
    <w:rsid w:val="005132EE"/>
    <w:rsid w:val="0051349E"/>
    <w:rsid w:val="005135E8"/>
    <w:rsid w:val="0051437B"/>
    <w:rsid w:val="00514454"/>
    <w:rsid w:val="005147CB"/>
    <w:rsid w:val="00514824"/>
    <w:rsid w:val="00514CC7"/>
    <w:rsid w:val="00514EF1"/>
    <w:rsid w:val="005154D6"/>
    <w:rsid w:val="0051594D"/>
    <w:rsid w:val="005159F5"/>
    <w:rsid w:val="00515CF5"/>
    <w:rsid w:val="00515D7D"/>
    <w:rsid w:val="0051619C"/>
    <w:rsid w:val="00516577"/>
    <w:rsid w:val="00517A29"/>
    <w:rsid w:val="00517BEE"/>
    <w:rsid w:val="00517E41"/>
    <w:rsid w:val="00517FED"/>
    <w:rsid w:val="005200F6"/>
    <w:rsid w:val="0052029E"/>
    <w:rsid w:val="00520451"/>
    <w:rsid w:val="00520A4A"/>
    <w:rsid w:val="0052112B"/>
    <w:rsid w:val="00521467"/>
    <w:rsid w:val="005217B6"/>
    <w:rsid w:val="0052196B"/>
    <w:rsid w:val="00521B8C"/>
    <w:rsid w:val="00521F19"/>
    <w:rsid w:val="00521FD8"/>
    <w:rsid w:val="00521FEC"/>
    <w:rsid w:val="00522079"/>
    <w:rsid w:val="005228AF"/>
    <w:rsid w:val="00522B70"/>
    <w:rsid w:val="00522E7E"/>
    <w:rsid w:val="0052375B"/>
    <w:rsid w:val="00523E09"/>
    <w:rsid w:val="00523F5B"/>
    <w:rsid w:val="005241BC"/>
    <w:rsid w:val="00524226"/>
    <w:rsid w:val="0052460F"/>
    <w:rsid w:val="00524884"/>
    <w:rsid w:val="005252E1"/>
    <w:rsid w:val="00525357"/>
    <w:rsid w:val="00525452"/>
    <w:rsid w:val="005254B4"/>
    <w:rsid w:val="005256BA"/>
    <w:rsid w:val="00525814"/>
    <w:rsid w:val="00525885"/>
    <w:rsid w:val="0052589E"/>
    <w:rsid w:val="00526372"/>
    <w:rsid w:val="0052643D"/>
    <w:rsid w:val="005266CE"/>
    <w:rsid w:val="005268B3"/>
    <w:rsid w:val="00526B52"/>
    <w:rsid w:val="00526BAB"/>
    <w:rsid w:val="00527B35"/>
    <w:rsid w:val="00527B92"/>
    <w:rsid w:val="00527FE5"/>
    <w:rsid w:val="00530A0F"/>
    <w:rsid w:val="00530D90"/>
    <w:rsid w:val="00531454"/>
    <w:rsid w:val="005314BE"/>
    <w:rsid w:val="00531519"/>
    <w:rsid w:val="00531650"/>
    <w:rsid w:val="005317AD"/>
    <w:rsid w:val="005319D1"/>
    <w:rsid w:val="00531BC4"/>
    <w:rsid w:val="00531BD0"/>
    <w:rsid w:val="00531EED"/>
    <w:rsid w:val="005323CD"/>
    <w:rsid w:val="00532409"/>
    <w:rsid w:val="0053274D"/>
    <w:rsid w:val="0053277F"/>
    <w:rsid w:val="00532CDB"/>
    <w:rsid w:val="00532DD6"/>
    <w:rsid w:val="00533CE9"/>
    <w:rsid w:val="00533D75"/>
    <w:rsid w:val="00534017"/>
    <w:rsid w:val="005342CF"/>
    <w:rsid w:val="0053434A"/>
    <w:rsid w:val="005343B5"/>
    <w:rsid w:val="00534EC4"/>
    <w:rsid w:val="00535063"/>
    <w:rsid w:val="00535365"/>
    <w:rsid w:val="005353C0"/>
    <w:rsid w:val="005355A4"/>
    <w:rsid w:val="00535E79"/>
    <w:rsid w:val="00535F4D"/>
    <w:rsid w:val="0053623C"/>
    <w:rsid w:val="00536D5A"/>
    <w:rsid w:val="00536F4A"/>
    <w:rsid w:val="00536F6C"/>
    <w:rsid w:val="00536FD1"/>
    <w:rsid w:val="0053708F"/>
    <w:rsid w:val="005371DC"/>
    <w:rsid w:val="00537490"/>
    <w:rsid w:val="005377E8"/>
    <w:rsid w:val="00537E34"/>
    <w:rsid w:val="0054028A"/>
    <w:rsid w:val="005409D6"/>
    <w:rsid w:val="00540E60"/>
    <w:rsid w:val="0054129D"/>
    <w:rsid w:val="0054198B"/>
    <w:rsid w:val="00541BE0"/>
    <w:rsid w:val="00542047"/>
    <w:rsid w:val="005424A5"/>
    <w:rsid w:val="0054255B"/>
    <w:rsid w:val="00542995"/>
    <w:rsid w:val="00542C12"/>
    <w:rsid w:val="00542E8A"/>
    <w:rsid w:val="0054330D"/>
    <w:rsid w:val="00543701"/>
    <w:rsid w:val="0054396A"/>
    <w:rsid w:val="005440FC"/>
    <w:rsid w:val="00544167"/>
    <w:rsid w:val="0054420A"/>
    <w:rsid w:val="0054491B"/>
    <w:rsid w:val="00544EC1"/>
    <w:rsid w:val="00545038"/>
    <w:rsid w:val="00545123"/>
    <w:rsid w:val="00545C89"/>
    <w:rsid w:val="00545E43"/>
    <w:rsid w:val="005474C3"/>
    <w:rsid w:val="00547ADE"/>
    <w:rsid w:val="0055006E"/>
    <w:rsid w:val="00550682"/>
    <w:rsid w:val="005506BC"/>
    <w:rsid w:val="00550BBA"/>
    <w:rsid w:val="0055151D"/>
    <w:rsid w:val="0055210B"/>
    <w:rsid w:val="005525CD"/>
    <w:rsid w:val="005525EF"/>
    <w:rsid w:val="00552D44"/>
    <w:rsid w:val="00552E1B"/>
    <w:rsid w:val="005534B3"/>
    <w:rsid w:val="00553982"/>
    <w:rsid w:val="00553A8B"/>
    <w:rsid w:val="00553BA3"/>
    <w:rsid w:val="00553F0E"/>
    <w:rsid w:val="005544B6"/>
    <w:rsid w:val="005544DF"/>
    <w:rsid w:val="005549EE"/>
    <w:rsid w:val="00555003"/>
    <w:rsid w:val="00555281"/>
    <w:rsid w:val="005555BD"/>
    <w:rsid w:val="005557BB"/>
    <w:rsid w:val="005558B1"/>
    <w:rsid w:val="00555968"/>
    <w:rsid w:val="00555B7A"/>
    <w:rsid w:val="00555F3D"/>
    <w:rsid w:val="00555FA0"/>
    <w:rsid w:val="00555FC2"/>
    <w:rsid w:val="00556CD3"/>
    <w:rsid w:val="00556CE3"/>
    <w:rsid w:val="0055711A"/>
    <w:rsid w:val="0055723B"/>
    <w:rsid w:val="00557240"/>
    <w:rsid w:val="005579A9"/>
    <w:rsid w:val="00557ADA"/>
    <w:rsid w:val="00557CF3"/>
    <w:rsid w:val="00560D0F"/>
    <w:rsid w:val="00560D21"/>
    <w:rsid w:val="00560DF2"/>
    <w:rsid w:val="00560E04"/>
    <w:rsid w:val="005615F9"/>
    <w:rsid w:val="00561686"/>
    <w:rsid w:val="00561DCD"/>
    <w:rsid w:val="005620BF"/>
    <w:rsid w:val="00562178"/>
    <w:rsid w:val="005623EE"/>
    <w:rsid w:val="00562403"/>
    <w:rsid w:val="005625C0"/>
    <w:rsid w:val="00562754"/>
    <w:rsid w:val="005629EB"/>
    <w:rsid w:val="00562AA2"/>
    <w:rsid w:val="00562BD2"/>
    <w:rsid w:val="00563272"/>
    <w:rsid w:val="00563C62"/>
    <w:rsid w:val="00563FFE"/>
    <w:rsid w:val="00564164"/>
    <w:rsid w:val="00564405"/>
    <w:rsid w:val="00564562"/>
    <w:rsid w:val="00564DE4"/>
    <w:rsid w:val="00564F09"/>
    <w:rsid w:val="00565091"/>
    <w:rsid w:val="0056519C"/>
    <w:rsid w:val="005655DE"/>
    <w:rsid w:val="0056563E"/>
    <w:rsid w:val="00565646"/>
    <w:rsid w:val="00565757"/>
    <w:rsid w:val="005657B2"/>
    <w:rsid w:val="00565931"/>
    <w:rsid w:val="00565A9A"/>
    <w:rsid w:val="00565D79"/>
    <w:rsid w:val="00565F81"/>
    <w:rsid w:val="0056613E"/>
    <w:rsid w:val="005668EA"/>
    <w:rsid w:val="00566BCE"/>
    <w:rsid w:val="0056727F"/>
    <w:rsid w:val="00567640"/>
    <w:rsid w:val="005676AC"/>
    <w:rsid w:val="00567D1A"/>
    <w:rsid w:val="00567DBB"/>
    <w:rsid w:val="00567FBA"/>
    <w:rsid w:val="005701AD"/>
    <w:rsid w:val="00570721"/>
    <w:rsid w:val="005709FF"/>
    <w:rsid w:val="00570AE5"/>
    <w:rsid w:val="00570B2B"/>
    <w:rsid w:val="00570B56"/>
    <w:rsid w:val="00570C47"/>
    <w:rsid w:val="00570ED3"/>
    <w:rsid w:val="00571546"/>
    <w:rsid w:val="00571996"/>
    <w:rsid w:val="00571DB6"/>
    <w:rsid w:val="00572032"/>
    <w:rsid w:val="00572591"/>
    <w:rsid w:val="005727C0"/>
    <w:rsid w:val="00572BD5"/>
    <w:rsid w:val="00572CE9"/>
    <w:rsid w:val="00572FB6"/>
    <w:rsid w:val="005730D7"/>
    <w:rsid w:val="00573311"/>
    <w:rsid w:val="00573560"/>
    <w:rsid w:val="00573670"/>
    <w:rsid w:val="0057383C"/>
    <w:rsid w:val="005739D5"/>
    <w:rsid w:val="00573A9F"/>
    <w:rsid w:val="00573AA6"/>
    <w:rsid w:val="00574493"/>
    <w:rsid w:val="005754CC"/>
    <w:rsid w:val="005758D3"/>
    <w:rsid w:val="00575D9E"/>
    <w:rsid w:val="00576192"/>
    <w:rsid w:val="00576199"/>
    <w:rsid w:val="0057623D"/>
    <w:rsid w:val="00576289"/>
    <w:rsid w:val="005763AE"/>
    <w:rsid w:val="00576708"/>
    <w:rsid w:val="005769F1"/>
    <w:rsid w:val="00576C2F"/>
    <w:rsid w:val="00576E5D"/>
    <w:rsid w:val="005777A5"/>
    <w:rsid w:val="005778E7"/>
    <w:rsid w:val="00577A38"/>
    <w:rsid w:val="00577AD9"/>
    <w:rsid w:val="00577E7B"/>
    <w:rsid w:val="0058016A"/>
    <w:rsid w:val="00580452"/>
    <w:rsid w:val="005805D3"/>
    <w:rsid w:val="0058085D"/>
    <w:rsid w:val="00580FF8"/>
    <w:rsid w:val="0058103E"/>
    <w:rsid w:val="00581392"/>
    <w:rsid w:val="0058159B"/>
    <w:rsid w:val="00581976"/>
    <w:rsid w:val="00582553"/>
    <w:rsid w:val="0058296A"/>
    <w:rsid w:val="00582BD5"/>
    <w:rsid w:val="0058351E"/>
    <w:rsid w:val="0058376A"/>
    <w:rsid w:val="005837D9"/>
    <w:rsid w:val="00583DA8"/>
    <w:rsid w:val="005844A3"/>
    <w:rsid w:val="0058498D"/>
    <w:rsid w:val="005849D9"/>
    <w:rsid w:val="00584D18"/>
    <w:rsid w:val="00584F09"/>
    <w:rsid w:val="00585053"/>
    <w:rsid w:val="005852CF"/>
    <w:rsid w:val="0058561B"/>
    <w:rsid w:val="00585A4F"/>
    <w:rsid w:val="00585C6D"/>
    <w:rsid w:val="00585CBB"/>
    <w:rsid w:val="00585CC7"/>
    <w:rsid w:val="005862E4"/>
    <w:rsid w:val="00587064"/>
    <w:rsid w:val="00587135"/>
    <w:rsid w:val="00587680"/>
    <w:rsid w:val="00587887"/>
    <w:rsid w:val="005879AF"/>
    <w:rsid w:val="00587A0F"/>
    <w:rsid w:val="00587A6E"/>
    <w:rsid w:val="00587F0C"/>
    <w:rsid w:val="00590098"/>
    <w:rsid w:val="00590660"/>
    <w:rsid w:val="0059081F"/>
    <w:rsid w:val="005909C9"/>
    <w:rsid w:val="005910F4"/>
    <w:rsid w:val="005912DB"/>
    <w:rsid w:val="00591352"/>
    <w:rsid w:val="00591D20"/>
    <w:rsid w:val="00592083"/>
    <w:rsid w:val="00592A67"/>
    <w:rsid w:val="00592C8B"/>
    <w:rsid w:val="005931E7"/>
    <w:rsid w:val="00593B6E"/>
    <w:rsid w:val="005942CE"/>
    <w:rsid w:val="00594450"/>
    <w:rsid w:val="005944ED"/>
    <w:rsid w:val="005945A1"/>
    <w:rsid w:val="00594C60"/>
    <w:rsid w:val="005950A5"/>
    <w:rsid w:val="00595470"/>
    <w:rsid w:val="00595498"/>
    <w:rsid w:val="00595986"/>
    <w:rsid w:val="00595B76"/>
    <w:rsid w:val="00595EC5"/>
    <w:rsid w:val="00596140"/>
    <w:rsid w:val="00596994"/>
    <w:rsid w:val="00596BE2"/>
    <w:rsid w:val="00596F3B"/>
    <w:rsid w:val="005979B3"/>
    <w:rsid w:val="005A0E13"/>
    <w:rsid w:val="005A0FA8"/>
    <w:rsid w:val="005A0FBA"/>
    <w:rsid w:val="005A1236"/>
    <w:rsid w:val="005A1238"/>
    <w:rsid w:val="005A1309"/>
    <w:rsid w:val="005A1481"/>
    <w:rsid w:val="005A14D0"/>
    <w:rsid w:val="005A1547"/>
    <w:rsid w:val="005A18C7"/>
    <w:rsid w:val="005A19D8"/>
    <w:rsid w:val="005A1C28"/>
    <w:rsid w:val="005A2162"/>
    <w:rsid w:val="005A24A0"/>
    <w:rsid w:val="005A2FC4"/>
    <w:rsid w:val="005A32B3"/>
    <w:rsid w:val="005A32F7"/>
    <w:rsid w:val="005A3971"/>
    <w:rsid w:val="005A39FD"/>
    <w:rsid w:val="005A3A9C"/>
    <w:rsid w:val="005A3B2C"/>
    <w:rsid w:val="005A3E7B"/>
    <w:rsid w:val="005A4204"/>
    <w:rsid w:val="005A46EF"/>
    <w:rsid w:val="005A4C55"/>
    <w:rsid w:val="005A4DF3"/>
    <w:rsid w:val="005A4E76"/>
    <w:rsid w:val="005A4FFE"/>
    <w:rsid w:val="005A50AC"/>
    <w:rsid w:val="005A5363"/>
    <w:rsid w:val="005A5E34"/>
    <w:rsid w:val="005A6553"/>
    <w:rsid w:val="005A66CE"/>
    <w:rsid w:val="005A7505"/>
    <w:rsid w:val="005A7680"/>
    <w:rsid w:val="005A7901"/>
    <w:rsid w:val="005A7BD2"/>
    <w:rsid w:val="005A7C45"/>
    <w:rsid w:val="005A7D94"/>
    <w:rsid w:val="005B0375"/>
    <w:rsid w:val="005B0450"/>
    <w:rsid w:val="005B09A3"/>
    <w:rsid w:val="005B1141"/>
    <w:rsid w:val="005B134D"/>
    <w:rsid w:val="005B1527"/>
    <w:rsid w:val="005B160B"/>
    <w:rsid w:val="005B1D62"/>
    <w:rsid w:val="005B1E77"/>
    <w:rsid w:val="005B233A"/>
    <w:rsid w:val="005B248E"/>
    <w:rsid w:val="005B2668"/>
    <w:rsid w:val="005B2A30"/>
    <w:rsid w:val="005B2A42"/>
    <w:rsid w:val="005B2E2E"/>
    <w:rsid w:val="005B3037"/>
    <w:rsid w:val="005B33A1"/>
    <w:rsid w:val="005B3521"/>
    <w:rsid w:val="005B3AAE"/>
    <w:rsid w:val="005B3DA8"/>
    <w:rsid w:val="005B487F"/>
    <w:rsid w:val="005B489B"/>
    <w:rsid w:val="005B4C6B"/>
    <w:rsid w:val="005B5662"/>
    <w:rsid w:val="005B56E6"/>
    <w:rsid w:val="005B58F8"/>
    <w:rsid w:val="005B5E70"/>
    <w:rsid w:val="005B606A"/>
    <w:rsid w:val="005B63BD"/>
    <w:rsid w:val="005B6711"/>
    <w:rsid w:val="005B6767"/>
    <w:rsid w:val="005B6A0B"/>
    <w:rsid w:val="005B6A75"/>
    <w:rsid w:val="005B6FB4"/>
    <w:rsid w:val="005B7635"/>
    <w:rsid w:val="005B7AF3"/>
    <w:rsid w:val="005B7D42"/>
    <w:rsid w:val="005B7E0F"/>
    <w:rsid w:val="005B7E5C"/>
    <w:rsid w:val="005C02EA"/>
    <w:rsid w:val="005C0BAC"/>
    <w:rsid w:val="005C0EC3"/>
    <w:rsid w:val="005C1098"/>
    <w:rsid w:val="005C1E10"/>
    <w:rsid w:val="005C2063"/>
    <w:rsid w:val="005C2756"/>
    <w:rsid w:val="005C35AC"/>
    <w:rsid w:val="005C362E"/>
    <w:rsid w:val="005C36F4"/>
    <w:rsid w:val="005C3DFB"/>
    <w:rsid w:val="005C41D8"/>
    <w:rsid w:val="005C476B"/>
    <w:rsid w:val="005C4BFC"/>
    <w:rsid w:val="005C5045"/>
    <w:rsid w:val="005C554D"/>
    <w:rsid w:val="005C5643"/>
    <w:rsid w:val="005C564B"/>
    <w:rsid w:val="005C5A56"/>
    <w:rsid w:val="005C5BE9"/>
    <w:rsid w:val="005C5C42"/>
    <w:rsid w:val="005C5E3A"/>
    <w:rsid w:val="005C5EEE"/>
    <w:rsid w:val="005C6335"/>
    <w:rsid w:val="005C637B"/>
    <w:rsid w:val="005C6B2A"/>
    <w:rsid w:val="005C71FD"/>
    <w:rsid w:val="005C7700"/>
    <w:rsid w:val="005C7DF9"/>
    <w:rsid w:val="005C7EB2"/>
    <w:rsid w:val="005C7ECF"/>
    <w:rsid w:val="005D031F"/>
    <w:rsid w:val="005D04B5"/>
    <w:rsid w:val="005D05B5"/>
    <w:rsid w:val="005D070A"/>
    <w:rsid w:val="005D075D"/>
    <w:rsid w:val="005D0A12"/>
    <w:rsid w:val="005D10B7"/>
    <w:rsid w:val="005D1375"/>
    <w:rsid w:val="005D1A3B"/>
    <w:rsid w:val="005D1BEE"/>
    <w:rsid w:val="005D2C5E"/>
    <w:rsid w:val="005D2CA1"/>
    <w:rsid w:val="005D2F1D"/>
    <w:rsid w:val="005D30AE"/>
    <w:rsid w:val="005D3211"/>
    <w:rsid w:val="005D33DC"/>
    <w:rsid w:val="005D3894"/>
    <w:rsid w:val="005D3EA4"/>
    <w:rsid w:val="005D43E8"/>
    <w:rsid w:val="005D5250"/>
    <w:rsid w:val="005D5690"/>
    <w:rsid w:val="005D56D5"/>
    <w:rsid w:val="005D5707"/>
    <w:rsid w:val="005D5990"/>
    <w:rsid w:val="005D6049"/>
    <w:rsid w:val="005D60DF"/>
    <w:rsid w:val="005D6148"/>
    <w:rsid w:val="005D61EB"/>
    <w:rsid w:val="005D62F0"/>
    <w:rsid w:val="005D6496"/>
    <w:rsid w:val="005D65A9"/>
    <w:rsid w:val="005D65EC"/>
    <w:rsid w:val="005D67EF"/>
    <w:rsid w:val="005D689E"/>
    <w:rsid w:val="005D68B9"/>
    <w:rsid w:val="005D6A2D"/>
    <w:rsid w:val="005D6C08"/>
    <w:rsid w:val="005D6DDF"/>
    <w:rsid w:val="005D70FF"/>
    <w:rsid w:val="005D7764"/>
    <w:rsid w:val="005E01AA"/>
    <w:rsid w:val="005E0522"/>
    <w:rsid w:val="005E094D"/>
    <w:rsid w:val="005E0961"/>
    <w:rsid w:val="005E0C05"/>
    <w:rsid w:val="005E1134"/>
    <w:rsid w:val="005E12D0"/>
    <w:rsid w:val="005E13F7"/>
    <w:rsid w:val="005E1594"/>
    <w:rsid w:val="005E168B"/>
    <w:rsid w:val="005E1907"/>
    <w:rsid w:val="005E1C55"/>
    <w:rsid w:val="005E1C7F"/>
    <w:rsid w:val="005E1CEE"/>
    <w:rsid w:val="005E2C56"/>
    <w:rsid w:val="005E2F01"/>
    <w:rsid w:val="005E3ADB"/>
    <w:rsid w:val="005E3CD6"/>
    <w:rsid w:val="005E3D30"/>
    <w:rsid w:val="005E3EF6"/>
    <w:rsid w:val="005E461A"/>
    <w:rsid w:val="005E568D"/>
    <w:rsid w:val="005E57DC"/>
    <w:rsid w:val="005E5928"/>
    <w:rsid w:val="005E5FAE"/>
    <w:rsid w:val="005E613A"/>
    <w:rsid w:val="005E6141"/>
    <w:rsid w:val="005E6360"/>
    <w:rsid w:val="005E6546"/>
    <w:rsid w:val="005E7A44"/>
    <w:rsid w:val="005F019A"/>
    <w:rsid w:val="005F03D1"/>
    <w:rsid w:val="005F046C"/>
    <w:rsid w:val="005F1A73"/>
    <w:rsid w:val="005F1C24"/>
    <w:rsid w:val="005F23AA"/>
    <w:rsid w:val="005F2B18"/>
    <w:rsid w:val="005F2CD2"/>
    <w:rsid w:val="005F2E30"/>
    <w:rsid w:val="005F3161"/>
    <w:rsid w:val="005F3771"/>
    <w:rsid w:val="005F378E"/>
    <w:rsid w:val="005F38AB"/>
    <w:rsid w:val="005F38DC"/>
    <w:rsid w:val="005F3BBC"/>
    <w:rsid w:val="005F3C60"/>
    <w:rsid w:val="005F40E8"/>
    <w:rsid w:val="005F45F9"/>
    <w:rsid w:val="005F4808"/>
    <w:rsid w:val="005F4F95"/>
    <w:rsid w:val="005F511E"/>
    <w:rsid w:val="005F513C"/>
    <w:rsid w:val="005F529A"/>
    <w:rsid w:val="005F5635"/>
    <w:rsid w:val="005F6600"/>
    <w:rsid w:val="005F6D3A"/>
    <w:rsid w:val="005F6DE3"/>
    <w:rsid w:val="005F72B0"/>
    <w:rsid w:val="005F7695"/>
    <w:rsid w:val="005F7722"/>
    <w:rsid w:val="005F793F"/>
    <w:rsid w:val="005F7D77"/>
    <w:rsid w:val="005F7D83"/>
    <w:rsid w:val="005F7F19"/>
    <w:rsid w:val="0060007F"/>
    <w:rsid w:val="00600256"/>
    <w:rsid w:val="006004F6"/>
    <w:rsid w:val="00600F3C"/>
    <w:rsid w:val="0060164D"/>
    <w:rsid w:val="00601955"/>
    <w:rsid w:val="006019FE"/>
    <w:rsid w:val="006020E7"/>
    <w:rsid w:val="0060246C"/>
    <w:rsid w:val="0060249F"/>
    <w:rsid w:val="00603A54"/>
    <w:rsid w:val="00603D89"/>
    <w:rsid w:val="0060452F"/>
    <w:rsid w:val="006049E7"/>
    <w:rsid w:val="00604A55"/>
    <w:rsid w:val="00605146"/>
    <w:rsid w:val="00605231"/>
    <w:rsid w:val="00605305"/>
    <w:rsid w:val="00605D22"/>
    <w:rsid w:val="006060F3"/>
    <w:rsid w:val="00606546"/>
    <w:rsid w:val="00606746"/>
    <w:rsid w:val="00606D00"/>
    <w:rsid w:val="00607213"/>
    <w:rsid w:val="00607225"/>
    <w:rsid w:val="0060742D"/>
    <w:rsid w:val="00607EAF"/>
    <w:rsid w:val="00610565"/>
    <w:rsid w:val="00610566"/>
    <w:rsid w:val="00610BEE"/>
    <w:rsid w:val="00610C98"/>
    <w:rsid w:val="00610D08"/>
    <w:rsid w:val="00610E6D"/>
    <w:rsid w:val="0061120E"/>
    <w:rsid w:val="00611425"/>
    <w:rsid w:val="00611927"/>
    <w:rsid w:val="006119BE"/>
    <w:rsid w:val="006120C5"/>
    <w:rsid w:val="006124CC"/>
    <w:rsid w:val="00612D7D"/>
    <w:rsid w:val="00612E93"/>
    <w:rsid w:val="00612F1F"/>
    <w:rsid w:val="006135D7"/>
    <w:rsid w:val="006139A1"/>
    <w:rsid w:val="00613C84"/>
    <w:rsid w:val="006142C6"/>
    <w:rsid w:val="00614965"/>
    <w:rsid w:val="00614D05"/>
    <w:rsid w:val="00614F24"/>
    <w:rsid w:val="00615259"/>
    <w:rsid w:val="006152B0"/>
    <w:rsid w:val="00615D14"/>
    <w:rsid w:val="00616186"/>
    <w:rsid w:val="00616708"/>
    <w:rsid w:val="00616BC7"/>
    <w:rsid w:val="00616DCD"/>
    <w:rsid w:val="00616FFA"/>
    <w:rsid w:val="00617358"/>
    <w:rsid w:val="00617645"/>
    <w:rsid w:val="0061790B"/>
    <w:rsid w:val="00617A95"/>
    <w:rsid w:val="00617B25"/>
    <w:rsid w:val="00620C75"/>
    <w:rsid w:val="00620D1B"/>
    <w:rsid w:val="0062120A"/>
    <w:rsid w:val="006213D6"/>
    <w:rsid w:val="00621477"/>
    <w:rsid w:val="00621D11"/>
    <w:rsid w:val="00621E7B"/>
    <w:rsid w:val="006223CB"/>
    <w:rsid w:val="00622A6C"/>
    <w:rsid w:val="006233BE"/>
    <w:rsid w:val="00623594"/>
    <w:rsid w:val="00623CB3"/>
    <w:rsid w:val="00623E32"/>
    <w:rsid w:val="00623F29"/>
    <w:rsid w:val="006241CF"/>
    <w:rsid w:val="00624403"/>
    <w:rsid w:val="0062454B"/>
    <w:rsid w:val="00624B9D"/>
    <w:rsid w:val="006258AC"/>
    <w:rsid w:val="00625B99"/>
    <w:rsid w:val="00626303"/>
    <w:rsid w:val="00626350"/>
    <w:rsid w:val="00626B66"/>
    <w:rsid w:val="0062759B"/>
    <w:rsid w:val="00627844"/>
    <w:rsid w:val="00627AAF"/>
    <w:rsid w:val="00627F79"/>
    <w:rsid w:val="00630256"/>
    <w:rsid w:val="006303C4"/>
    <w:rsid w:val="0063113E"/>
    <w:rsid w:val="006314FE"/>
    <w:rsid w:val="00631AD0"/>
    <w:rsid w:val="00631EBD"/>
    <w:rsid w:val="00632597"/>
    <w:rsid w:val="00632866"/>
    <w:rsid w:val="0063304B"/>
    <w:rsid w:val="0063314D"/>
    <w:rsid w:val="00633296"/>
    <w:rsid w:val="0063401F"/>
    <w:rsid w:val="006340D1"/>
    <w:rsid w:val="0063469D"/>
    <w:rsid w:val="006346F5"/>
    <w:rsid w:val="006349BA"/>
    <w:rsid w:val="00634B36"/>
    <w:rsid w:val="00634D53"/>
    <w:rsid w:val="00634FE6"/>
    <w:rsid w:val="00635042"/>
    <w:rsid w:val="00635329"/>
    <w:rsid w:val="006356CE"/>
    <w:rsid w:val="00635906"/>
    <w:rsid w:val="00635BF2"/>
    <w:rsid w:val="00635D05"/>
    <w:rsid w:val="00635D41"/>
    <w:rsid w:val="00635EEF"/>
    <w:rsid w:val="00636E94"/>
    <w:rsid w:val="0063751D"/>
    <w:rsid w:val="00637734"/>
    <w:rsid w:val="00637FC0"/>
    <w:rsid w:val="006402AF"/>
    <w:rsid w:val="00640E74"/>
    <w:rsid w:val="006412EC"/>
    <w:rsid w:val="006413D4"/>
    <w:rsid w:val="006414F8"/>
    <w:rsid w:val="00641702"/>
    <w:rsid w:val="0064193E"/>
    <w:rsid w:val="00641961"/>
    <w:rsid w:val="00641D03"/>
    <w:rsid w:val="00641F80"/>
    <w:rsid w:val="0064231C"/>
    <w:rsid w:val="0064283A"/>
    <w:rsid w:val="00642881"/>
    <w:rsid w:val="006429B8"/>
    <w:rsid w:val="00642FBB"/>
    <w:rsid w:val="0064341C"/>
    <w:rsid w:val="006434A0"/>
    <w:rsid w:val="00643946"/>
    <w:rsid w:val="00643AED"/>
    <w:rsid w:val="00644905"/>
    <w:rsid w:val="00644BEA"/>
    <w:rsid w:val="00644E07"/>
    <w:rsid w:val="00644F10"/>
    <w:rsid w:val="00645066"/>
    <w:rsid w:val="0064544F"/>
    <w:rsid w:val="0064585C"/>
    <w:rsid w:val="00645B1B"/>
    <w:rsid w:val="00645BD2"/>
    <w:rsid w:val="00646554"/>
    <w:rsid w:val="00646833"/>
    <w:rsid w:val="00646A62"/>
    <w:rsid w:val="00646D28"/>
    <w:rsid w:val="0064714E"/>
    <w:rsid w:val="006471CD"/>
    <w:rsid w:val="00647308"/>
    <w:rsid w:val="00647442"/>
    <w:rsid w:val="00647563"/>
    <w:rsid w:val="0064759E"/>
    <w:rsid w:val="006475DC"/>
    <w:rsid w:val="006476FD"/>
    <w:rsid w:val="00647955"/>
    <w:rsid w:val="0065016B"/>
    <w:rsid w:val="006501EC"/>
    <w:rsid w:val="00650340"/>
    <w:rsid w:val="0065046A"/>
    <w:rsid w:val="00650D03"/>
    <w:rsid w:val="006512AA"/>
    <w:rsid w:val="00652C9D"/>
    <w:rsid w:val="00653095"/>
    <w:rsid w:val="006534AC"/>
    <w:rsid w:val="006538C0"/>
    <w:rsid w:val="006539C5"/>
    <w:rsid w:val="00653F0B"/>
    <w:rsid w:val="0065465C"/>
    <w:rsid w:val="00654F9C"/>
    <w:rsid w:val="00655140"/>
    <w:rsid w:val="0065545D"/>
    <w:rsid w:val="00655619"/>
    <w:rsid w:val="006557BB"/>
    <w:rsid w:val="00655DEC"/>
    <w:rsid w:val="00655EC1"/>
    <w:rsid w:val="006565A9"/>
    <w:rsid w:val="00656643"/>
    <w:rsid w:val="00656872"/>
    <w:rsid w:val="006570A6"/>
    <w:rsid w:val="006572AF"/>
    <w:rsid w:val="00657612"/>
    <w:rsid w:val="0065773D"/>
    <w:rsid w:val="006578B3"/>
    <w:rsid w:val="00657C18"/>
    <w:rsid w:val="00657E4F"/>
    <w:rsid w:val="00657EA5"/>
    <w:rsid w:val="00657F78"/>
    <w:rsid w:val="00660150"/>
    <w:rsid w:val="00660240"/>
    <w:rsid w:val="00660409"/>
    <w:rsid w:val="00660778"/>
    <w:rsid w:val="00660FA9"/>
    <w:rsid w:val="006613CB"/>
    <w:rsid w:val="00661547"/>
    <w:rsid w:val="00661F5F"/>
    <w:rsid w:val="00662179"/>
    <w:rsid w:val="0066242D"/>
    <w:rsid w:val="00662596"/>
    <w:rsid w:val="006627FF"/>
    <w:rsid w:val="00662B20"/>
    <w:rsid w:val="00662B7F"/>
    <w:rsid w:val="00663409"/>
    <w:rsid w:val="00663DBC"/>
    <w:rsid w:val="0066427A"/>
    <w:rsid w:val="006642F5"/>
    <w:rsid w:val="00664514"/>
    <w:rsid w:val="00664566"/>
    <w:rsid w:val="00664BBA"/>
    <w:rsid w:val="00664BE6"/>
    <w:rsid w:val="00664F56"/>
    <w:rsid w:val="0066530E"/>
    <w:rsid w:val="0066547A"/>
    <w:rsid w:val="00665777"/>
    <w:rsid w:val="00665EE3"/>
    <w:rsid w:val="00666194"/>
    <w:rsid w:val="00666677"/>
    <w:rsid w:val="00666A6C"/>
    <w:rsid w:val="00666AD5"/>
    <w:rsid w:val="00666BDC"/>
    <w:rsid w:val="00666E84"/>
    <w:rsid w:val="00667022"/>
    <w:rsid w:val="00667483"/>
    <w:rsid w:val="006676A3"/>
    <w:rsid w:val="00667C0E"/>
    <w:rsid w:val="00667DC8"/>
    <w:rsid w:val="00667F36"/>
    <w:rsid w:val="00670115"/>
    <w:rsid w:val="006701CC"/>
    <w:rsid w:val="00670278"/>
    <w:rsid w:val="00670574"/>
    <w:rsid w:val="00670824"/>
    <w:rsid w:val="00670B28"/>
    <w:rsid w:val="00671334"/>
    <w:rsid w:val="006717DD"/>
    <w:rsid w:val="0067180B"/>
    <w:rsid w:val="00671B6C"/>
    <w:rsid w:val="0067259F"/>
    <w:rsid w:val="006728D3"/>
    <w:rsid w:val="00672B3B"/>
    <w:rsid w:val="00673733"/>
    <w:rsid w:val="006740AC"/>
    <w:rsid w:val="006742B7"/>
    <w:rsid w:val="0067479B"/>
    <w:rsid w:val="00674B29"/>
    <w:rsid w:val="00674E92"/>
    <w:rsid w:val="0067532C"/>
    <w:rsid w:val="00675379"/>
    <w:rsid w:val="00675894"/>
    <w:rsid w:val="0067589F"/>
    <w:rsid w:val="00675930"/>
    <w:rsid w:val="00675B54"/>
    <w:rsid w:val="00675CBF"/>
    <w:rsid w:val="00675ECB"/>
    <w:rsid w:val="006764C9"/>
    <w:rsid w:val="006765E1"/>
    <w:rsid w:val="00676D21"/>
    <w:rsid w:val="00677096"/>
    <w:rsid w:val="0067754D"/>
    <w:rsid w:val="00677B4D"/>
    <w:rsid w:val="00677E5F"/>
    <w:rsid w:val="00680144"/>
    <w:rsid w:val="0068097D"/>
    <w:rsid w:val="00680FC9"/>
    <w:rsid w:val="00681392"/>
    <w:rsid w:val="006819B5"/>
    <w:rsid w:val="00681C9D"/>
    <w:rsid w:val="00681F36"/>
    <w:rsid w:val="00681F8C"/>
    <w:rsid w:val="00681FD5"/>
    <w:rsid w:val="00682071"/>
    <w:rsid w:val="006820DF"/>
    <w:rsid w:val="006821D9"/>
    <w:rsid w:val="00682437"/>
    <w:rsid w:val="0068253E"/>
    <w:rsid w:val="0068266B"/>
    <w:rsid w:val="00682821"/>
    <w:rsid w:val="00682E93"/>
    <w:rsid w:val="00683283"/>
    <w:rsid w:val="00683B3D"/>
    <w:rsid w:val="00683D89"/>
    <w:rsid w:val="006842E6"/>
    <w:rsid w:val="0068486F"/>
    <w:rsid w:val="00684E27"/>
    <w:rsid w:val="00685D44"/>
    <w:rsid w:val="00685DB1"/>
    <w:rsid w:val="00686588"/>
    <w:rsid w:val="006866D1"/>
    <w:rsid w:val="00686F21"/>
    <w:rsid w:val="006872E0"/>
    <w:rsid w:val="00687800"/>
    <w:rsid w:val="00687E0F"/>
    <w:rsid w:val="006900BD"/>
    <w:rsid w:val="00690258"/>
    <w:rsid w:val="006902C6"/>
    <w:rsid w:val="00690350"/>
    <w:rsid w:val="0069039E"/>
    <w:rsid w:val="006903C9"/>
    <w:rsid w:val="006906D7"/>
    <w:rsid w:val="00690742"/>
    <w:rsid w:val="00690896"/>
    <w:rsid w:val="00690CB0"/>
    <w:rsid w:val="00690DC1"/>
    <w:rsid w:val="00691151"/>
    <w:rsid w:val="00691218"/>
    <w:rsid w:val="00691356"/>
    <w:rsid w:val="0069232E"/>
    <w:rsid w:val="006924DC"/>
    <w:rsid w:val="00692CDA"/>
    <w:rsid w:val="006931AF"/>
    <w:rsid w:val="00693869"/>
    <w:rsid w:val="00693BC0"/>
    <w:rsid w:val="00693C30"/>
    <w:rsid w:val="00693C3D"/>
    <w:rsid w:val="006947DC"/>
    <w:rsid w:val="00694BBD"/>
    <w:rsid w:val="00694D72"/>
    <w:rsid w:val="00694DC6"/>
    <w:rsid w:val="00694EA5"/>
    <w:rsid w:val="00694F2A"/>
    <w:rsid w:val="006951DF"/>
    <w:rsid w:val="0069542F"/>
    <w:rsid w:val="00695AAA"/>
    <w:rsid w:val="00695BA4"/>
    <w:rsid w:val="00695F90"/>
    <w:rsid w:val="00696373"/>
    <w:rsid w:val="0069681F"/>
    <w:rsid w:val="00696B0D"/>
    <w:rsid w:val="00696B45"/>
    <w:rsid w:val="00696F8B"/>
    <w:rsid w:val="006978B7"/>
    <w:rsid w:val="00697C32"/>
    <w:rsid w:val="00697C7C"/>
    <w:rsid w:val="00697F44"/>
    <w:rsid w:val="006A0196"/>
    <w:rsid w:val="006A023C"/>
    <w:rsid w:val="006A0393"/>
    <w:rsid w:val="006A07CA"/>
    <w:rsid w:val="006A0F98"/>
    <w:rsid w:val="006A1604"/>
    <w:rsid w:val="006A18DC"/>
    <w:rsid w:val="006A1944"/>
    <w:rsid w:val="006A1EB2"/>
    <w:rsid w:val="006A1FBE"/>
    <w:rsid w:val="006A2038"/>
    <w:rsid w:val="006A2185"/>
    <w:rsid w:val="006A23F9"/>
    <w:rsid w:val="006A26A5"/>
    <w:rsid w:val="006A28AE"/>
    <w:rsid w:val="006A2F84"/>
    <w:rsid w:val="006A3406"/>
    <w:rsid w:val="006A3577"/>
    <w:rsid w:val="006A3891"/>
    <w:rsid w:val="006A3CD3"/>
    <w:rsid w:val="006A3CED"/>
    <w:rsid w:val="006A3FFB"/>
    <w:rsid w:val="006A44D0"/>
    <w:rsid w:val="006A45CC"/>
    <w:rsid w:val="006A486F"/>
    <w:rsid w:val="006A5357"/>
    <w:rsid w:val="006A5A0C"/>
    <w:rsid w:val="006A5C15"/>
    <w:rsid w:val="006A5C3A"/>
    <w:rsid w:val="006A60AE"/>
    <w:rsid w:val="006A6263"/>
    <w:rsid w:val="006A62DC"/>
    <w:rsid w:val="006A63AC"/>
    <w:rsid w:val="006A6C52"/>
    <w:rsid w:val="006A71CD"/>
    <w:rsid w:val="006A71D0"/>
    <w:rsid w:val="006A7408"/>
    <w:rsid w:val="006A76F2"/>
    <w:rsid w:val="006A77AE"/>
    <w:rsid w:val="006A7D09"/>
    <w:rsid w:val="006B0259"/>
    <w:rsid w:val="006B02CD"/>
    <w:rsid w:val="006B052B"/>
    <w:rsid w:val="006B05DF"/>
    <w:rsid w:val="006B0624"/>
    <w:rsid w:val="006B0E2C"/>
    <w:rsid w:val="006B0F1A"/>
    <w:rsid w:val="006B10A9"/>
    <w:rsid w:val="006B164F"/>
    <w:rsid w:val="006B190F"/>
    <w:rsid w:val="006B19EA"/>
    <w:rsid w:val="006B25DE"/>
    <w:rsid w:val="006B2DB7"/>
    <w:rsid w:val="006B30B2"/>
    <w:rsid w:val="006B3158"/>
    <w:rsid w:val="006B3352"/>
    <w:rsid w:val="006B3397"/>
    <w:rsid w:val="006B33D9"/>
    <w:rsid w:val="006B388F"/>
    <w:rsid w:val="006B3A56"/>
    <w:rsid w:val="006B453B"/>
    <w:rsid w:val="006B48CC"/>
    <w:rsid w:val="006B5108"/>
    <w:rsid w:val="006B5331"/>
    <w:rsid w:val="006B564F"/>
    <w:rsid w:val="006B56DB"/>
    <w:rsid w:val="006B572E"/>
    <w:rsid w:val="006B5765"/>
    <w:rsid w:val="006B5A26"/>
    <w:rsid w:val="006B5AD0"/>
    <w:rsid w:val="006B64A9"/>
    <w:rsid w:val="006B6518"/>
    <w:rsid w:val="006B6C25"/>
    <w:rsid w:val="006B6CF3"/>
    <w:rsid w:val="006B6E47"/>
    <w:rsid w:val="006B767D"/>
    <w:rsid w:val="006B7A87"/>
    <w:rsid w:val="006B7DD3"/>
    <w:rsid w:val="006B7EE2"/>
    <w:rsid w:val="006C0616"/>
    <w:rsid w:val="006C06F9"/>
    <w:rsid w:val="006C17D2"/>
    <w:rsid w:val="006C227A"/>
    <w:rsid w:val="006C29CD"/>
    <w:rsid w:val="006C2BA5"/>
    <w:rsid w:val="006C2CA9"/>
    <w:rsid w:val="006C2EB4"/>
    <w:rsid w:val="006C2ED9"/>
    <w:rsid w:val="006C2FC6"/>
    <w:rsid w:val="006C37B6"/>
    <w:rsid w:val="006C3A0B"/>
    <w:rsid w:val="006C44C6"/>
    <w:rsid w:val="006C4637"/>
    <w:rsid w:val="006C4997"/>
    <w:rsid w:val="006C4C12"/>
    <w:rsid w:val="006C4D94"/>
    <w:rsid w:val="006C4FEC"/>
    <w:rsid w:val="006C508E"/>
    <w:rsid w:val="006C5430"/>
    <w:rsid w:val="006C5940"/>
    <w:rsid w:val="006C5FA5"/>
    <w:rsid w:val="006C6049"/>
    <w:rsid w:val="006C6237"/>
    <w:rsid w:val="006C63C4"/>
    <w:rsid w:val="006C652A"/>
    <w:rsid w:val="006C69BE"/>
    <w:rsid w:val="006C6A29"/>
    <w:rsid w:val="006C6C49"/>
    <w:rsid w:val="006C6DF9"/>
    <w:rsid w:val="006C7206"/>
    <w:rsid w:val="006C7903"/>
    <w:rsid w:val="006D0110"/>
    <w:rsid w:val="006D0123"/>
    <w:rsid w:val="006D06C1"/>
    <w:rsid w:val="006D085C"/>
    <w:rsid w:val="006D0A17"/>
    <w:rsid w:val="006D0AB6"/>
    <w:rsid w:val="006D0AEF"/>
    <w:rsid w:val="006D0B14"/>
    <w:rsid w:val="006D0B58"/>
    <w:rsid w:val="006D0CBE"/>
    <w:rsid w:val="006D1E8F"/>
    <w:rsid w:val="006D1E97"/>
    <w:rsid w:val="006D2129"/>
    <w:rsid w:val="006D29A3"/>
    <w:rsid w:val="006D2BD2"/>
    <w:rsid w:val="006D3435"/>
    <w:rsid w:val="006D347E"/>
    <w:rsid w:val="006D3AD4"/>
    <w:rsid w:val="006D4370"/>
    <w:rsid w:val="006D4567"/>
    <w:rsid w:val="006D4706"/>
    <w:rsid w:val="006D49E0"/>
    <w:rsid w:val="006D5270"/>
    <w:rsid w:val="006D5672"/>
    <w:rsid w:val="006D588D"/>
    <w:rsid w:val="006D5A20"/>
    <w:rsid w:val="006D5EF9"/>
    <w:rsid w:val="006D6183"/>
    <w:rsid w:val="006D69AE"/>
    <w:rsid w:val="006D6B2A"/>
    <w:rsid w:val="006D6CA0"/>
    <w:rsid w:val="006D6E16"/>
    <w:rsid w:val="006D72B4"/>
    <w:rsid w:val="006E02BE"/>
    <w:rsid w:val="006E03EC"/>
    <w:rsid w:val="006E0597"/>
    <w:rsid w:val="006E0730"/>
    <w:rsid w:val="006E0B7F"/>
    <w:rsid w:val="006E0FDF"/>
    <w:rsid w:val="006E109D"/>
    <w:rsid w:val="006E1130"/>
    <w:rsid w:val="006E1443"/>
    <w:rsid w:val="006E1667"/>
    <w:rsid w:val="006E1C76"/>
    <w:rsid w:val="006E27EB"/>
    <w:rsid w:val="006E284D"/>
    <w:rsid w:val="006E289E"/>
    <w:rsid w:val="006E2A12"/>
    <w:rsid w:val="006E2AB3"/>
    <w:rsid w:val="006E3004"/>
    <w:rsid w:val="006E38D6"/>
    <w:rsid w:val="006E3951"/>
    <w:rsid w:val="006E469D"/>
    <w:rsid w:val="006E49AB"/>
    <w:rsid w:val="006E4F72"/>
    <w:rsid w:val="006E534E"/>
    <w:rsid w:val="006E59E3"/>
    <w:rsid w:val="006E5AC6"/>
    <w:rsid w:val="006E5B9D"/>
    <w:rsid w:val="006E5E72"/>
    <w:rsid w:val="006E5FFF"/>
    <w:rsid w:val="006E6047"/>
    <w:rsid w:val="006E6531"/>
    <w:rsid w:val="006E6559"/>
    <w:rsid w:val="006E6832"/>
    <w:rsid w:val="006E6AA2"/>
    <w:rsid w:val="006E6F0E"/>
    <w:rsid w:val="006E6FDD"/>
    <w:rsid w:val="006E6FF4"/>
    <w:rsid w:val="006E7455"/>
    <w:rsid w:val="006E7559"/>
    <w:rsid w:val="006E7EED"/>
    <w:rsid w:val="006F08CF"/>
    <w:rsid w:val="006F10D7"/>
    <w:rsid w:val="006F1279"/>
    <w:rsid w:val="006F129C"/>
    <w:rsid w:val="006F1343"/>
    <w:rsid w:val="006F150F"/>
    <w:rsid w:val="006F263E"/>
    <w:rsid w:val="006F2680"/>
    <w:rsid w:val="006F270A"/>
    <w:rsid w:val="006F274A"/>
    <w:rsid w:val="006F2BD4"/>
    <w:rsid w:val="006F32C4"/>
    <w:rsid w:val="006F3445"/>
    <w:rsid w:val="006F3550"/>
    <w:rsid w:val="006F3599"/>
    <w:rsid w:val="006F3619"/>
    <w:rsid w:val="006F37D3"/>
    <w:rsid w:val="006F3860"/>
    <w:rsid w:val="006F3A45"/>
    <w:rsid w:val="006F3F8B"/>
    <w:rsid w:val="006F453D"/>
    <w:rsid w:val="006F468D"/>
    <w:rsid w:val="006F4A35"/>
    <w:rsid w:val="006F524F"/>
    <w:rsid w:val="006F5276"/>
    <w:rsid w:val="006F5301"/>
    <w:rsid w:val="006F5D0F"/>
    <w:rsid w:val="006F5D7A"/>
    <w:rsid w:val="006F5E62"/>
    <w:rsid w:val="006F61E1"/>
    <w:rsid w:val="006F6337"/>
    <w:rsid w:val="006F63CA"/>
    <w:rsid w:val="006F6476"/>
    <w:rsid w:val="006F6A8C"/>
    <w:rsid w:val="006F6E39"/>
    <w:rsid w:val="006F6E6E"/>
    <w:rsid w:val="006F75BA"/>
    <w:rsid w:val="006F75CD"/>
    <w:rsid w:val="006F75D0"/>
    <w:rsid w:val="006F76EE"/>
    <w:rsid w:val="006F777B"/>
    <w:rsid w:val="006F79A9"/>
    <w:rsid w:val="006F7C57"/>
    <w:rsid w:val="007000EA"/>
    <w:rsid w:val="00700106"/>
    <w:rsid w:val="007001F4"/>
    <w:rsid w:val="00700461"/>
    <w:rsid w:val="007005F6"/>
    <w:rsid w:val="007008F9"/>
    <w:rsid w:val="00700A6C"/>
    <w:rsid w:val="00701530"/>
    <w:rsid w:val="0070155F"/>
    <w:rsid w:val="007015D8"/>
    <w:rsid w:val="00701AEE"/>
    <w:rsid w:val="00701CC8"/>
    <w:rsid w:val="00701E87"/>
    <w:rsid w:val="0070230D"/>
    <w:rsid w:val="00702405"/>
    <w:rsid w:val="00702A14"/>
    <w:rsid w:val="00702B79"/>
    <w:rsid w:val="007032CB"/>
    <w:rsid w:val="00703B0C"/>
    <w:rsid w:val="00703E29"/>
    <w:rsid w:val="00704478"/>
    <w:rsid w:val="007047AF"/>
    <w:rsid w:val="0070499B"/>
    <w:rsid w:val="00704CC4"/>
    <w:rsid w:val="00704F4E"/>
    <w:rsid w:val="00705612"/>
    <w:rsid w:val="00705624"/>
    <w:rsid w:val="00705987"/>
    <w:rsid w:val="00705F51"/>
    <w:rsid w:val="00706239"/>
    <w:rsid w:val="0070627A"/>
    <w:rsid w:val="00706389"/>
    <w:rsid w:val="00706F7D"/>
    <w:rsid w:val="007070D0"/>
    <w:rsid w:val="007078B7"/>
    <w:rsid w:val="00707941"/>
    <w:rsid w:val="00707B98"/>
    <w:rsid w:val="00707F9D"/>
    <w:rsid w:val="0071000D"/>
    <w:rsid w:val="00710438"/>
    <w:rsid w:val="007105C3"/>
    <w:rsid w:val="00710619"/>
    <w:rsid w:val="007107EE"/>
    <w:rsid w:val="007110C1"/>
    <w:rsid w:val="00711F5B"/>
    <w:rsid w:val="0071202E"/>
    <w:rsid w:val="00712355"/>
    <w:rsid w:val="00712569"/>
    <w:rsid w:val="00712674"/>
    <w:rsid w:val="00712839"/>
    <w:rsid w:val="00712CF9"/>
    <w:rsid w:val="007130B6"/>
    <w:rsid w:val="0071333A"/>
    <w:rsid w:val="00713609"/>
    <w:rsid w:val="007139D3"/>
    <w:rsid w:val="00713BB9"/>
    <w:rsid w:val="00714176"/>
    <w:rsid w:val="00714476"/>
    <w:rsid w:val="00714981"/>
    <w:rsid w:val="00714BE8"/>
    <w:rsid w:val="00715880"/>
    <w:rsid w:val="00715A24"/>
    <w:rsid w:val="00715D9B"/>
    <w:rsid w:val="00715EE5"/>
    <w:rsid w:val="00715F5A"/>
    <w:rsid w:val="00716572"/>
    <w:rsid w:val="00716639"/>
    <w:rsid w:val="00716872"/>
    <w:rsid w:val="00716C1C"/>
    <w:rsid w:val="00716DAC"/>
    <w:rsid w:val="00717027"/>
    <w:rsid w:val="007172AF"/>
    <w:rsid w:val="00717462"/>
    <w:rsid w:val="00717817"/>
    <w:rsid w:val="00717884"/>
    <w:rsid w:val="00717904"/>
    <w:rsid w:val="00717EFE"/>
    <w:rsid w:val="00720007"/>
    <w:rsid w:val="0072067B"/>
    <w:rsid w:val="00720C21"/>
    <w:rsid w:val="00720C22"/>
    <w:rsid w:val="00720F64"/>
    <w:rsid w:val="00720FAD"/>
    <w:rsid w:val="00721EFD"/>
    <w:rsid w:val="00722454"/>
    <w:rsid w:val="00722491"/>
    <w:rsid w:val="007224C7"/>
    <w:rsid w:val="007226E7"/>
    <w:rsid w:val="00722718"/>
    <w:rsid w:val="007227AE"/>
    <w:rsid w:val="00722E95"/>
    <w:rsid w:val="007231DB"/>
    <w:rsid w:val="00723875"/>
    <w:rsid w:val="0072398D"/>
    <w:rsid w:val="00723ED4"/>
    <w:rsid w:val="0072439C"/>
    <w:rsid w:val="00724A58"/>
    <w:rsid w:val="00724F82"/>
    <w:rsid w:val="007250B1"/>
    <w:rsid w:val="007250F5"/>
    <w:rsid w:val="0072543A"/>
    <w:rsid w:val="007256A1"/>
    <w:rsid w:val="00725A54"/>
    <w:rsid w:val="00725EE0"/>
    <w:rsid w:val="00726BD7"/>
    <w:rsid w:val="00726C9A"/>
    <w:rsid w:val="00726EB2"/>
    <w:rsid w:val="00726F08"/>
    <w:rsid w:val="00727823"/>
    <w:rsid w:val="0072787C"/>
    <w:rsid w:val="007279FC"/>
    <w:rsid w:val="00727BFE"/>
    <w:rsid w:val="00727DC1"/>
    <w:rsid w:val="00730090"/>
    <w:rsid w:val="007300FD"/>
    <w:rsid w:val="00730347"/>
    <w:rsid w:val="00731953"/>
    <w:rsid w:val="0073197D"/>
    <w:rsid w:val="00731B33"/>
    <w:rsid w:val="00731B9D"/>
    <w:rsid w:val="00732618"/>
    <w:rsid w:val="007327C2"/>
    <w:rsid w:val="00732E40"/>
    <w:rsid w:val="00732EEE"/>
    <w:rsid w:val="00732FCF"/>
    <w:rsid w:val="0073307B"/>
    <w:rsid w:val="00733153"/>
    <w:rsid w:val="0073325E"/>
    <w:rsid w:val="0073330C"/>
    <w:rsid w:val="00733743"/>
    <w:rsid w:val="00733D98"/>
    <w:rsid w:val="0073436A"/>
    <w:rsid w:val="00734373"/>
    <w:rsid w:val="00734A3C"/>
    <w:rsid w:val="007353DD"/>
    <w:rsid w:val="007354DA"/>
    <w:rsid w:val="00735B26"/>
    <w:rsid w:val="0073639F"/>
    <w:rsid w:val="007364B8"/>
    <w:rsid w:val="007367A4"/>
    <w:rsid w:val="00736B69"/>
    <w:rsid w:val="00736C1B"/>
    <w:rsid w:val="007372CB"/>
    <w:rsid w:val="007374D5"/>
    <w:rsid w:val="00737527"/>
    <w:rsid w:val="00737681"/>
    <w:rsid w:val="00737795"/>
    <w:rsid w:val="007377B3"/>
    <w:rsid w:val="007401F5"/>
    <w:rsid w:val="00740856"/>
    <w:rsid w:val="00740946"/>
    <w:rsid w:val="00740D58"/>
    <w:rsid w:val="00740DAA"/>
    <w:rsid w:val="00740DE5"/>
    <w:rsid w:val="00741187"/>
    <w:rsid w:val="007411D8"/>
    <w:rsid w:val="00741447"/>
    <w:rsid w:val="00741980"/>
    <w:rsid w:val="00742D6A"/>
    <w:rsid w:val="007433E5"/>
    <w:rsid w:val="0074388E"/>
    <w:rsid w:val="007444FF"/>
    <w:rsid w:val="00744780"/>
    <w:rsid w:val="00744961"/>
    <w:rsid w:val="00744AF5"/>
    <w:rsid w:val="00744B92"/>
    <w:rsid w:val="00745318"/>
    <w:rsid w:val="00745431"/>
    <w:rsid w:val="00745471"/>
    <w:rsid w:val="00745789"/>
    <w:rsid w:val="0074592D"/>
    <w:rsid w:val="007459D1"/>
    <w:rsid w:val="00745BAE"/>
    <w:rsid w:val="0074605E"/>
    <w:rsid w:val="00746514"/>
    <w:rsid w:val="00747196"/>
    <w:rsid w:val="007476F1"/>
    <w:rsid w:val="00747863"/>
    <w:rsid w:val="00747D6C"/>
    <w:rsid w:val="00747DAB"/>
    <w:rsid w:val="00747EF8"/>
    <w:rsid w:val="00750015"/>
    <w:rsid w:val="007506A0"/>
    <w:rsid w:val="0075083C"/>
    <w:rsid w:val="00750B69"/>
    <w:rsid w:val="00750FDE"/>
    <w:rsid w:val="00751153"/>
    <w:rsid w:val="007511CD"/>
    <w:rsid w:val="00751507"/>
    <w:rsid w:val="007515D6"/>
    <w:rsid w:val="00751802"/>
    <w:rsid w:val="00751A93"/>
    <w:rsid w:val="0075256F"/>
    <w:rsid w:val="0075278B"/>
    <w:rsid w:val="00752E49"/>
    <w:rsid w:val="00753F21"/>
    <w:rsid w:val="00753F6C"/>
    <w:rsid w:val="00754041"/>
    <w:rsid w:val="00754302"/>
    <w:rsid w:val="00754447"/>
    <w:rsid w:val="00754F8E"/>
    <w:rsid w:val="00755198"/>
    <w:rsid w:val="00755208"/>
    <w:rsid w:val="007555B6"/>
    <w:rsid w:val="007563F8"/>
    <w:rsid w:val="00756CD3"/>
    <w:rsid w:val="00756EE1"/>
    <w:rsid w:val="00756F84"/>
    <w:rsid w:val="007570AE"/>
    <w:rsid w:val="007574BE"/>
    <w:rsid w:val="00757951"/>
    <w:rsid w:val="00757B57"/>
    <w:rsid w:val="007603E8"/>
    <w:rsid w:val="007605DB"/>
    <w:rsid w:val="007608F0"/>
    <w:rsid w:val="00760C0B"/>
    <w:rsid w:val="00760F28"/>
    <w:rsid w:val="007615C7"/>
    <w:rsid w:val="00761AED"/>
    <w:rsid w:val="00761B15"/>
    <w:rsid w:val="00761CE5"/>
    <w:rsid w:val="00761D8E"/>
    <w:rsid w:val="00761F0F"/>
    <w:rsid w:val="00761F1B"/>
    <w:rsid w:val="007624C6"/>
    <w:rsid w:val="007625E9"/>
    <w:rsid w:val="00762900"/>
    <w:rsid w:val="00762E3A"/>
    <w:rsid w:val="007632C3"/>
    <w:rsid w:val="007646A9"/>
    <w:rsid w:val="00764860"/>
    <w:rsid w:val="007648BB"/>
    <w:rsid w:val="00764910"/>
    <w:rsid w:val="00764A09"/>
    <w:rsid w:val="00764CD3"/>
    <w:rsid w:val="00764D60"/>
    <w:rsid w:val="00764E3B"/>
    <w:rsid w:val="00764E93"/>
    <w:rsid w:val="00764EBA"/>
    <w:rsid w:val="00765054"/>
    <w:rsid w:val="00765059"/>
    <w:rsid w:val="007655DA"/>
    <w:rsid w:val="00765A78"/>
    <w:rsid w:val="00766002"/>
    <w:rsid w:val="0076602C"/>
    <w:rsid w:val="00766053"/>
    <w:rsid w:val="00766431"/>
    <w:rsid w:val="00766542"/>
    <w:rsid w:val="007667E1"/>
    <w:rsid w:val="00766975"/>
    <w:rsid w:val="00767131"/>
    <w:rsid w:val="007673C3"/>
    <w:rsid w:val="00767431"/>
    <w:rsid w:val="0076753F"/>
    <w:rsid w:val="007675E6"/>
    <w:rsid w:val="00767792"/>
    <w:rsid w:val="00767A0D"/>
    <w:rsid w:val="00767AD2"/>
    <w:rsid w:val="00767D7B"/>
    <w:rsid w:val="00770396"/>
    <w:rsid w:val="0077048E"/>
    <w:rsid w:val="00771349"/>
    <w:rsid w:val="00771D26"/>
    <w:rsid w:val="00771F2C"/>
    <w:rsid w:val="00771FCF"/>
    <w:rsid w:val="0077206B"/>
    <w:rsid w:val="00772867"/>
    <w:rsid w:val="00772A06"/>
    <w:rsid w:val="007733F0"/>
    <w:rsid w:val="0077365B"/>
    <w:rsid w:val="007736BC"/>
    <w:rsid w:val="00773A47"/>
    <w:rsid w:val="00773AC4"/>
    <w:rsid w:val="00773E9E"/>
    <w:rsid w:val="007740E8"/>
    <w:rsid w:val="007742FC"/>
    <w:rsid w:val="0077451E"/>
    <w:rsid w:val="0077470F"/>
    <w:rsid w:val="00774827"/>
    <w:rsid w:val="0077483C"/>
    <w:rsid w:val="00774C59"/>
    <w:rsid w:val="00774D89"/>
    <w:rsid w:val="0077552F"/>
    <w:rsid w:val="00775611"/>
    <w:rsid w:val="00775934"/>
    <w:rsid w:val="00775949"/>
    <w:rsid w:val="00775B63"/>
    <w:rsid w:val="00775C7F"/>
    <w:rsid w:val="00776898"/>
    <w:rsid w:val="007769C8"/>
    <w:rsid w:val="00776BCB"/>
    <w:rsid w:val="00776E04"/>
    <w:rsid w:val="00776EE2"/>
    <w:rsid w:val="007770CB"/>
    <w:rsid w:val="0077748B"/>
    <w:rsid w:val="007774F1"/>
    <w:rsid w:val="007775B3"/>
    <w:rsid w:val="007775CD"/>
    <w:rsid w:val="007777E1"/>
    <w:rsid w:val="00777952"/>
    <w:rsid w:val="00777976"/>
    <w:rsid w:val="00777A2F"/>
    <w:rsid w:val="00777B90"/>
    <w:rsid w:val="00777EC7"/>
    <w:rsid w:val="00777FF7"/>
    <w:rsid w:val="0078003D"/>
    <w:rsid w:val="00780346"/>
    <w:rsid w:val="007807D1"/>
    <w:rsid w:val="00780B6E"/>
    <w:rsid w:val="00780FFF"/>
    <w:rsid w:val="00781B79"/>
    <w:rsid w:val="00781D84"/>
    <w:rsid w:val="00782F70"/>
    <w:rsid w:val="007834FD"/>
    <w:rsid w:val="0078366E"/>
    <w:rsid w:val="00783C7C"/>
    <w:rsid w:val="00784484"/>
    <w:rsid w:val="007845ED"/>
    <w:rsid w:val="00784C51"/>
    <w:rsid w:val="007857D9"/>
    <w:rsid w:val="00785A71"/>
    <w:rsid w:val="00785DF6"/>
    <w:rsid w:val="00785E53"/>
    <w:rsid w:val="00786577"/>
    <w:rsid w:val="007865F5"/>
    <w:rsid w:val="00786B3A"/>
    <w:rsid w:val="00786BBC"/>
    <w:rsid w:val="0078732C"/>
    <w:rsid w:val="00787632"/>
    <w:rsid w:val="0078764A"/>
    <w:rsid w:val="00787707"/>
    <w:rsid w:val="007879C2"/>
    <w:rsid w:val="00787A0B"/>
    <w:rsid w:val="00787B55"/>
    <w:rsid w:val="00787D7A"/>
    <w:rsid w:val="0079005E"/>
    <w:rsid w:val="00790A29"/>
    <w:rsid w:val="00790CA1"/>
    <w:rsid w:val="00790D95"/>
    <w:rsid w:val="00790F5D"/>
    <w:rsid w:val="007912B8"/>
    <w:rsid w:val="00791470"/>
    <w:rsid w:val="0079182F"/>
    <w:rsid w:val="00791996"/>
    <w:rsid w:val="00791D83"/>
    <w:rsid w:val="00792651"/>
    <w:rsid w:val="00792788"/>
    <w:rsid w:val="00792C00"/>
    <w:rsid w:val="00792D68"/>
    <w:rsid w:val="00793A68"/>
    <w:rsid w:val="00794699"/>
    <w:rsid w:val="0079477F"/>
    <w:rsid w:val="007947C0"/>
    <w:rsid w:val="007947CF"/>
    <w:rsid w:val="00794B66"/>
    <w:rsid w:val="00794C4B"/>
    <w:rsid w:val="00794F2E"/>
    <w:rsid w:val="00795611"/>
    <w:rsid w:val="007958EA"/>
    <w:rsid w:val="00795BE2"/>
    <w:rsid w:val="00795C7A"/>
    <w:rsid w:val="00795FFE"/>
    <w:rsid w:val="007962C1"/>
    <w:rsid w:val="00796788"/>
    <w:rsid w:val="00796A1C"/>
    <w:rsid w:val="00796DEF"/>
    <w:rsid w:val="00796FBC"/>
    <w:rsid w:val="007971C6"/>
    <w:rsid w:val="007973A5"/>
    <w:rsid w:val="00797CD5"/>
    <w:rsid w:val="007A0488"/>
    <w:rsid w:val="007A07F3"/>
    <w:rsid w:val="007A11C8"/>
    <w:rsid w:val="007A19D2"/>
    <w:rsid w:val="007A222D"/>
    <w:rsid w:val="007A25EE"/>
    <w:rsid w:val="007A2B2A"/>
    <w:rsid w:val="007A2B5B"/>
    <w:rsid w:val="007A2CCB"/>
    <w:rsid w:val="007A3278"/>
    <w:rsid w:val="007A33B2"/>
    <w:rsid w:val="007A3479"/>
    <w:rsid w:val="007A382C"/>
    <w:rsid w:val="007A3B20"/>
    <w:rsid w:val="007A3C4E"/>
    <w:rsid w:val="007A3D02"/>
    <w:rsid w:val="007A4298"/>
    <w:rsid w:val="007A4718"/>
    <w:rsid w:val="007A4D41"/>
    <w:rsid w:val="007A4FEC"/>
    <w:rsid w:val="007A51F9"/>
    <w:rsid w:val="007A54F9"/>
    <w:rsid w:val="007A5506"/>
    <w:rsid w:val="007A5B6B"/>
    <w:rsid w:val="007A5CA9"/>
    <w:rsid w:val="007A5EA5"/>
    <w:rsid w:val="007A6275"/>
    <w:rsid w:val="007A6C57"/>
    <w:rsid w:val="007A740B"/>
    <w:rsid w:val="007A7415"/>
    <w:rsid w:val="007A7884"/>
    <w:rsid w:val="007A7FD1"/>
    <w:rsid w:val="007B0060"/>
    <w:rsid w:val="007B01F7"/>
    <w:rsid w:val="007B0230"/>
    <w:rsid w:val="007B059B"/>
    <w:rsid w:val="007B08B1"/>
    <w:rsid w:val="007B0B08"/>
    <w:rsid w:val="007B0EB2"/>
    <w:rsid w:val="007B155F"/>
    <w:rsid w:val="007B1902"/>
    <w:rsid w:val="007B1F69"/>
    <w:rsid w:val="007B2108"/>
    <w:rsid w:val="007B2370"/>
    <w:rsid w:val="007B2532"/>
    <w:rsid w:val="007B2656"/>
    <w:rsid w:val="007B279B"/>
    <w:rsid w:val="007B2D00"/>
    <w:rsid w:val="007B2DE1"/>
    <w:rsid w:val="007B2F45"/>
    <w:rsid w:val="007B3264"/>
    <w:rsid w:val="007B3B39"/>
    <w:rsid w:val="007B3F23"/>
    <w:rsid w:val="007B4454"/>
    <w:rsid w:val="007B4609"/>
    <w:rsid w:val="007B47F1"/>
    <w:rsid w:val="007B48F3"/>
    <w:rsid w:val="007B4E94"/>
    <w:rsid w:val="007B5BAF"/>
    <w:rsid w:val="007B612C"/>
    <w:rsid w:val="007B624B"/>
    <w:rsid w:val="007B66D7"/>
    <w:rsid w:val="007B6A59"/>
    <w:rsid w:val="007B72C2"/>
    <w:rsid w:val="007B7621"/>
    <w:rsid w:val="007B79C7"/>
    <w:rsid w:val="007B7D9F"/>
    <w:rsid w:val="007B7FE9"/>
    <w:rsid w:val="007C062B"/>
    <w:rsid w:val="007C088A"/>
    <w:rsid w:val="007C0A82"/>
    <w:rsid w:val="007C0F42"/>
    <w:rsid w:val="007C10A7"/>
    <w:rsid w:val="007C1373"/>
    <w:rsid w:val="007C153E"/>
    <w:rsid w:val="007C18E0"/>
    <w:rsid w:val="007C19D1"/>
    <w:rsid w:val="007C1D93"/>
    <w:rsid w:val="007C268B"/>
    <w:rsid w:val="007C26B2"/>
    <w:rsid w:val="007C2D41"/>
    <w:rsid w:val="007C2E48"/>
    <w:rsid w:val="007C2F8E"/>
    <w:rsid w:val="007C31DC"/>
    <w:rsid w:val="007C3D7A"/>
    <w:rsid w:val="007C3D8C"/>
    <w:rsid w:val="007C3F35"/>
    <w:rsid w:val="007C4545"/>
    <w:rsid w:val="007C475F"/>
    <w:rsid w:val="007C512D"/>
    <w:rsid w:val="007C54EA"/>
    <w:rsid w:val="007C551E"/>
    <w:rsid w:val="007C55BA"/>
    <w:rsid w:val="007C5A21"/>
    <w:rsid w:val="007C5D8C"/>
    <w:rsid w:val="007C5ED8"/>
    <w:rsid w:val="007C619B"/>
    <w:rsid w:val="007C62D8"/>
    <w:rsid w:val="007C64BC"/>
    <w:rsid w:val="007C65E0"/>
    <w:rsid w:val="007C681D"/>
    <w:rsid w:val="007C6BBF"/>
    <w:rsid w:val="007C6C80"/>
    <w:rsid w:val="007C748A"/>
    <w:rsid w:val="007C77BA"/>
    <w:rsid w:val="007C7E43"/>
    <w:rsid w:val="007D051F"/>
    <w:rsid w:val="007D0816"/>
    <w:rsid w:val="007D1085"/>
    <w:rsid w:val="007D1227"/>
    <w:rsid w:val="007D16D8"/>
    <w:rsid w:val="007D1822"/>
    <w:rsid w:val="007D21DB"/>
    <w:rsid w:val="007D2928"/>
    <w:rsid w:val="007D2971"/>
    <w:rsid w:val="007D2A4A"/>
    <w:rsid w:val="007D2B35"/>
    <w:rsid w:val="007D2BE6"/>
    <w:rsid w:val="007D2F57"/>
    <w:rsid w:val="007D3662"/>
    <w:rsid w:val="007D3779"/>
    <w:rsid w:val="007D38AF"/>
    <w:rsid w:val="007D417C"/>
    <w:rsid w:val="007D418C"/>
    <w:rsid w:val="007D4C27"/>
    <w:rsid w:val="007D521C"/>
    <w:rsid w:val="007D5996"/>
    <w:rsid w:val="007D5AB4"/>
    <w:rsid w:val="007D5DF2"/>
    <w:rsid w:val="007D612A"/>
    <w:rsid w:val="007D6176"/>
    <w:rsid w:val="007D6645"/>
    <w:rsid w:val="007D6BE8"/>
    <w:rsid w:val="007D6C5E"/>
    <w:rsid w:val="007D6C5F"/>
    <w:rsid w:val="007D6CCD"/>
    <w:rsid w:val="007D6E3F"/>
    <w:rsid w:val="007D7577"/>
    <w:rsid w:val="007D769F"/>
    <w:rsid w:val="007D78DD"/>
    <w:rsid w:val="007D7BAC"/>
    <w:rsid w:val="007E042A"/>
    <w:rsid w:val="007E04DD"/>
    <w:rsid w:val="007E080A"/>
    <w:rsid w:val="007E0ACF"/>
    <w:rsid w:val="007E0C6A"/>
    <w:rsid w:val="007E0D10"/>
    <w:rsid w:val="007E1E6D"/>
    <w:rsid w:val="007E2320"/>
    <w:rsid w:val="007E2681"/>
    <w:rsid w:val="007E28C0"/>
    <w:rsid w:val="007E2C0B"/>
    <w:rsid w:val="007E2C2A"/>
    <w:rsid w:val="007E2C93"/>
    <w:rsid w:val="007E32BA"/>
    <w:rsid w:val="007E3532"/>
    <w:rsid w:val="007E37FE"/>
    <w:rsid w:val="007E38CB"/>
    <w:rsid w:val="007E3DAC"/>
    <w:rsid w:val="007E467D"/>
    <w:rsid w:val="007E499B"/>
    <w:rsid w:val="007E4AD9"/>
    <w:rsid w:val="007E4BA0"/>
    <w:rsid w:val="007E5179"/>
    <w:rsid w:val="007E52FB"/>
    <w:rsid w:val="007E57BF"/>
    <w:rsid w:val="007E5C7A"/>
    <w:rsid w:val="007E5D33"/>
    <w:rsid w:val="007E60ED"/>
    <w:rsid w:val="007E611E"/>
    <w:rsid w:val="007E6355"/>
    <w:rsid w:val="007E69E5"/>
    <w:rsid w:val="007E6AD9"/>
    <w:rsid w:val="007E7439"/>
    <w:rsid w:val="007E767E"/>
    <w:rsid w:val="007E771B"/>
    <w:rsid w:val="007E7885"/>
    <w:rsid w:val="007E7A28"/>
    <w:rsid w:val="007E7EC1"/>
    <w:rsid w:val="007E7F6D"/>
    <w:rsid w:val="007F019A"/>
    <w:rsid w:val="007F04C0"/>
    <w:rsid w:val="007F0A11"/>
    <w:rsid w:val="007F15D4"/>
    <w:rsid w:val="007F1EE6"/>
    <w:rsid w:val="007F1FB7"/>
    <w:rsid w:val="007F20DE"/>
    <w:rsid w:val="007F20E1"/>
    <w:rsid w:val="007F2452"/>
    <w:rsid w:val="007F2B17"/>
    <w:rsid w:val="007F2B46"/>
    <w:rsid w:val="007F2DDC"/>
    <w:rsid w:val="007F2E06"/>
    <w:rsid w:val="007F2F9A"/>
    <w:rsid w:val="007F3409"/>
    <w:rsid w:val="007F35E8"/>
    <w:rsid w:val="007F3980"/>
    <w:rsid w:val="007F3FB6"/>
    <w:rsid w:val="007F4117"/>
    <w:rsid w:val="007F44AE"/>
    <w:rsid w:val="007F466F"/>
    <w:rsid w:val="007F4915"/>
    <w:rsid w:val="007F4CB6"/>
    <w:rsid w:val="007F4FA9"/>
    <w:rsid w:val="007F510B"/>
    <w:rsid w:val="007F52D0"/>
    <w:rsid w:val="007F57D0"/>
    <w:rsid w:val="007F5A70"/>
    <w:rsid w:val="007F5CFC"/>
    <w:rsid w:val="007F5F59"/>
    <w:rsid w:val="007F6175"/>
    <w:rsid w:val="007F65AC"/>
    <w:rsid w:val="007F6E1D"/>
    <w:rsid w:val="007F7608"/>
    <w:rsid w:val="007F7620"/>
    <w:rsid w:val="007F7EA0"/>
    <w:rsid w:val="0080028D"/>
    <w:rsid w:val="0080049A"/>
    <w:rsid w:val="00800B21"/>
    <w:rsid w:val="00800BBD"/>
    <w:rsid w:val="00800C6E"/>
    <w:rsid w:val="00800E88"/>
    <w:rsid w:val="00801621"/>
    <w:rsid w:val="0080170B"/>
    <w:rsid w:val="00801B5A"/>
    <w:rsid w:val="00801E23"/>
    <w:rsid w:val="00801EFF"/>
    <w:rsid w:val="008023AC"/>
    <w:rsid w:val="00803274"/>
    <w:rsid w:val="008037A6"/>
    <w:rsid w:val="00803832"/>
    <w:rsid w:val="00803A29"/>
    <w:rsid w:val="00803AF9"/>
    <w:rsid w:val="00803C2D"/>
    <w:rsid w:val="00803E68"/>
    <w:rsid w:val="00804070"/>
    <w:rsid w:val="0080408C"/>
    <w:rsid w:val="0080469E"/>
    <w:rsid w:val="008046E5"/>
    <w:rsid w:val="0080487C"/>
    <w:rsid w:val="00804BB1"/>
    <w:rsid w:val="00804DF6"/>
    <w:rsid w:val="0080503D"/>
    <w:rsid w:val="00805678"/>
    <w:rsid w:val="0080567E"/>
    <w:rsid w:val="00805945"/>
    <w:rsid w:val="00805FD2"/>
    <w:rsid w:val="0080600A"/>
    <w:rsid w:val="00806091"/>
    <w:rsid w:val="0080677B"/>
    <w:rsid w:val="00806788"/>
    <w:rsid w:val="008068D3"/>
    <w:rsid w:val="00806C42"/>
    <w:rsid w:val="00806C9A"/>
    <w:rsid w:val="00806D8C"/>
    <w:rsid w:val="00806D9F"/>
    <w:rsid w:val="008070F9"/>
    <w:rsid w:val="00807160"/>
    <w:rsid w:val="00807851"/>
    <w:rsid w:val="008078B4"/>
    <w:rsid w:val="00807D48"/>
    <w:rsid w:val="0081025F"/>
    <w:rsid w:val="00810A0F"/>
    <w:rsid w:val="00810A8A"/>
    <w:rsid w:val="00811061"/>
    <w:rsid w:val="00811A5B"/>
    <w:rsid w:val="00811D9C"/>
    <w:rsid w:val="00811EA6"/>
    <w:rsid w:val="00811EE8"/>
    <w:rsid w:val="008124CA"/>
    <w:rsid w:val="00812B6F"/>
    <w:rsid w:val="00812C14"/>
    <w:rsid w:val="00812C75"/>
    <w:rsid w:val="008136FA"/>
    <w:rsid w:val="00813CD4"/>
    <w:rsid w:val="00813E17"/>
    <w:rsid w:val="008144D4"/>
    <w:rsid w:val="008146AD"/>
    <w:rsid w:val="00814735"/>
    <w:rsid w:val="00815184"/>
    <w:rsid w:val="008154AF"/>
    <w:rsid w:val="008154BB"/>
    <w:rsid w:val="00815705"/>
    <w:rsid w:val="008157A5"/>
    <w:rsid w:val="008158CB"/>
    <w:rsid w:val="00815923"/>
    <w:rsid w:val="008159FE"/>
    <w:rsid w:val="00815B50"/>
    <w:rsid w:val="00815E12"/>
    <w:rsid w:val="0081625F"/>
    <w:rsid w:val="00816322"/>
    <w:rsid w:val="00816798"/>
    <w:rsid w:val="00816A27"/>
    <w:rsid w:val="00816C1E"/>
    <w:rsid w:val="00817235"/>
    <w:rsid w:val="00817293"/>
    <w:rsid w:val="008172F8"/>
    <w:rsid w:val="00817F1A"/>
    <w:rsid w:val="008207C8"/>
    <w:rsid w:val="0082087F"/>
    <w:rsid w:val="00820EEC"/>
    <w:rsid w:val="00820FD3"/>
    <w:rsid w:val="00821375"/>
    <w:rsid w:val="008213B3"/>
    <w:rsid w:val="0082141E"/>
    <w:rsid w:val="0082150C"/>
    <w:rsid w:val="008215F6"/>
    <w:rsid w:val="00821AF6"/>
    <w:rsid w:val="00821C43"/>
    <w:rsid w:val="00821F4F"/>
    <w:rsid w:val="0082258D"/>
    <w:rsid w:val="008225E7"/>
    <w:rsid w:val="00822977"/>
    <w:rsid w:val="00822F2D"/>
    <w:rsid w:val="0082346A"/>
    <w:rsid w:val="00823863"/>
    <w:rsid w:val="008239AE"/>
    <w:rsid w:val="00823B5F"/>
    <w:rsid w:val="00823F8D"/>
    <w:rsid w:val="00824076"/>
    <w:rsid w:val="008240ED"/>
    <w:rsid w:val="00824ACF"/>
    <w:rsid w:val="008250D2"/>
    <w:rsid w:val="008263C6"/>
    <w:rsid w:val="008263D6"/>
    <w:rsid w:val="00826469"/>
    <w:rsid w:val="008264AE"/>
    <w:rsid w:val="00826809"/>
    <w:rsid w:val="00826819"/>
    <w:rsid w:val="00826E8F"/>
    <w:rsid w:val="00827189"/>
    <w:rsid w:val="00827299"/>
    <w:rsid w:val="008272EA"/>
    <w:rsid w:val="00827589"/>
    <w:rsid w:val="008275A9"/>
    <w:rsid w:val="008275EF"/>
    <w:rsid w:val="008300EC"/>
    <w:rsid w:val="00830161"/>
    <w:rsid w:val="008303EF"/>
    <w:rsid w:val="0083067C"/>
    <w:rsid w:val="0083077D"/>
    <w:rsid w:val="00830915"/>
    <w:rsid w:val="00830A3F"/>
    <w:rsid w:val="00830CDA"/>
    <w:rsid w:val="00830D84"/>
    <w:rsid w:val="00830E0A"/>
    <w:rsid w:val="00830FA4"/>
    <w:rsid w:val="00831341"/>
    <w:rsid w:val="008319BA"/>
    <w:rsid w:val="00831A38"/>
    <w:rsid w:val="00831A6D"/>
    <w:rsid w:val="00831DAC"/>
    <w:rsid w:val="00831EB3"/>
    <w:rsid w:val="0083222E"/>
    <w:rsid w:val="0083228F"/>
    <w:rsid w:val="00832593"/>
    <w:rsid w:val="0083268D"/>
    <w:rsid w:val="00832730"/>
    <w:rsid w:val="008327B5"/>
    <w:rsid w:val="00832A95"/>
    <w:rsid w:val="00832BD9"/>
    <w:rsid w:val="00832CC4"/>
    <w:rsid w:val="00832EE1"/>
    <w:rsid w:val="00833095"/>
    <w:rsid w:val="0083322D"/>
    <w:rsid w:val="0083355C"/>
    <w:rsid w:val="00833AAB"/>
    <w:rsid w:val="008345A5"/>
    <w:rsid w:val="008348DF"/>
    <w:rsid w:val="00834E8B"/>
    <w:rsid w:val="00834FAB"/>
    <w:rsid w:val="00835504"/>
    <w:rsid w:val="0083568C"/>
    <w:rsid w:val="00835885"/>
    <w:rsid w:val="00835ED0"/>
    <w:rsid w:val="00835EEB"/>
    <w:rsid w:val="00836BE0"/>
    <w:rsid w:val="00837297"/>
    <w:rsid w:val="008375DF"/>
    <w:rsid w:val="008378D2"/>
    <w:rsid w:val="00837932"/>
    <w:rsid w:val="008406B3"/>
    <w:rsid w:val="00840840"/>
    <w:rsid w:val="00840922"/>
    <w:rsid w:val="00840A48"/>
    <w:rsid w:val="00840EC5"/>
    <w:rsid w:val="008413BA"/>
    <w:rsid w:val="0084156E"/>
    <w:rsid w:val="0084173D"/>
    <w:rsid w:val="00841BEF"/>
    <w:rsid w:val="00841C0E"/>
    <w:rsid w:val="00841F1F"/>
    <w:rsid w:val="008421CF"/>
    <w:rsid w:val="00842218"/>
    <w:rsid w:val="008422E3"/>
    <w:rsid w:val="00842689"/>
    <w:rsid w:val="0084306B"/>
    <w:rsid w:val="0084355B"/>
    <w:rsid w:val="00843E67"/>
    <w:rsid w:val="00844566"/>
    <w:rsid w:val="008445FE"/>
    <w:rsid w:val="0084464F"/>
    <w:rsid w:val="008447AA"/>
    <w:rsid w:val="00844BC9"/>
    <w:rsid w:val="00844BF8"/>
    <w:rsid w:val="00844E18"/>
    <w:rsid w:val="008450F6"/>
    <w:rsid w:val="0084526B"/>
    <w:rsid w:val="008452B5"/>
    <w:rsid w:val="008464B9"/>
    <w:rsid w:val="008467BF"/>
    <w:rsid w:val="00846A22"/>
    <w:rsid w:val="008471CA"/>
    <w:rsid w:val="00847BE8"/>
    <w:rsid w:val="00847BF9"/>
    <w:rsid w:val="00850482"/>
    <w:rsid w:val="00851787"/>
    <w:rsid w:val="008519ED"/>
    <w:rsid w:val="00851B23"/>
    <w:rsid w:val="00851C3E"/>
    <w:rsid w:val="00851D40"/>
    <w:rsid w:val="008522D0"/>
    <w:rsid w:val="0085239E"/>
    <w:rsid w:val="00852957"/>
    <w:rsid w:val="00852963"/>
    <w:rsid w:val="00852E1D"/>
    <w:rsid w:val="00853281"/>
    <w:rsid w:val="0085351F"/>
    <w:rsid w:val="00853747"/>
    <w:rsid w:val="008537F4"/>
    <w:rsid w:val="00853847"/>
    <w:rsid w:val="008545E2"/>
    <w:rsid w:val="00854C8D"/>
    <w:rsid w:val="00856160"/>
    <w:rsid w:val="0085731E"/>
    <w:rsid w:val="008573E1"/>
    <w:rsid w:val="008577BA"/>
    <w:rsid w:val="00857DB8"/>
    <w:rsid w:val="00857F98"/>
    <w:rsid w:val="008609D1"/>
    <w:rsid w:val="00860C43"/>
    <w:rsid w:val="00860C9E"/>
    <w:rsid w:val="00860E0E"/>
    <w:rsid w:val="0086120C"/>
    <w:rsid w:val="00861237"/>
    <w:rsid w:val="00861826"/>
    <w:rsid w:val="008618FD"/>
    <w:rsid w:val="00861991"/>
    <w:rsid w:val="00861F3A"/>
    <w:rsid w:val="0086290B"/>
    <w:rsid w:val="00862AE1"/>
    <w:rsid w:val="00863141"/>
    <w:rsid w:val="0086325E"/>
    <w:rsid w:val="008633BA"/>
    <w:rsid w:val="00863595"/>
    <w:rsid w:val="0086384D"/>
    <w:rsid w:val="0086423A"/>
    <w:rsid w:val="008645E0"/>
    <w:rsid w:val="008646BA"/>
    <w:rsid w:val="00864AAE"/>
    <w:rsid w:val="00864B7A"/>
    <w:rsid w:val="00864DDB"/>
    <w:rsid w:val="0086539F"/>
    <w:rsid w:val="00865852"/>
    <w:rsid w:val="00866129"/>
    <w:rsid w:val="008663EB"/>
    <w:rsid w:val="0086654B"/>
    <w:rsid w:val="00866A5B"/>
    <w:rsid w:val="00867009"/>
    <w:rsid w:val="00867B79"/>
    <w:rsid w:val="00870151"/>
    <w:rsid w:val="0087023C"/>
    <w:rsid w:val="008703C6"/>
    <w:rsid w:val="008705A3"/>
    <w:rsid w:val="008709EF"/>
    <w:rsid w:val="00870B1D"/>
    <w:rsid w:val="00870D91"/>
    <w:rsid w:val="00870E98"/>
    <w:rsid w:val="008715FE"/>
    <w:rsid w:val="0087172C"/>
    <w:rsid w:val="00871911"/>
    <w:rsid w:val="00872B7D"/>
    <w:rsid w:val="00872C97"/>
    <w:rsid w:val="00872DA8"/>
    <w:rsid w:val="00873383"/>
    <w:rsid w:val="00873583"/>
    <w:rsid w:val="00873715"/>
    <w:rsid w:val="00873734"/>
    <w:rsid w:val="00873D94"/>
    <w:rsid w:val="0087420E"/>
    <w:rsid w:val="0087459C"/>
    <w:rsid w:val="00874721"/>
    <w:rsid w:val="0087480B"/>
    <w:rsid w:val="00874E0B"/>
    <w:rsid w:val="00875C70"/>
    <w:rsid w:val="00876135"/>
    <w:rsid w:val="008762EA"/>
    <w:rsid w:val="008763AF"/>
    <w:rsid w:val="00876C15"/>
    <w:rsid w:val="00876C59"/>
    <w:rsid w:val="00877202"/>
    <w:rsid w:val="0087791B"/>
    <w:rsid w:val="00877E65"/>
    <w:rsid w:val="00877EB2"/>
    <w:rsid w:val="008800FE"/>
    <w:rsid w:val="00881040"/>
    <w:rsid w:val="0088124F"/>
    <w:rsid w:val="008813AC"/>
    <w:rsid w:val="00881D39"/>
    <w:rsid w:val="00881ED8"/>
    <w:rsid w:val="008821D1"/>
    <w:rsid w:val="008828D3"/>
    <w:rsid w:val="00882976"/>
    <w:rsid w:val="00884CBF"/>
    <w:rsid w:val="00885167"/>
    <w:rsid w:val="008854A4"/>
    <w:rsid w:val="00885E90"/>
    <w:rsid w:val="00886231"/>
    <w:rsid w:val="008862F9"/>
    <w:rsid w:val="00886626"/>
    <w:rsid w:val="0088685A"/>
    <w:rsid w:val="00886918"/>
    <w:rsid w:val="00886B0F"/>
    <w:rsid w:val="00886E6E"/>
    <w:rsid w:val="0088710D"/>
    <w:rsid w:val="0088724F"/>
    <w:rsid w:val="008875A1"/>
    <w:rsid w:val="0088790D"/>
    <w:rsid w:val="00887A78"/>
    <w:rsid w:val="00887B90"/>
    <w:rsid w:val="00890479"/>
    <w:rsid w:val="00890494"/>
    <w:rsid w:val="00890814"/>
    <w:rsid w:val="00890919"/>
    <w:rsid w:val="00890B3C"/>
    <w:rsid w:val="00890B40"/>
    <w:rsid w:val="00890C23"/>
    <w:rsid w:val="00890D2E"/>
    <w:rsid w:val="00890D4E"/>
    <w:rsid w:val="00890D7B"/>
    <w:rsid w:val="00890DAE"/>
    <w:rsid w:val="00890EA3"/>
    <w:rsid w:val="00890EF4"/>
    <w:rsid w:val="0089110E"/>
    <w:rsid w:val="00891319"/>
    <w:rsid w:val="00891B67"/>
    <w:rsid w:val="00891D15"/>
    <w:rsid w:val="00891F47"/>
    <w:rsid w:val="00892848"/>
    <w:rsid w:val="00892DAA"/>
    <w:rsid w:val="008931F2"/>
    <w:rsid w:val="008943A9"/>
    <w:rsid w:val="008946F8"/>
    <w:rsid w:val="00894AFC"/>
    <w:rsid w:val="00894F51"/>
    <w:rsid w:val="0089563A"/>
    <w:rsid w:val="00895D45"/>
    <w:rsid w:val="0089629B"/>
    <w:rsid w:val="008962AC"/>
    <w:rsid w:val="008962E2"/>
    <w:rsid w:val="00896649"/>
    <w:rsid w:val="00896793"/>
    <w:rsid w:val="00896A9B"/>
    <w:rsid w:val="00896BE8"/>
    <w:rsid w:val="00896F1E"/>
    <w:rsid w:val="008972C0"/>
    <w:rsid w:val="00897522"/>
    <w:rsid w:val="00897A95"/>
    <w:rsid w:val="00897F9D"/>
    <w:rsid w:val="008A0B8F"/>
    <w:rsid w:val="008A0D94"/>
    <w:rsid w:val="008A1058"/>
    <w:rsid w:val="008A1282"/>
    <w:rsid w:val="008A1C58"/>
    <w:rsid w:val="008A1D27"/>
    <w:rsid w:val="008A203B"/>
    <w:rsid w:val="008A22B5"/>
    <w:rsid w:val="008A22BB"/>
    <w:rsid w:val="008A22D0"/>
    <w:rsid w:val="008A288E"/>
    <w:rsid w:val="008A296C"/>
    <w:rsid w:val="008A2A1B"/>
    <w:rsid w:val="008A2B4A"/>
    <w:rsid w:val="008A31CD"/>
    <w:rsid w:val="008A33D9"/>
    <w:rsid w:val="008A3ADB"/>
    <w:rsid w:val="008A3CAF"/>
    <w:rsid w:val="008A4017"/>
    <w:rsid w:val="008A408D"/>
    <w:rsid w:val="008A421D"/>
    <w:rsid w:val="008A494B"/>
    <w:rsid w:val="008A4E80"/>
    <w:rsid w:val="008A508E"/>
    <w:rsid w:val="008A510C"/>
    <w:rsid w:val="008A5B67"/>
    <w:rsid w:val="008A5FB9"/>
    <w:rsid w:val="008A64B9"/>
    <w:rsid w:val="008A67A9"/>
    <w:rsid w:val="008A67B4"/>
    <w:rsid w:val="008A6B75"/>
    <w:rsid w:val="008A6CBD"/>
    <w:rsid w:val="008A6CFB"/>
    <w:rsid w:val="008A6ED5"/>
    <w:rsid w:val="008B0557"/>
    <w:rsid w:val="008B065D"/>
    <w:rsid w:val="008B06E5"/>
    <w:rsid w:val="008B0844"/>
    <w:rsid w:val="008B0854"/>
    <w:rsid w:val="008B0AD0"/>
    <w:rsid w:val="008B1672"/>
    <w:rsid w:val="008B1906"/>
    <w:rsid w:val="008B197C"/>
    <w:rsid w:val="008B1F7E"/>
    <w:rsid w:val="008B1F8C"/>
    <w:rsid w:val="008B2C88"/>
    <w:rsid w:val="008B2CCF"/>
    <w:rsid w:val="008B3445"/>
    <w:rsid w:val="008B3BE2"/>
    <w:rsid w:val="008B4379"/>
    <w:rsid w:val="008B468F"/>
    <w:rsid w:val="008B49F3"/>
    <w:rsid w:val="008B4AEF"/>
    <w:rsid w:val="008B4EB4"/>
    <w:rsid w:val="008B53E6"/>
    <w:rsid w:val="008B5600"/>
    <w:rsid w:val="008B56CB"/>
    <w:rsid w:val="008B5733"/>
    <w:rsid w:val="008B582C"/>
    <w:rsid w:val="008B5AC6"/>
    <w:rsid w:val="008B5B32"/>
    <w:rsid w:val="008B6030"/>
    <w:rsid w:val="008B611C"/>
    <w:rsid w:val="008B6369"/>
    <w:rsid w:val="008B68F1"/>
    <w:rsid w:val="008B6B34"/>
    <w:rsid w:val="008B7493"/>
    <w:rsid w:val="008B7C98"/>
    <w:rsid w:val="008C018E"/>
    <w:rsid w:val="008C0502"/>
    <w:rsid w:val="008C056C"/>
    <w:rsid w:val="008C10F8"/>
    <w:rsid w:val="008C124E"/>
    <w:rsid w:val="008C13C9"/>
    <w:rsid w:val="008C14C5"/>
    <w:rsid w:val="008C15F6"/>
    <w:rsid w:val="008C18DA"/>
    <w:rsid w:val="008C2014"/>
    <w:rsid w:val="008C257D"/>
    <w:rsid w:val="008C278E"/>
    <w:rsid w:val="008C2837"/>
    <w:rsid w:val="008C295D"/>
    <w:rsid w:val="008C3100"/>
    <w:rsid w:val="008C3230"/>
    <w:rsid w:val="008C3271"/>
    <w:rsid w:val="008C37D3"/>
    <w:rsid w:val="008C3C99"/>
    <w:rsid w:val="008C444D"/>
    <w:rsid w:val="008C47E6"/>
    <w:rsid w:val="008C4911"/>
    <w:rsid w:val="008C51AF"/>
    <w:rsid w:val="008C52E4"/>
    <w:rsid w:val="008C58CF"/>
    <w:rsid w:val="008C59DA"/>
    <w:rsid w:val="008C611D"/>
    <w:rsid w:val="008C615F"/>
    <w:rsid w:val="008C6248"/>
    <w:rsid w:val="008C649F"/>
    <w:rsid w:val="008C683A"/>
    <w:rsid w:val="008C69BF"/>
    <w:rsid w:val="008C6C6A"/>
    <w:rsid w:val="008C6DDA"/>
    <w:rsid w:val="008C7090"/>
    <w:rsid w:val="008C763F"/>
    <w:rsid w:val="008C76B2"/>
    <w:rsid w:val="008C7B60"/>
    <w:rsid w:val="008C7DD1"/>
    <w:rsid w:val="008C7E7C"/>
    <w:rsid w:val="008C7F25"/>
    <w:rsid w:val="008C7F29"/>
    <w:rsid w:val="008C7F5B"/>
    <w:rsid w:val="008D03EE"/>
    <w:rsid w:val="008D0546"/>
    <w:rsid w:val="008D066C"/>
    <w:rsid w:val="008D0C2E"/>
    <w:rsid w:val="008D0D1D"/>
    <w:rsid w:val="008D0D25"/>
    <w:rsid w:val="008D0D3E"/>
    <w:rsid w:val="008D1452"/>
    <w:rsid w:val="008D167A"/>
    <w:rsid w:val="008D1833"/>
    <w:rsid w:val="008D1B2C"/>
    <w:rsid w:val="008D1B9C"/>
    <w:rsid w:val="008D1CBA"/>
    <w:rsid w:val="008D1ED5"/>
    <w:rsid w:val="008D2081"/>
    <w:rsid w:val="008D2207"/>
    <w:rsid w:val="008D26AD"/>
    <w:rsid w:val="008D27E0"/>
    <w:rsid w:val="008D2859"/>
    <w:rsid w:val="008D28DF"/>
    <w:rsid w:val="008D2B43"/>
    <w:rsid w:val="008D2EB1"/>
    <w:rsid w:val="008D3ABF"/>
    <w:rsid w:val="008D3DE5"/>
    <w:rsid w:val="008D3E69"/>
    <w:rsid w:val="008D4202"/>
    <w:rsid w:val="008D4812"/>
    <w:rsid w:val="008D4896"/>
    <w:rsid w:val="008D4F06"/>
    <w:rsid w:val="008D54E2"/>
    <w:rsid w:val="008D5913"/>
    <w:rsid w:val="008D5EFE"/>
    <w:rsid w:val="008D66E5"/>
    <w:rsid w:val="008D6A99"/>
    <w:rsid w:val="008D6B83"/>
    <w:rsid w:val="008D6D85"/>
    <w:rsid w:val="008D6EB8"/>
    <w:rsid w:val="008D6EFC"/>
    <w:rsid w:val="008D710C"/>
    <w:rsid w:val="008D773F"/>
    <w:rsid w:val="008D77D1"/>
    <w:rsid w:val="008D78F4"/>
    <w:rsid w:val="008D7906"/>
    <w:rsid w:val="008D7B92"/>
    <w:rsid w:val="008E04F3"/>
    <w:rsid w:val="008E07A2"/>
    <w:rsid w:val="008E0864"/>
    <w:rsid w:val="008E0AD2"/>
    <w:rsid w:val="008E0B47"/>
    <w:rsid w:val="008E0F62"/>
    <w:rsid w:val="008E0FE0"/>
    <w:rsid w:val="008E11F4"/>
    <w:rsid w:val="008E130B"/>
    <w:rsid w:val="008E167D"/>
    <w:rsid w:val="008E16EB"/>
    <w:rsid w:val="008E16EF"/>
    <w:rsid w:val="008E18FF"/>
    <w:rsid w:val="008E1C80"/>
    <w:rsid w:val="008E1C98"/>
    <w:rsid w:val="008E1D14"/>
    <w:rsid w:val="008E1E74"/>
    <w:rsid w:val="008E283D"/>
    <w:rsid w:val="008E2942"/>
    <w:rsid w:val="008E2AAE"/>
    <w:rsid w:val="008E2D36"/>
    <w:rsid w:val="008E30B2"/>
    <w:rsid w:val="008E317C"/>
    <w:rsid w:val="008E386F"/>
    <w:rsid w:val="008E3E58"/>
    <w:rsid w:val="008E4176"/>
    <w:rsid w:val="008E44A7"/>
    <w:rsid w:val="008E4753"/>
    <w:rsid w:val="008E55FD"/>
    <w:rsid w:val="008E569D"/>
    <w:rsid w:val="008E5CAC"/>
    <w:rsid w:val="008E5D12"/>
    <w:rsid w:val="008E5F36"/>
    <w:rsid w:val="008E65CF"/>
    <w:rsid w:val="008E6631"/>
    <w:rsid w:val="008E66B4"/>
    <w:rsid w:val="008E6735"/>
    <w:rsid w:val="008E6AA8"/>
    <w:rsid w:val="008E6B0B"/>
    <w:rsid w:val="008E6DD9"/>
    <w:rsid w:val="008E6EE2"/>
    <w:rsid w:val="008E6F01"/>
    <w:rsid w:val="008E701E"/>
    <w:rsid w:val="008E70A9"/>
    <w:rsid w:val="008E72CF"/>
    <w:rsid w:val="008E73D3"/>
    <w:rsid w:val="008E7672"/>
    <w:rsid w:val="008E7AA3"/>
    <w:rsid w:val="008E7DA6"/>
    <w:rsid w:val="008E7F01"/>
    <w:rsid w:val="008F00F1"/>
    <w:rsid w:val="008F0200"/>
    <w:rsid w:val="008F04F5"/>
    <w:rsid w:val="008F0777"/>
    <w:rsid w:val="008F0AF5"/>
    <w:rsid w:val="008F0C5C"/>
    <w:rsid w:val="008F166A"/>
    <w:rsid w:val="008F1AE1"/>
    <w:rsid w:val="008F214C"/>
    <w:rsid w:val="008F25B2"/>
    <w:rsid w:val="008F2FC7"/>
    <w:rsid w:val="008F2FD4"/>
    <w:rsid w:val="008F30B7"/>
    <w:rsid w:val="008F3564"/>
    <w:rsid w:val="008F3C2D"/>
    <w:rsid w:val="008F3CAB"/>
    <w:rsid w:val="008F3CDB"/>
    <w:rsid w:val="008F4002"/>
    <w:rsid w:val="008F406E"/>
    <w:rsid w:val="008F4493"/>
    <w:rsid w:val="008F4632"/>
    <w:rsid w:val="008F46F0"/>
    <w:rsid w:val="008F51C3"/>
    <w:rsid w:val="008F52FE"/>
    <w:rsid w:val="008F5482"/>
    <w:rsid w:val="008F5C8B"/>
    <w:rsid w:val="008F6475"/>
    <w:rsid w:val="008F64A5"/>
    <w:rsid w:val="008F6599"/>
    <w:rsid w:val="008F6616"/>
    <w:rsid w:val="008F6C8E"/>
    <w:rsid w:val="008F6EB8"/>
    <w:rsid w:val="008F7446"/>
    <w:rsid w:val="008F7448"/>
    <w:rsid w:val="008F7793"/>
    <w:rsid w:val="008F77B4"/>
    <w:rsid w:val="009001DF"/>
    <w:rsid w:val="009004A7"/>
    <w:rsid w:val="0090054E"/>
    <w:rsid w:val="00900734"/>
    <w:rsid w:val="0090076C"/>
    <w:rsid w:val="009008F1"/>
    <w:rsid w:val="00900A42"/>
    <w:rsid w:val="00901097"/>
    <w:rsid w:val="009019F9"/>
    <w:rsid w:val="00901BF6"/>
    <w:rsid w:val="009027E0"/>
    <w:rsid w:val="00902FFD"/>
    <w:rsid w:val="0090317A"/>
    <w:rsid w:val="0090321D"/>
    <w:rsid w:val="009035A3"/>
    <w:rsid w:val="00903973"/>
    <w:rsid w:val="00903F1A"/>
    <w:rsid w:val="00903F22"/>
    <w:rsid w:val="00903FCB"/>
    <w:rsid w:val="00904A2B"/>
    <w:rsid w:val="009057C6"/>
    <w:rsid w:val="00905833"/>
    <w:rsid w:val="009059B5"/>
    <w:rsid w:val="00905BAB"/>
    <w:rsid w:val="009064F6"/>
    <w:rsid w:val="009067D7"/>
    <w:rsid w:val="00906B04"/>
    <w:rsid w:val="00906BDA"/>
    <w:rsid w:val="00906E39"/>
    <w:rsid w:val="0090705F"/>
    <w:rsid w:val="009070BB"/>
    <w:rsid w:val="00907619"/>
    <w:rsid w:val="00907872"/>
    <w:rsid w:val="00907CBE"/>
    <w:rsid w:val="009100E4"/>
    <w:rsid w:val="0091020C"/>
    <w:rsid w:val="00910392"/>
    <w:rsid w:val="009106F2"/>
    <w:rsid w:val="00910A9C"/>
    <w:rsid w:val="00910AB6"/>
    <w:rsid w:val="00910C27"/>
    <w:rsid w:val="00910C2E"/>
    <w:rsid w:val="0091105E"/>
    <w:rsid w:val="00911166"/>
    <w:rsid w:val="0091140B"/>
    <w:rsid w:val="00911868"/>
    <w:rsid w:val="00911902"/>
    <w:rsid w:val="009121EC"/>
    <w:rsid w:val="009127B6"/>
    <w:rsid w:val="00912C8B"/>
    <w:rsid w:val="009132FE"/>
    <w:rsid w:val="0091358B"/>
    <w:rsid w:val="009141C0"/>
    <w:rsid w:val="009143E8"/>
    <w:rsid w:val="00914DF0"/>
    <w:rsid w:val="0091572F"/>
    <w:rsid w:val="00915925"/>
    <w:rsid w:val="00915C9A"/>
    <w:rsid w:val="0091606C"/>
    <w:rsid w:val="009164AA"/>
    <w:rsid w:val="00916E35"/>
    <w:rsid w:val="00916F6A"/>
    <w:rsid w:val="009174CD"/>
    <w:rsid w:val="009178CD"/>
    <w:rsid w:val="009202ED"/>
    <w:rsid w:val="0092046E"/>
    <w:rsid w:val="0092051B"/>
    <w:rsid w:val="00920660"/>
    <w:rsid w:val="009206E8"/>
    <w:rsid w:val="009207AD"/>
    <w:rsid w:val="00920BC4"/>
    <w:rsid w:val="00921180"/>
    <w:rsid w:val="00921708"/>
    <w:rsid w:val="00921767"/>
    <w:rsid w:val="00921D2F"/>
    <w:rsid w:val="00921D7D"/>
    <w:rsid w:val="00922033"/>
    <w:rsid w:val="009220FF"/>
    <w:rsid w:val="0092256E"/>
    <w:rsid w:val="00922597"/>
    <w:rsid w:val="00922ADE"/>
    <w:rsid w:val="00922E44"/>
    <w:rsid w:val="009233CB"/>
    <w:rsid w:val="009233FD"/>
    <w:rsid w:val="00923858"/>
    <w:rsid w:val="009245F2"/>
    <w:rsid w:val="00924794"/>
    <w:rsid w:val="00924ABC"/>
    <w:rsid w:val="00924CDC"/>
    <w:rsid w:val="00925001"/>
    <w:rsid w:val="009250B4"/>
    <w:rsid w:val="00925118"/>
    <w:rsid w:val="00925625"/>
    <w:rsid w:val="009257B6"/>
    <w:rsid w:val="00925F0B"/>
    <w:rsid w:val="00926175"/>
    <w:rsid w:val="00926372"/>
    <w:rsid w:val="00926554"/>
    <w:rsid w:val="00926894"/>
    <w:rsid w:val="009269C3"/>
    <w:rsid w:val="0092733E"/>
    <w:rsid w:val="0092785A"/>
    <w:rsid w:val="00927B6C"/>
    <w:rsid w:val="00927D88"/>
    <w:rsid w:val="00927E09"/>
    <w:rsid w:val="00927EE4"/>
    <w:rsid w:val="00927FC7"/>
    <w:rsid w:val="009301D5"/>
    <w:rsid w:val="009302EB"/>
    <w:rsid w:val="00930356"/>
    <w:rsid w:val="009307F5"/>
    <w:rsid w:val="00930886"/>
    <w:rsid w:val="00930D36"/>
    <w:rsid w:val="00930F2A"/>
    <w:rsid w:val="00931489"/>
    <w:rsid w:val="00931A10"/>
    <w:rsid w:val="00931D09"/>
    <w:rsid w:val="00931D4F"/>
    <w:rsid w:val="00931F1B"/>
    <w:rsid w:val="00931F8D"/>
    <w:rsid w:val="0093221F"/>
    <w:rsid w:val="009323D2"/>
    <w:rsid w:val="00932BD4"/>
    <w:rsid w:val="00932CB6"/>
    <w:rsid w:val="00932D50"/>
    <w:rsid w:val="00932D68"/>
    <w:rsid w:val="0093304C"/>
    <w:rsid w:val="0093342B"/>
    <w:rsid w:val="0093396D"/>
    <w:rsid w:val="009339F4"/>
    <w:rsid w:val="0093443E"/>
    <w:rsid w:val="009344CB"/>
    <w:rsid w:val="00934D4B"/>
    <w:rsid w:val="00934D84"/>
    <w:rsid w:val="00934E5D"/>
    <w:rsid w:val="00935F1E"/>
    <w:rsid w:val="00935F56"/>
    <w:rsid w:val="009362CF"/>
    <w:rsid w:val="00936D68"/>
    <w:rsid w:val="009371E0"/>
    <w:rsid w:val="00937289"/>
    <w:rsid w:val="00937418"/>
    <w:rsid w:val="009378D9"/>
    <w:rsid w:val="00937FEC"/>
    <w:rsid w:val="00940167"/>
    <w:rsid w:val="0094018D"/>
    <w:rsid w:val="0094072A"/>
    <w:rsid w:val="00940AEF"/>
    <w:rsid w:val="00940B0B"/>
    <w:rsid w:val="009411A3"/>
    <w:rsid w:val="00941366"/>
    <w:rsid w:val="0094175D"/>
    <w:rsid w:val="00941818"/>
    <w:rsid w:val="0094193F"/>
    <w:rsid w:val="00941AA5"/>
    <w:rsid w:val="00941ABA"/>
    <w:rsid w:val="00941ABF"/>
    <w:rsid w:val="0094222E"/>
    <w:rsid w:val="0094281B"/>
    <w:rsid w:val="00942BA6"/>
    <w:rsid w:val="00942CC6"/>
    <w:rsid w:val="00942FC2"/>
    <w:rsid w:val="00943061"/>
    <w:rsid w:val="00943328"/>
    <w:rsid w:val="00943545"/>
    <w:rsid w:val="00943A1C"/>
    <w:rsid w:val="00943BB7"/>
    <w:rsid w:val="00944C06"/>
    <w:rsid w:val="00944E89"/>
    <w:rsid w:val="00945437"/>
    <w:rsid w:val="009457FD"/>
    <w:rsid w:val="00946792"/>
    <w:rsid w:val="009467AA"/>
    <w:rsid w:val="0094697D"/>
    <w:rsid w:val="00946A9A"/>
    <w:rsid w:val="00946F27"/>
    <w:rsid w:val="00947742"/>
    <w:rsid w:val="00947A53"/>
    <w:rsid w:val="0095024E"/>
    <w:rsid w:val="0095029A"/>
    <w:rsid w:val="00950328"/>
    <w:rsid w:val="00950634"/>
    <w:rsid w:val="00950679"/>
    <w:rsid w:val="00950717"/>
    <w:rsid w:val="009509BB"/>
    <w:rsid w:val="00950D6A"/>
    <w:rsid w:val="0095158B"/>
    <w:rsid w:val="00951DB1"/>
    <w:rsid w:val="00952C5D"/>
    <w:rsid w:val="00952EFD"/>
    <w:rsid w:val="00953121"/>
    <w:rsid w:val="0095341C"/>
    <w:rsid w:val="00953752"/>
    <w:rsid w:val="00953C54"/>
    <w:rsid w:val="0095499F"/>
    <w:rsid w:val="00954D33"/>
    <w:rsid w:val="00954FDC"/>
    <w:rsid w:val="00955BF8"/>
    <w:rsid w:val="00955F34"/>
    <w:rsid w:val="00955F9F"/>
    <w:rsid w:val="0095631B"/>
    <w:rsid w:val="00956571"/>
    <w:rsid w:val="00956719"/>
    <w:rsid w:val="009567C7"/>
    <w:rsid w:val="00956E0A"/>
    <w:rsid w:val="0095714E"/>
    <w:rsid w:val="0095736C"/>
    <w:rsid w:val="00957689"/>
    <w:rsid w:val="00957936"/>
    <w:rsid w:val="00957D33"/>
    <w:rsid w:val="00957E9A"/>
    <w:rsid w:val="00957F94"/>
    <w:rsid w:val="009601B9"/>
    <w:rsid w:val="00960214"/>
    <w:rsid w:val="00960390"/>
    <w:rsid w:val="009603BE"/>
    <w:rsid w:val="00960459"/>
    <w:rsid w:val="00960BFA"/>
    <w:rsid w:val="00960CAF"/>
    <w:rsid w:val="00960FCA"/>
    <w:rsid w:val="00961064"/>
    <w:rsid w:val="009611BC"/>
    <w:rsid w:val="0096133D"/>
    <w:rsid w:val="00961704"/>
    <w:rsid w:val="00961ECD"/>
    <w:rsid w:val="009620BB"/>
    <w:rsid w:val="0096279B"/>
    <w:rsid w:val="00962841"/>
    <w:rsid w:val="00962867"/>
    <w:rsid w:val="00962B54"/>
    <w:rsid w:val="00962E72"/>
    <w:rsid w:val="00963486"/>
    <w:rsid w:val="00963AD3"/>
    <w:rsid w:val="00964B26"/>
    <w:rsid w:val="009650C2"/>
    <w:rsid w:val="009653E1"/>
    <w:rsid w:val="009660DA"/>
    <w:rsid w:val="00966127"/>
    <w:rsid w:val="009662C1"/>
    <w:rsid w:val="009662E1"/>
    <w:rsid w:val="00966BFD"/>
    <w:rsid w:val="00966CBB"/>
    <w:rsid w:val="0096735A"/>
    <w:rsid w:val="009700B1"/>
    <w:rsid w:val="009704DD"/>
    <w:rsid w:val="009706B3"/>
    <w:rsid w:val="0097074E"/>
    <w:rsid w:val="0097155D"/>
    <w:rsid w:val="009715C5"/>
    <w:rsid w:val="009717AA"/>
    <w:rsid w:val="009717E9"/>
    <w:rsid w:val="00971B9B"/>
    <w:rsid w:val="00971D01"/>
    <w:rsid w:val="00971E0B"/>
    <w:rsid w:val="0097261B"/>
    <w:rsid w:val="00972659"/>
    <w:rsid w:val="009727D3"/>
    <w:rsid w:val="009728F0"/>
    <w:rsid w:val="00972C2F"/>
    <w:rsid w:val="009732E6"/>
    <w:rsid w:val="009734E1"/>
    <w:rsid w:val="00973B8F"/>
    <w:rsid w:val="00973C73"/>
    <w:rsid w:val="00974929"/>
    <w:rsid w:val="00974B7C"/>
    <w:rsid w:val="00974BAE"/>
    <w:rsid w:val="00974CB6"/>
    <w:rsid w:val="00974F33"/>
    <w:rsid w:val="00975B91"/>
    <w:rsid w:val="00975F45"/>
    <w:rsid w:val="009764E2"/>
    <w:rsid w:val="00976B76"/>
    <w:rsid w:val="00976D12"/>
    <w:rsid w:val="00976F42"/>
    <w:rsid w:val="00977882"/>
    <w:rsid w:val="00977DF5"/>
    <w:rsid w:val="00977F7F"/>
    <w:rsid w:val="0098004A"/>
    <w:rsid w:val="00980234"/>
    <w:rsid w:val="00980897"/>
    <w:rsid w:val="00980F7A"/>
    <w:rsid w:val="00980FF0"/>
    <w:rsid w:val="00981A0F"/>
    <w:rsid w:val="00981B4D"/>
    <w:rsid w:val="00982218"/>
    <w:rsid w:val="0098222D"/>
    <w:rsid w:val="0098253D"/>
    <w:rsid w:val="0098265F"/>
    <w:rsid w:val="009827C3"/>
    <w:rsid w:val="009827F8"/>
    <w:rsid w:val="00982CE4"/>
    <w:rsid w:val="00983438"/>
    <w:rsid w:val="009835BA"/>
    <w:rsid w:val="009836A9"/>
    <w:rsid w:val="0098379D"/>
    <w:rsid w:val="00983CB5"/>
    <w:rsid w:val="00984670"/>
    <w:rsid w:val="00984E01"/>
    <w:rsid w:val="00984FF5"/>
    <w:rsid w:val="009852C5"/>
    <w:rsid w:val="0098565E"/>
    <w:rsid w:val="009864D4"/>
    <w:rsid w:val="00986E74"/>
    <w:rsid w:val="009870A5"/>
    <w:rsid w:val="00987399"/>
    <w:rsid w:val="009873A4"/>
    <w:rsid w:val="009873D0"/>
    <w:rsid w:val="00987752"/>
    <w:rsid w:val="00987833"/>
    <w:rsid w:val="0098786E"/>
    <w:rsid w:val="00987B14"/>
    <w:rsid w:val="00987B30"/>
    <w:rsid w:val="00987CD2"/>
    <w:rsid w:val="00990295"/>
    <w:rsid w:val="00990974"/>
    <w:rsid w:val="00990B5F"/>
    <w:rsid w:val="00990CC2"/>
    <w:rsid w:val="00990E10"/>
    <w:rsid w:val="009911C1"/>
    <w:rsid w:val="00991484"/>
    <w:rsid w:val="009915C1"/>
    <w:rsid w:val="00991C9F"/>
    <w:rsid w:val="00992FBC"/>
    <w:rsid w:val="00993488"/>
    <w:rsid w:val="0099379C"/>
    <w:rsid w:val="009937D5"/>
    <w:rsid w:val="00993C0E"/>
    <w:rsid w:val="00993EB2"/>
    <w:rsid w:val="00993F4A"/>
    <w:rsid w:val="009944E1"/>
    <w:rsid w:val="00994804"/>
    <w:rsid w:val="00994E84"/>
    <w:rsid w:val="00994FDC"/>
    <w:rsid w:val="00995669"/>
    <w:rsid w:val="00995BC8"/>
    <w:rsid w:val="00995DC8"/>
    <w:rsid w:val="009966C8"/>
    <w:rsid w:val="00996723"/>
    <w:rsid w:val="009969B9"/>
    <w:rsid w:val="00996D96"/>
    <w:rsid w:val="00996DEF"/>
    <w:rsid w:val="009971C6"/>
    <w:rsid w:val="009978E0"/>
    <w:rsid w:val="00997ACA"/>
    <w:rsid w:val="00997CA8"/>
    <w:rsid w:val="009A01E5"/>
    <w:rsid w:val="009A040A"/>
    <w:rsid w:val="009A08B7"/>
    <w:rsid w:val="009A096D"/>
    <w:rsid w:val="009A0F11"/>
    <w:rsid w:val="009A16BC"/>
    <w:rsid w:val="009A1C07"/>
    <w:rsid w:val="009A2003"/>
    <w:rsid w:val="009A2624"/>
    <w:rsid w:val="009A29C0"/>
    <w:rsid w:val="009A29FE"/>
    <w:rsid w:val="009A2DF2"/>
    <w:rsid w:val="009A2E63"/>
    <w:rsid w:val="009A2E96"/>
    <w:rsid w:val="009A33B2"/>
    <w:rsid w:val="009A399D"/>
    <w:rsid w:val="009A3CAB"/>
    <w:rsid w:val="009A3D3C"/>
    <w:rsid w:val="009A3E85"/>
    <w:rsid w:val="009A42EE"/>
    <w:rsid w:val="009A4DFF"/>
    <w:rsid w:val="009A567C"/>
    <w:rsid w:val="009A5BA3"/>
    <w:rsid w:val="009A5E61"/>
    <w:rsid w:val="009A6848"/>
    <w:rsid w:val="009A7132"/>
    <w:rsid w:val="009A77F8"/>
    <w:rsid w:val="009A786B"/>
    <w:rsid w:val="009A7905"/>
    <w:rsid w:val="009A7B1C"/>
    <w:rsid w:val="009A7C49"/>
    <w:rsid w:val="009A7ECC"/>
    <w:rsid w:val="009A7ED3"/>
    <w:rsid w:val="009B01C0"/>
    <w:rsid w:val="009B0510"/>
    <w:rsid w:val="009B0710"/>
    <w:rsid w:val="009B0AA7"/>
    <w:rsid w:val="009B0B4C"/>
    <w:rsid w:val="009B0BAC"/>
    <w:rsid w:val="009B0C61"/>
    <w:rsid w:val="009B0C98"/>
    <w:rsid w:val="009B0E6F"/>
    <w:rsid w:val="009B10DB"/>
    <w:rsid w:val="009B1674"/>
    <w:rsid w:val="009B1764"/>
    <w:rsid w:val="009B18D8"/>
    <w:rsid w:val="009B1BE7"/>
    <w:rsid w:val="009B2683"/>
    <w:rsid w:val="009B27BF"/>
    <w:rsid w:val="009B287F"/>
    <w:rsid w:val="009B31E8"/>
    <w:rsid w:val="009B3A44"/>
    <w:rsid w:val="009B3DBE"/>
    <w:rsid w:val="009B4110"/>
    <w:rsid w:val="009B4B4F"/>
    <w:rsid w:val="009B52DE"/>
    <w:rsid w:val="009B543B"/>
    <w:rsid w:val="009B5AD6"/>
    <w:rsid w:val="009B64A4"/>
    <w:rsid w:val="009B64A8"/>
    <w:rsid w:val="009B660C"/>
    <w:rsid w:val="009B6926"/>
    <w:rsid w:val="009B695E"/>
    <w:rsid w:val="009B6BD3"/>
    <w:rsid w:val="009B6DDC"/>
    <w:rsid w:val="009B6F4B"/>
    <w:rsid w:val="009B72B4"/>
    <w:rsid w:val="009B7854"/>
    <w:rsid w:val="009B7B47"/>
    <w:rsid w:val="009B7DA4"/>
    <w:rsid w:val="009C0130"/>
    <w:rsid w:val="009C0993"/>
    <w:rsid w:val="009C0EA6"/>
    <w:rsid w:val="009C122B"/>
    <w:rsid w:val="009C1FE1"/>
    <w:rsid w:val="009C2186"/>
    <w:rsid w:val="009C2265"/>
    <w:rsid w:val="009C2294"/>
    <w:rsid w:val="009C2369"/>
    <w:rsid w:val="009C2B1A"/>
    <w:rsid w:val="009C3358"/>
    <w:rsid w:val="009C3431"/>
    <w:rsid w:val="009C3C24"/>
    <w:rsid w:val="009C3ECD"/>
    <w:rsid w:val="009C411E"/>
    <w:rsid w:val="009C416A"/>
    <w:rsid w:val="009C4192"/>
    <w:rsid w:val="009C49A9"/>
    <w:rsid w:val="009C4ADE"/>
    <w:rsid w:val="009C4D10"/>
    <w:rsid w:val="009C4D3D"/>
    <w:rsid w:val="009C507B"/>
    <w:rsid w:val="009C54A8"/>
    <w:rsid w:val="009C5583"/>
    <w:rsid w:val="009C5851"/>
    <w:rsid w:val="009C5EEC"/>
    <w:rsid w:val="009C6163"/>
    <w:rsid w:val="009C6320"/>
    <w:rsid w:val="009C6819"/>
    <w:rsid w:val="009C6E34"/>
    <w:rsid w:val="009C713C"/>
    <w:rsid w:val="009C742E"/>
    <w:rsid w:val="009C74CA"/>
    <w:rsid w:val="009C761C"/>
    <w:rsid w:val="009C772B"/>
    <w:rsid w:val="009C788B"/>
    <w:rsid w:val="009D028E"/>
    <w:rsid w:val="009D032B"/>
    <w:rsid w:val="009D07F3"/>
    <w:rsid w:val="009D1517"/>
    <w:rsid w:val="009D18C4"/>
    <w:rsid w:val="009D212D"/>
    <w:rsid w:val="009D371C"/>
    <w:rsid w:val="009D3E1A"/>
    <w:rsid w:val="009D44DC"/>
    <w:rsid w:val="009D45F3"/>
    <w:rsid w:val="009D4B39"/>
    <w:rsid w:val="009D4F83"/>
    <w:rsid w:val="009D5627"/>
    <w:rsid w:val="009D5658"/>
    <w:rsid w:val="009D6556"/>
    <w:rsid w:val="009D6B50"/>
    <w:rsid w:val="009D6EB8"/>
    <w:rsid w:val="009D6F65"/>
    <w:rsid w:val="009D7295"/>
    <w:rsid w:val="009D75E4"/>
    <w:rsid w:val="009E0016"/>
    <w:rsid w:val="009E013C"/>
    <w:rsid w:val="009E08EE"/>
    <w:rsid w:val="009E0A4C"/>
    <w:rsid w:val="009E0A9C"/>
    <w:rsid w:val="009E11ED"/>
    <w:rsid w:val="009E1278"/>
    <w:rsid w:val="009E1F9B"/>
    <w:rsid w:val="009E2002"/>
    <w:rsid w:val="009E240D"/>
    <w:rsid w:val="009E2D4C"/>
    <w:rsid w:val="009E30C3"/>
    <w:rsid w:val="009E3252"/>
    <w:rsid w:val="009E37B6"/>
    <w:rsid w:val="009E38F0"/>
    <w:rsid w:val="009E3A07"/>
    <w:rsid w:val="009E3B98"/>
    <w:rsid w:val="009E3BB2"/>
    <w:rsid w:val="009E4C50"/>
    <w:rsid w:val="009E4F64"/>
    <w:rsid w:val="009E528B"/>
    <w:rsid w:val="009E568E"/>
    <w:rsid w:val="009E5816"/>
    <w:rsid w:val="009E5D2B"/>
    <w:rsid w:val="009E5FED"/>
    <w:rsid w:val="009E6553"/>
    <w:rsid w:val="009E65F3"/>
    <w:rsid w:val="009E668A"/>
    <w:rsid w:val="009E6773"/>
    <w:rsid w:val="009E6ED7"/>
    <w:rsid w:val="009E7681"/>
    <w:rsid w:val="009E77D2"/>
    <w:rsid w:val="009E7864"/>
    <w:rsid w:val="009E7A69"/>
    <w:rsid w:val="009F0518"/>
    <w:rsid w:val="009F0712"/>
    <w:rsid w:val="009F07B0"/>
    <w:rsid w:val="009F1054"/>
    <w:rsid w:val="009F13D4"/>
    <w:rsid w:val="009F14AC"/>
    <w:rsid w:val="009F19D7"/>
    <w:rsid w:val="009F2EA1"/>
    <w:rsid w:val="009F3445"/>
    <w:rsid w:val="009F3743"/>
    <w:rsid w:val="009F374E"/>
    <w:rsid w:val="009F38A7"/>
    <w:rsid w:val="009F3B29"/>
    <w:rsid w:val="009F3C84"/>
    <w:rsid w:val="009F42EC"/>
    <w:rsid w:val="009F4B88"/>
    <w:rsid w:val="009F5055"/>
    <w:rsid w:val="009F527F"/>
    <w:rsid w:val="009F52BD"/>
    <w:rsid w:val="009F550E"/>
    <w:rsid w:val="009F5753"/>
    <w:rsid w:val="009F57F1"/>
    <w:rsid w:val="009F5C7C"/>
    <w:rsid w:val="009F5E7C"/>
    <w:rsid w:val="009F5FF1"/>
    <w:rsid w:val="009F618C"/>
    <w:rsid w:val="009F68D3"/>
    <w:rsid w:val="009F718F"/>
    <w:rsid w:val="009F71F9"/>
    <w:rsid w:val="009F7DCA"/>
    <w:rsid w:val="009F7F3E"/>
    <w:rsid w:val="00A001B2"/>
    <w:rsid w:val="00A00314"/>
    <w:rsid w:val="00A00349"/>
    <w:rsid w:val="00A00AB3"/>
    <w:rsid w:val="00A00B9B"/>
    <w:rsid w:val="00A01735"/>
    <w:rsid w:val="00A01AA7"/>
    <w:rsid w:val="00A023E2"/>
    <w:rsid w:val="00A0297F"/>
    <w:rsid w:val="00A02D53"/>
    <w:rsid w:val="00A03D46"/>
    <w:rsid w:val="00A03FD2"/>
    <w:rsid w:val="00A040C8"/>
    <w:rsid w:val="00A04367"/>
    <w:rsid w:val="00A04C22"/>
    <w:rsid w:val="00A05209"/>
    <w:rsid w:val="00A05461"/>
    <w:rsid w:val="00A0549B"/>
    <w:rsid w:val="00A055F0"/>
    <w:rsid w:val="00A05BD2"/>
    <w:rsid w:val="00A05D80"/>
    <w:rsid w:val="00A05DA1"/>
    <w:rsid w:val="00A05DD7"/>
    <w:rsid w:val="00A05ED6"/>
    <w:rsid w:val="00A06955"/>
    <w:rsid w:val="00A06E20"/>
    <w:rsid w:val="00A06F75"/>
    <w:rsid w:val="00A07708"/>
    <w:rsid w:val="00A07952"/>
    <w:rsid w:val="00A1002A"/>
    <w:rsid w:val="00A108E5"/>
    <w:rsid w:val="00A10A73"/>
    <w:rsid w:val="00A10E62"/>
    <w:rsid w:val="00A11369"/>
    <w:rsid w:val="00A127FD"/>
    <w:rsid w:val="00A12BF8"/>
    <w:rsid w:val="00A12D73"/>
    <w:rsid w:val="00A12E77"/>
    <w:rsid w:val="00A1301E"/>
    <w:rsid w:val="00A132E1"/>
    <w:rsid w:val="00A1335B"/>
    <w:rsid w:val="00A141E0"/>
    <w:rsid w:val="00A145B5"/>
    <w:rsid w:val="00A14995"/>
    <w:rsid w:val="00A14C7D"/>
    <w:rsid w:val="00A1507A"/>
    <w:rsid w:val="00A15337"/>
    <w:rsid w:val="00A154F3"/>
    <w:rsid w:val="00A1577D"/>
    <w:rsid w:val="00A157B8"/>
    <w:rsid w:val="00A15BCD"/>
    <w:rsid w:val="00A163F4"/>
    <w:rsid w:val="00A16620"/>
    <w:rsid w:val="00A16EA0"/>
    <w:rsid w:val="00A16ECA"/>
    <w:rsid w:val="00A16EE7"/>
    <w:rsid w:val="00A16EEA"/>
    <w:rsid w:val="00A1711D"/>
    <w:rsid w:val="00A171BA"/>
    <w:rsid w:val="00A1784A"/>
    <w:rsid w:val="00A1787A"/>
    <w:rsid w:val="00A17965"/>
    <w:rsid w:val="00A17A16"/>
    <w:rsid w:val="00A17E53"/>
    <w:rsid w:val="00A20277"/>
    <w:rsid w:val="00A202AA"/>
    <w:rsid w:val="00A2042A"/>
    <w:rsid w:val="00A20933"/>
    <w:rsid w:val="00A218BB"/>
    <w:rsid w:val="00A21946"/>
    <w:rsid w:val="00A21D70"/>
    <w:rsid w:val="00A21D8C"/>
    <w:rsid w:val="00A220F8"/>
    <w:rsid w:val="00A2285F"/>
    <w:rsid w:val="00A22B72"/>
    <w:rsid w:val="00A22C57"/>
    <w:rsid w:val="00A22CCC"/>
    <w:rsid w:val="00A22D66"/>
    <w:rsid w:val="00A2313D"/>
    <w:rsid w:val="00A236B1"/>
    <w:rsid w:val="00A23949"/>
    <w:rsid w:val="00A23C81"/>
    <w:rsid w:val="00A23FF5"/>
    <w:rsid w:val="00A243AC"/>
    <w:rsid w:val="00A24638"/>
    <w:rsid w:val="00A2478E"/>
    <w:rsid w:val="00A248B4"/>
    <w:rsid w:val="00A248C9"/>
    <w:rsid w:val="00A24DDD"/>
    <w:rsid w:val="00A2520E"/>
    <w:rsid w:val="00A25478"/>
    <w:rsid w:val="00A25EB7"/>
    <w:rsid w:val="00A265FD"/>
    <w:rsid w:val="00A2678A"/>
    <w:rsid w:val="00A26966"/>
    <w:rsid w:val="00A26D71"/>
    <w:rsid w:val="00A2794C"/>
    <w:rsid w:val="00A279C2"/>
    <w:rsid w:val="00A27A0C"/>
    <w:rsid w:val="00A27C7A"/>
    <w:rsid w:val="00A27FE8"/>
    <w:rsid w:val="00A30155"/>
    <w:rsid w:val="00A30554"/>
    <w:rsid w:val="00A30E5C"/>
    <w:rsid w:val="00A31324"/>
    <w:rsid w:val="00A31404"/>
    <w:rsid w:val="00A31552"/>
    <w:rsid w:val="00A31714"/>
    <w:rsid w:val="00A31729"/>
    <w:rsid w:val="00A3192E"/>
    <w:rsid w:val="00A31FB1"/>
    <w:rsid w:val="00A31FF5"/>
    <w:rsid w:val="00A3203A"/>
    <w:rsid w:val="00A3259E"/>
    <w:rsid w:val="00A32776"/>
    <w:rsid w:val="00A32836"/>
    <w:rsid w:val="00A332D2"/>
    <w:rsid w:val="00A3343A"/>
    <w:rsid w:val="00A33AD6"/>
    <w:rsid w:val="00A33E60"/>
    <w:rsid w:val="00A33EEC"/>
    <w:rsid w:val="00A34062"/>
    <w:rsid w:val="00A34091"/>
    <w:rsid w:val="00A34868"/>
    <w:rsid w:val="00A34C30"/>
    <w:rsid w:val="00A34F19"/>
    <w:rsid w:val="00A35751"/>
    <w:rsid w:val="00A357DF"/>
    <w:rsid w:val="00A35941"/>
    <w:rsid w:val="00A35A30"/>
    <w:rsid w:val="00A36191"/>
    <w:rsid w:val="00A364D5"/>
    <w:rsid w:val="00A366A0"/>
    <w:rsid w:val="00A375B1"/>
    <w:rsid w:val="00A37C75"/>
    <w:rsid w:val="00A40A81"/>
    <w:rsid w:val="00A40BCD"/>
    <w:rsid w:val="00A40F7D"/>
    <w:rsid w:val="00A413C6"/>
    <w:rsid w:val="00A41723"/>
    <w:rsid w:val="00A4179F"/>
    <w:rsid w:val="00A419FB"/>
    <w:rsid w:val="00A41AD7"/>
    <w:rsid w:val="00A4224F"/>
    <w:rsid w:val="00A425B5"/>
    <w:rsid w:val="00A4294F"/>
    <w:rsid w:val="00A429B1"/>
    <w:rsid w:val="00A42A06"/>
    <w:rsid w:val="00A42CA7"/>
    <w:rsid w:val="00A43173"/>
    <w:rsid w:val="00A436FE"/>
    <w:rsid w:val="00A43AEE"/>
    <w:rsid w:val="00A43ECB"/>
    <w:rsid w:val="00A44050"/>
    <w:rsid w:val="00A4408E"/>
    <w:rsid w:val="00A44CB3"/>
    <w:rsid w:val="00A45049"/>
    <w:rsid w:val="00A45D39"/>
    <w:rsid w:val="00A45D4B"/>
    <w:rsid w:val="00A46049"/>
    <w:rsid w:val="00A46740"/>
    <w:rsid w:val="00A46869"/>
    <w:rsid w:val="00A46DD5"/>
    <w:rsid w:val="00A4716F"/>
    <w:rsid w:val="00A472D8"/>
    <w:rsid w:val="00A477E9"/>
    <w:rsid w:val="00A479D7"/>
    <w:rsid w:val="00A47A02"/>
    <w:rsid w:val="00A47E48"/>
    <w:rsid w:val="00A50441"/>
    <w:rsid w:val="00A507AE"/>
    <w:rsid w:val="00A508C8"/>
    <w:rsid w:val="00A508EA"/>
    <w:rsid w:val="00A50DA5"/>
    <w:rsid w:val="00A50F54"/>
    <w:rsid w:val="00A51185"/>
    <w:rsid w:val="00A516DF"/>
    <w:rsid w:val="00A5172B"/>
    <w:rsid w:val="00A51AD9"/>
    <w:rsid w:val="00A51DB2"/>
    <w:rsid w:val="00A5220A"/>
    <w:rsid w:val="00A52825"/>
    <w:rsid w:val="00A52992"/>
    <w:rsid w:val="00A52C8E"/>
    <w:rsid w:val="00A52EF0"/>
    <w:rsid w:val="00A5348F"/>
    <w:rsid w:val="00A53712"/>
    <w:rsid w:val="00A54002"/>
    <w:rsid w:val="00A540E7"/>
    <w:rsid w:val="00A549F4"/>
    <w:rsid w:val="00A55101"/>
    <w:rsid w:val="00A55186"/>
    <w:rsid w:val="00A55214"/>
    <w:rsid w:val="00A55449"/>
    <w:rsid w:val="00A55562"/>
    <w:rsid w:val="00A55694"/>
    <w:rsid w:val="00A55784"/>
    <w:rsid w:val="00A559B3"/>
    <w:rsid w:val="00A55BB3"/>
    <w:rsid w:val="00A560F4"/>
    <w:rsid w:val="00A561EC"/>
    <w:rsid w:val="00A56524"/>
    <w:rsid w:val="00A5683E"/>
    <w:rsid w:val="00A568B9"/>
    <w:rsid w:val="00A56EEC"/>
    <w:rsid w:val="00A57167"/>
    <w:rsid w:val="00A57499"/>
    <w:rsid w:val="00A57A13"/>
    <w:rsid w:val="00A57AEB"/>
    <w:rsid w:val="00A57DE1"/>
    <w:rsid w:val="00A6008F"/>
    <w:rsid w:val="00A600E9"/>
    <w:rsid w:val="00A60492"/>
    <w:rsid w:val="00A6068B"/>
    <w:rsid w:val="00A607BF"/>
    <w:rsid w:val="00A61C9D"/>
    <w:rsid w:val="00A61E8F"/>
    <w:rsid w:val="00A61EE3"/>
    <w:rsid w:val="00A6204C"/>
    <w:rsid w:val="00A620BB"/>
    <w:rsid w:val="00A629BE"/>
    <w:rsid w:val="00A62A9D"/>
    <w:rsid w:val="00A62F1C"/>
    <w:rsid w:val="00A63553"/>
    <w:rsid w:val="00A637FB"/>
    <w:rsid w:val="00A638E0"/>
    <w:rsid w:val="00A63B8F"/>
    <w:rsid w:val="00A6412B"/>
    <w:rsid w:val="00A645B7"/>
    <w:rsid w:val="00A6463A"/>
    <w:rsid w:val="00A64E0A"/>
    <w:rsid w:val="00A64F37"/>
    <w:rsid w:val="00A64F9B"/>
    <w:rsid w:val="00A65137"/>
    <w:rsid w:val="00A653CD"/>
    <w:rsid w:val="00A65C4C"/>
    <w:rsid w:val="00A6652E"/>
    <w:rsid w:val="00A668E8"/>
    <w:rsid w:val="00A6691B"/>
    <w:rsid w:val="00A66B22"/>
    <w:rsid w:val="00A66BEE"/>
    <w:rsid w:val="00A6715C"/>
    <w:rsid w:val="00A67218"/>
    <w:rsid w:val="00A673A7"/>
    <w:rsid w:val="00A67822"/>
    <w:rsid w:val="00A706B1"/>
    <w:rsid w:val="00A70AFA"/>
    <w:rsid w:val="00A70C58"/>
    <w:rsid w:val="00A70D73"/>
    <w:rsid w:val="00A70F01"/>
    <w:rsid w:val="00A7174C"/>
    <w:rsid w:val="00A71894"/>
    <w:rsid w:val="00A71913"/>
    <w:rsid w:val="00A71E2C"/>
    <w:rsid w:val="00A72017"/>
    <w:rsid w:val="00A72188"/>
    <w:rsid w:val="00A725FE"/>
    <w:rsid w:val="00A72B55"/>
    <w:rsid w:val="00A72D68"/>
    <w:rsid w:val="00A72F9B"/>
    <w:rsid w:val="00A731F4"/>
    <w:rsid w:val="00A73265"/>
    <w:rsid w:val="00A735D5"/>
    <w:rsid w:val="00A742A0"/>
    <w:rsid w:val="00A7462F"/>
    <w:rsid w:val="00A746C5"/>
    <w:rsid w:val="00A74B09"/>
    <w:rsid w:val="00A74E15"/>
    <w:rsid w:val="00A74F38"/>
    <w:rsid w:val="00A751E0"/>
    <w:rsid w:val="00A7529C"/>
    <w:rsid w:val="00A75369"/>
    <w:rsid w:val="00A7553E"/>
    <w:rsid w:val="00A75564"/>
    <w:rsid w:val="00A7559F"/>
    <w:rsid w:val="00A7585B"/>
    <w:rsid w:val="00A759C8"/>
    <w:rsid w:val="00A75C98"/>
    <w:rsid w:val="00A75D45"/>
    <w:rsid w:val="00A75EAC"/>
    <w:rsid w:val="00A75EEE"/>
    <w:rsid w:val="00A7649C"/>
    <w:rsid w:val="00A76C5B"/>
    <w:rsid w:val="00A77087"/>
    <w:rsid w:val="00A7722D"/>
    <w:rsid w:val="00A7744E"/>
    <w:rsid w:val="00A779F7"/>
    <w:rsid w:val="00A77B11"/>
    <w:rsid w:val="00A77BC3"/>
    <w:rsid w:val="00A77E50"/>
    <w:rsid w:val="00A80127"/>
    <w:rsid w:val="00A8034C"/>
    <w:rsid w:val="00A81142"/>
    <w:rsid w:val="00A818CD"/>
    <w:rsid w:val="00A81C3A"/>
    <w:rsid w:val="00A81E89"/>
    <w:rsid w:val="00A82259"/>
    <w:rsid w:val="00A8240C"/>
    <w:rsid w:val="00A824E3"/>
    <w:rsid w:val="00A82571"/>
    <w:rsid w:val="00A82A13"/>
    <w:rsid w:val="00A82A8F"/>
    <w:rsid w:val="00A82DCE"/>
    <w:rsid w:val="00A83117"/>
    <w:rsid w:val="00A83606"/>
    <w:rsid w:val="00A84A7A"/>
    <w:rsid w:val="00A84E53"/>
    <w:rsid w:val="00A85086"/>
    <w:rsid w:val="00A8556E"/>
    <w:rsid w:val="00A859DD"/>
    <w:rsid w:val="00A85D0F"/>
    <w:rsid w:val="00A85E5C"/>
    <w:rsid w:val="00A85F81"/>
    <w:rsid w:val="00A8633B"/>
    <w:rsid w:val="00A867CF"/>
    <w:rsid w:val="00A86B64"/>
    <w:rsid w:val="00A86CC6"/>
    <w:rsid w:val="00A87028"/>
    <w:rsid w:val="00A876BB"/>
    <w:rsid w:val="00A87DAA"/>
    <w:rsid w:val="00A908C5"/>
    <w:rsid w:val="00A90DCF"/>
    <w:rsid w:val="00A91589"/>
    <w:rsid w:val="00A916BC"/>
    <w:rsid w:val="00A91FCB"/>
    <w:rsid w:val="00A91FE6"/>
    <w:rsid w:val="00A92E6A"/>
    <w:rsid w:val="00A937D1"/>
    <w:rsid w:val="00A94360"/>
    <w:rsid w:val="00A94547"/>
    <w:rsid w:val="00A949D1"/>
    <w:rsid w:val="00A94A13"/>
    <w:rsid w:val="00A955DE"/>
    <w:rsid w:val="00A959F2"/>
    <w:rsid w:val="00A966A0"/>
    <w:rsid w:val="00A96B6D"/>
    <w:rsid w:val="00A971F0"/>
    <w:rsid w:val="00A97924"/>
    <w:rsid w:val="00A97C8C"/>
    <w:rsid w:val="00A97EB9"/>
    <w:rsid w:val="00A97F5F"/>
    <w:rsid w:val="00AA0014"/>
    <w:rsid w:val="00AA00DC"/>
    <w:rsid w:val="00AA046C"/>
    <w:rsid w:val="00AA054E"/>
    <w:rsid w:val="00AA0683"/>
    <w:rsid w:val="00AA0809"/>
    <w:rsid w:val="00AA1215"/>
    <w:rsid w:val="00AA13F1"/>
    <w:rsid w:val="00AA14E0"/>
    <w:rsid w:val="00AA14F4"/>
    <w:rsid w:val="00AA1799"/>
    <w:rsid w:val="00AA1D90"/>
    <w:rsid w:val="00AA2061"/>
    <w:rsid w:val="00AA26C5"/>
    <w:rsid w:val="00AA294C"/>
    <w:rsid w:val="00AA2C27"/>
    <w:rsid w:val="00AA2CBF"/>
    <w:rsid w:val="00AA3036"/>
    <w:rsid w:val="00AA3204"/>
    <w:rsid w:val="00AA384E"/>
    <w:rsid w:val="00AA3B2D"/>
    <w:rsid w:val="00AA416E"/>
    <w:rsid w:val="00AA41C5"/>
    <w:rsid w:val="00AA4391"/>
    <w:rsid w:val="00AA439B"/>
    <w:rsid w:val="00AA4620"/>
    <w:rsid w:val="00AA4790"/>
    <w:rsid w:val="00AA47A8"/>
    <w:rsid w:val="00AA4BAD"/>
    <w:rsid w:val="00AA4CF2"/>
    <w:rsid w:val="00AA520C"/>
    <w:rsid w:val="00AA54D8"/>
    <w:rsid w:val="00AA554D"/>
    <w:rsid w:val="00AA56FF"/>
    <w:rsid w:val="00AA580A"/>
    <w:rsid w:val="00AA695D"/>
    <w:rsid w:val="00AA6B74"/>
    <w:rsid w:val="00AA78C5"/>
    <w:rsid w:val="00AA7A7F"/>
    <w:rsid w:val="00AB00F3"/>
    <w:rsid w:val="00AB0220"/>
    <w:rsid w:val="00AB0369"/>
    <w:rsid w:val="00AB0714"/>
    <w:rsid w:val="00AB0897"/>
    <w:rsid w:val="00AB096D"/>
    <w:rsid w:val="00AB0BF3"/>
    <w:rsid w:val="00AB1289"/>
    <w:rsid w:val="00AB1771"/>
    <w:rsid w:val="00AB1A17"/>
    <w:rsid w:val="00AB202E"/>
    <w:rsid w:val="00AB20F9"/>
    <w:rsid w:val="00AB243A"/>
    <w:rsid w:val="00AB26D0"/>
    <w:rsid w:val="00AB2C7A"/>
    <w:rsid w:val="00AB35A5"/>
    <w:rsid w:val="00AB3B79"/>
    <w:rsid w:val="00AB43F8"/>
    <w:rsid w:val="00AB470D"/>
    <w:rsid w:val="00AB47C9"/>
    <w:rsid w:val="00AB49DC"/>
    <w:rsid w:val="00AB4C6A"/>
    <w:rsid w:val="00AB5015"/>
    <w:rsid w:val="00AB546F"/>
    <w:rsid w:val="00AB56C4"/>
    <w:rsid w:val="00AB5844"/>
    <w:rsid w:val="00AB604F"/>
    <w:rsid w:val="00AB641B"/>
    <w:rsid w:val="00AB643F"/>
    <w:rsid w:val="00AB6563"/>
    <w:rsid w:val="00AB699D"/>
    <w:rsid w:val="00AB6B2E"/>
    <w:rsid w:val="00AB6BEE"/>
    <w:rsid w:val="00AB6D5D"/>
    <w:rsid w:val="00AB7275"/>
    <w:rsid w:val="00AB73AC"/>
    <w:rsid w:val="00AB7AFC"/>
    <w:rsid w:val="00AB7B90"/>
    <w:rsid w:val="00AB7C4B"/>
    <w:rsid w:val="00AC00B0"/>
    <w:rsid w:val="00AC0223"/>
    <w:rsid w:val="00AC037B"/>
    <w:rsid w:val="00AC03FD"/>
    <w:rsid w:val="00AC057C"/>
    <w:rsid w:val="00AC1096"/>
    <w:rsid w:val="00AC10F4"/>
    <w:rsid w:val="00AC130B"/>
    <w:rsid w:val="00AC158C"/>
    <w:rsid w:val="00AC1697"/>
    <w:rsid w:val="00AC1886"/>
    <w:rsid w:val="00AC1E66"/>
    <w:rsid w:val="00AC2049"/>
    <w:rsid w:val="00AC2119"/>
    <w:rsid w:val="00AC21B3"/>
    <w:rsid w:val="00AC21B7"/>
    <w:rsid w:val="00AC21D3"/>
    <w:rsid w:val="00AC2342"/>
    <w:rsid w:val="00AC23B7"/>
    <w:rsid w:val="00AC298A"/>
    <w:rsid w:val="00AC2A4F"/>
    <w:rsid w:val="00AC2D3A"/>
    <w:rsid w:val="00AC3141"/>
    <w:rsid w:val="00AC40ED"/>
    <w:rsid w:val="00AC436F"/>
    <w:rsid w:val="00AC4761"/>
    <w:rsid w:val="00AC4ACB"/>
    <w:rsid w:val="00AC4D1C"/>
    <w:rsid w:val="00AC519B"/>
    <w:rsid w:val="00AC5414"/>
    <w:rsid w:val="00AC54DE"/>
    <w:rsid w:val="00AC5551"/>
    <w:rsid w:val="00AC558F"/>
    <w:rsid w:val="00AC5885"/>
    <w:rsid w:val="00AC58E6"/>
    <w:rsid w:val="00AC59C9"/>
    <w:rsid w:val="00AC5C11"/>
    <w:rsid w:val="00AC5CB9"/>
    <w:rsid w:val="00AC5D83"/>
    <w:rsid w:val="00AC5E92"/>
    <w:rsid w:val="00AC61D4"/>
    <w:rsid w:val="00AC6535"/>
    <w:rsid w:val="00AC6F25"/>
    <w:rsid w:val="00AC7A19"/>
    <w:rsid w:val="00AC7C63"/>
    <w:rsid w:val="00AD003B"/>
    <w:rsid w:val="00AD0426"/>
    <w:rsid w:val="00AD069A"/>
    <w:rsid w:val="00AD0C85"/>
    <w:rsid w:val="00AD0D3B"/>
    <w:rsid w:val="00AD0EBC"/>
    <w:rsid w:val="00AD1495"/>
    <w:rsid w:val="00AD17E8"/>
    <w:rsid w:val="00AD1852"/>
    <w:rsid w:val="00AD1DD1"/>
    <w:rsid w:val="00AD1F96"/>
    <w:rsid w:val="00AD2033"/>
    <w:rsid w:val="00AD2135"/>
    <w:rsid w:val="00AD23B9"/>
    <w:rsid w:val="00AD2972"/>
    <w:rsid w:val="00AD2D72"/>
    <w:rsid w:val="00AD2DDB"/>
    <w:rsid w:val="00AD3A05"/>
    <w:rsid w:val="00AD3B70"/>
    <w:rsid w:val="00AD3E63"/>
    <w:rsid w:val="00AD3F27"/>
    <w:rsid w:val="00AD4283"/>
    <w:rsid w:val="00AD46D5"/>
    <w:rsid w:val="00AD49DD"/>
    <w:rsid w:val="00AD49FA"/>
    <w:rsid w:val="00AD4FAE"/>
    <w:rsid w:val="00AD50B7"/>
    <w:rsid w:val="00AD5172"/>
    <w:rsid w:val="00AD5297"/>
    <w:rsid w:val="00AD56D7"/>
    <w:rsid w:val="00AD5E04"/>
    <w:rsid w:val="00AD61F1"/>
    <w:rsid w:val="00AD6AE4"/>
    <w:rsid w:val="00AD6E48"/>
    <w:rsid w:val="00AD6FB1"/>
    <w:rsid w:val="00AD709C"/>
    <w:rsid w:val="00AD7E6C"/>
    <w:rsid w:val="00AE03D9"/>
    <w:rsid w:val="00AE0927"/>
    <w:rsid w:val="00AE0AF8"/>
    <w:rsid w:val="00AE0C28"/>
    <w:rsid w:val="00AE0E68"/>
    <w:rsid w:val="00AE1199"/>
    <w:rsid w:val="00AE1339"/>
    <w:rsid w:val="00AE17EF"/>
    <w:rsid w:val="00AE2534"/>
    <w:rsid w:val="00AE29C2"/>
    <w:rsid w:val="00AE2DFD"/>
    <w:rsid w:val="00AE38B8"/>
    <w:rsid w:val="00AE3C23"/>
    <w:rsid w:val="00AE3EF1"/>
    <w:rsid w:val="00AE412E"/>
    <w:rsid w:val="00AE46C0"/>
    <w:rsid w:val="00AE4906"/>
    <w:rsid w:val="00AE49EA"/>
    <w:rsid w:val="00AE4CB6"/>
    <w:rsid w:val="00AE4D25"/>
    <w:rsid w:val="00AE4DBA"/>
    <w:rsid w:val="00AE4FA8"/>
    <w:rsid w:val="00AE5982"/>
    <w:rsid w:val="00AE5DFA"/>
    <w:rsid w:val="00AE5FFC"/>
    <w:rsid w:val="00AE61D8"/>
    <w:rsid w:val="00AE62B3"/>
    <w:rsid w:val="00AE68F4"/>
    <w:rsid w:val="00AE6B3B"/>
    <w:rsid w:val="00AE6E58"/>
    <w:rsid w:val="00AE6F48"/>
    <w:rsid w:val="00AE72C4"/>
    <w:rsid w:val="00AE77FA"/>
    <w:rsid w:val="00AE7C07"/>
    <w:rsid w:val="00AF013D"/>
    <w:rsid w:val="00AF068D"/>
    <w:rsid w:val="00AF0A6B"/>
    <w:rsid w:val="00AF0F27"/>
    <w:rsid w:val="00AF174B"/>
    <w:rsid w:val="00AF177E"/>
    <w:rsid w:val="00AF221F"/>
    <w:rsid w:val="00AF25F7"/>
    <w:rsid w:val="00AF3192"/>
    <w:rsid w:val="00AF3C24"/>
    <w:rsid w:val="00AF3C96"/>
    <w:rsid w:val="00AF3DEF"/>
    <w:rsid w:val="00AF4509"/>
    <w:rsid w:val="00AF45D1"/>
    <w:rsid w:val="00AF48A0"/>
    <w:rsid w:val="00AF4DF6"/>
    <w:rsid w:val="00AF4F68"/>
    <w:rsid w:val="00AF5BFD"/>
    <w:rsid w:val="00AF5EC2"/>
    <w:rsid w:val="00AF6A8F"/>
    <w:rsid w:val="00AF6E7F"/>
    <w:rsid w:val="00AF74F9"/>
    <w:rsid w:val="00AF79B2"/>
    <w:rsid w:val="00AF7AAE"/>
    <w:rsid w:val="00AF7DB6"/>
    <w:rsid w:val="00B00126"/>
    <w:rsid w:val="00B009F3"/>
    <w:rsid w:val="00B010C2"/>
    <w:rsid w:val="00B013D7"/>
    <w:rsid w:val="00B01605"/>
    <w:rsid w:val="00B01DEE"/>
    <w:rsid w:val="00B025E9"/>
    <w:rsid w:val="00B02856"/>
    <w:rsid w:val="00B02CA4"/>
    <w:rsid w:val="00B02F46"/>
    <w:rsid w:val="00B03BAF"/>
    <w:rsid w:val="00B03FBB"/>
    <w:rsid w:val="00B047A2"/>
    <w:rsid w:val="00B04CBF"/>
    <w:rsid w:val="00B04CF0"/>
    <w:rsid w:val="00B05046"/>
    <w:rsid w:val="00B05B9F"/>
    <w:rsid w:val="00B05E66"/>
    <w:rsid w:val="00B060E7"/>
    <w:rsid w:val="00B06247"/>
    <w:rsid w:val="00B06BC8"/>
    <w:rsid w:val="00B072A3"/>
    <w:rsid w:val="00B075F9"/>
    <w:rsid w:val="00B076D1"/>
    <w:rsid w:val="00B07A6B"/>
    <w:rsid w:val="00B07C3F"/>
    <w:rsid w:val="00B07CC9"/>
    <w:rsid w:val="00B07DE9"/>
    <w:rsid w:val="00B07F2A"/>
    <w:rsid w:val="00B101CF"/>
    <w:rsid w:val="00B101DE"/>
    <w:rsid w:val="00B10250"/>
    <w:rsid w:val="00B10B53"/>
    <w:rsid w:val="00B10C7A"/>
    <w:rsid w:val="00B10C7C"/>
    <w:rsid w:val="00B11091"/>
    <w:rsid w:val="00B11168"/>
    <w:rsid w:val="00B114A6"/>
    <w:rsid w:val="00B11903"/>
    <w:rsid w:val="00B12023"/>
    <w:rsid w:val="00B1202A"/>
    <w:rsid w:val="00B12277"/>
    <w:rsid w:val="00B1249D"/>
    <w:rsid w:val="00B12954"/>
    <w:rsid w:val="00B12A04"/>
    <w:rsid w:val="00B12BA9"/>
    <w:rsid w:val="00B12E50"/>
    <w:rsid w:val="00B135B7"/>
    <w:rsid w:val="00B14329"/>
    <w:rsid w:val="00B14612"/>
    <w:rsid w:val="00B149C1"/>
    <w:rsid w:val="00B156BC"/>
    <w:rsid w:val="00B15BA7"/>
    <w:rsid w:val="00B16A39"/>
    <w:rsid w:val="00B17305"/>
    <w:rsid w:val="00B17541"/>
    <w:rsid w:val="00B17C3B"/>
    <w:rsid w:val="00B17E6E"/>
    <w:rsid w:val="00B17FE1"/>
    <w:rsid w:val="00B208CC"/>
    <w:rsid w:val="00B20B64"/>
    <w:rsid w:val="00B20CC3"/>
    <w:rsid w:val="00B21108"/>
    <w:rsid w:val="00B2127F"/>
    <w:rsid w:val="00B219F0"/>
    <w:rsid w:val="00B21A5B"/>
    <w:rsid w:val="00B21B7C"/>
    <w:rsid w:val="00B21EB0"/>
    <w:rsid w:val="00B2251D"/>
    <w:rsid w:val="00B22537"/>
    <w:rsid w:val="00B226F8"/>
    <w:rsid w:val="00B227A4"/>
    <w:rsid w:val="00B22EB1"/>
    <w:rsid w:val="00B23C47"/>
    <w:rsid w:val="00B243BE"/>
    <w:rsid w:val="00B24D8C"/>
    <w:rsid w:val="00B24E04"/>
    <w:rsid w:val="00B24E92"/>
    <w:rsid w:val="00B2520D"/>
    <w:rsid w:val="00B2551E"/>
    <w:rsid w:val="00B2554D"/>
    <w:rsid w:val="00B258C7"/>
    <w:rsid w:val="00B258C9"/>
    <w:rsid w:val="00B25C2B"/>
    <w:rsid w:val="00B25F11"/>
    <w:rsid w:val="00B26CFB"/>
    <w:rsid w:val="00B26D29"/>
    <w:rsid w:val="00B26D48"/>
    <w:rsid w:val="00B26EF0"/>
    <w:rsid w:val="00B27308"/>
    <w:rsid w:val="00B274B4"/>
    <w:rsid w:val="00B27A0B"/>
    <w:rsid w:val="00B27BCB"/>
    <w:rsid w:val="00B27EC2"/>
    <w:rsid w:val="00B307DA"/>
    <w:rsid w:val="00B30EF6"/>
    <w:rsid w:val="00B3121F"/>
    <w:rsid w:val="00B313C3"/>
    <w:rsid w:val="00B3145C"/>
    <w:rsid w:val="00B315D3"/>
    <w:rsid w:val="00B31C3A"/>
    <w:rsid w:val="00B321B5"/>
    <w:rsid w:val="00B323A1"/>
    <w:rsid w:val="00B32465"/>
    <w:rsid w:val="00B3247B"/>
    <w:rsid w:val="00B326F0"/>
    <w:rsid w:val="00B32B3E"/>
    <w:rsid w:val="00B332F9"/>
    <w:rsid w:val="00B33593"/>
    <w:rsid w:val="00B33D8B"/>
    <w:rsid w:val="00B340BD"/>
    <w:rsid w:val="00B3442F"/>
    <w:rsid w:val="00B34522"/>
    <w:rsid w:val="00B3471E"/>
    <w:rsid w:val="00B34A80"/>
    <w:rsid w:val="00B35A89"/>
    <w:rsid w:val="00B362D6"/>
    <w:rsid w:val="00B36317"/>
    <w:rsid w:val="00B3682B"/>
    <w:rsid w:val="00B36C1E"/>
    <w:rsid w:val="00B373CA"/>
    <w:rsid w:val="00B376BF"/>
    <w:rsid w:val="00B37F2F"/>
    <w:rsid w:val="00B37F58"/>
    <w:rsid w:val="00B40198"/>
    <w:rsid w:val="00B4023C"/>
    <w:rsid w:val="00B4040C"/>
    <w:rsid w:val="00B4041E"/>
    <w:rsid w:val="00B40725"/>
    <w:rsid w:val="00B4085C"/>
    <w:rsid w:val="00B40EC6"/>
    <w:rsid w:val="00B41148"/>
    <w:rsid w:val="00B415C3"/>
    <w:rsid w:val="00B415FF"/>
    <w:rsid w:val="00B41667"/>
    <w:rsid w:val="00B41E0E"/>
    <w:rsid w:val="00B420F7"/>
    <w:rsid w:val="00B4261F"/>
    <w:rsid w:val="00B42A1B"/>
    <w:rsid w:val="00B42A90"/>
    <w:rsid w:val="00B42D97"/>
    <w:rsid w:val="00B43086"/>
    <w:rsid w:val="00B433A4"/>
    <w:rsid w:val="00B43B99"/>
    <w:rsid w:val="00B43CAF"/>
    <w:rsid w:val="00B43E5E"/>
    <w:rsid w:val="00B43FA5"/>
    <w:rsid w:val="00B43FF2"/>
    <w:rsid w:val="00B44956"/>
    <w:rsid w:val="00B4495D"/>
    <w:rsid w:val="00B45217"/>
    <w:rsid w:val="00B458A7"/>
    <w:rsid w:val="00B458E5"/>
    <w:rsid w:val="00B45B00"/>
    <w:rsid w:val="00B45E2E"/>
    <w:rsid w:val="00B45E94"/>
    <w:rsid w:val="00B460B2"/>
    <w:rsid w:val="00B46280"/>
    <w:rsid w:val="00B464F7"/>
    <w:rsid w:val="00B4662E"/>
    <w:rsid w:val="00B4672F"/>
    <w:rsid w:val="00B46CF8"/>
    <w:rsid w:val="00B46E7E"/>
    <w:rsid w:val="00B477C1"/>
    <w:rsid w:val="00B47D69"/>
    <w:rsid w:val="00B47ED6"/>
    <w:rsid w:val="00B50127"/>
    <w:rsid w:val="00B501FF"/>
    <w:rsid w:val="00B5049A"/>
    <w:rsid w:val="00B505C2"/>
    <w:rsid w:val="00B509BF"/>
    <w:rsid w:val="00B5104D"/>
    <w:rsid w:val="00B51212"/>
    <w:rsid w:val="00B51A6C"/>
    <w:rsid w:val="00B5209E"/>
    <w:rsid w:val="00B52223"/>
    <w:rsid w:val="00B525F4"/>
    <w:rsid w:val="00B5291B"/>
    <w:rsid w:val="00B531B9"/>
    <w:rsid w:val="00B5326D"/>
    <w:rsid w:val="00B532E1"/>
    <w:rsid w:val="00B53861"/>
    <w:rsid w:val="00B53CCD"/>
    <w:rsid w:val="00B54114"/>
    <w:rsid w:val="00B547A0"/>
    <w:rsid w:val="00B54A7F"/>
    <w:rsid w:val="00B54E5A"/>
    <w:rsid w:val="00B5511C"/>
    <w:rsid w:val="00B5516F"/>
    <w:rsid w:val="00B55308"/>
    <w:rsid w:val="00B5558F"/>
    <w:rsid w:val="00B556B9"/>
    <w:rsid w:val="00B558C9"/>
    <w:rsid w:val="00B559D5"/>
    <w:rsid w:val="00B55B61"/>
    <w:rsid w:val="00B55E29"/>
    <w:rsid w:val="00B561B5"/>
    <w:rsid w:val="00B5620E"/>
    <w:rsid w:val="00B563A3"/>
    <w:rsid w:val="00B5688C"/>
    <w:rsid w:val="00B5722A"/>
    <w:rsid w:val="00B5777B"/>
    <w:rsid w:val="00B578AC"/>
    <w:rsid w:val="00B578BE"/>
    <w:rsid w:val="00B57A14"/>
    <w:rsid w:val="00B57D59"/>
    <w:rsid w:val="00B57EAD"/>
    <w:rsid w:val="00B6043E"/>
    <w:rsid w:val="00B60ABE"/>
    <w:rsid w:val="00B60BD7"/>
    <w:rsid w:val="00B61598"/>
    <w:rsid w:val="00B61783"/>
    <w:rsid w:val="00B61C76"/>
    <w:rsid w:val="00B623EE"/>
    <w:rsid w:val="00B62B7B"/>
    <w:rsid w:val="00B62F63"/>
    <w:rsid w:val="00B6360D"/>
    <w:rsid w:val="00B63C1F"/>
    <w:rsid w:val="00B640EF"/>
    <w:rsid w:val="00B641B5"/>
    <w:rsid w:val="00B64768"/>
    <w:rsid w:val="00B64A96"/>
    <w:rsid w:val="00B64AB0"/>
    <w:rsid w:val="00B64C44"/>
    <w:rsid w:val="00B64E93"/>
    <w:rsid w:val="00B64F75"/>
    <w:rsid w:val="00B6506B"/>
    <w:rsid w:val="00B65691"/>
    <w:rsid w:val="00B656BF"/>
    <w:rsid w:val="00B661D1"/>
    <w:rsid w:val="00B662EC"/>
    <w:rsid w:val="00B66330"/>
    <w:rsid w:val="00B6653D"/>
    <w:rsid w:val="00B66E31"/>
    <w:rsid w:val="00B67923"/>
    <w:rsid w:val="00B70599"/>
    <w:rsid w:val="00B7069F"/>
    <w:rsid w:val="00B70E1C"/>
    <w:rsid w:val="00B70ECC"/>
    <w:rsid w:val="00B710D5"/>
    <w:rsid w:val="00B7150A"/>
    <w:rsid w:val="00B72019"/>
    <w:rsid w:val="00B7216F"/>
    <w:rsid w:val="00B72454"/>
    <w:rsid w:val="00B729DD"/>
    <w:rsid w:val="00B72B8C"/>
    <w:rsid w:val="00B7307D"/>
    <w:rsid w:val="00B73A2D"/>
    <w:rsid w:val="00B73CC9"/>
    <w:rsid w:val="00B73CE7"/>
    <w:rsid w:val="00B73E41"/>
    <w:rsid w:val="00B7435F"/>
    <w:rsid w:val="00B74388"/>
    <w:rsid w:val="00B744D1"/>
    <w:rsid w:val="00B74586"/>
    <w:rsid w:val="00B74746"/>
    <w:rsid w:val="00B74756"/>
    <w:rsid w:val="00B7499F"/>
    <w:rsid w:val="00B74C7B"/>
    <w:rsid w:val="00B75071"/>
    <w:rsid w:val="00B750EB"/>
    <w:rsid w:val="00B7518A"/>
    <w:rsid w:val="00B7527F"/>
    <w:rsid w:val="00B758E9"/>
    <w:rsid w:val="00B76119"/>
    <w:rsid w:val="00B763D3"/>
    <w:rsid w:val="00B765CA"/>
    <w:rsid w:val="00B76682"/>
    <w:rsid w:val="00B76851"/>
    <w:rsid w:val="00B76E16"/>
    <w:rsid w:val="00B771F0"/>
    <w:rsid w:val="00B7737B"/>
    <w:rsid w:val="00B773FE"/>
    <w:rsid w:val="00B775FA"/>
    <w:rsid w:val="00B77DAF"/>
    <w:rsid w:val="00B77DF9"/>
    <w:rsid w:val="00B77F50"/>
    <w:rsid w:val="00B77F65"/>
    <w:rsid w:val="00B80265"/>
    <w:rsid w:val="00B81330"/>
    <w:rsid w:val="00B8192A"/>
    <w:rsid w:val="00B819FE"/>
    <w:rsid w:val="00B81C3C"/>
    <w:rsid w:val="00B81C8C"/>
    <w:rsid w:val="00B81C98"/>
    <w:rsid w:val="00B81FE9"/>
    <w:rsid w:val="00B820F1"/>
    <w:rsid w:val="00B82352"/>
    <w:rsid w:val="00B823AD"/>
    <w:rsid w:val="00B82589"/>
    <w:rsid w:val="00B82B1F"/>
    <w:rsid w:val="00B8306F"/>
    <w:rsid w:val="00B832D0"/>
    <w:rsid w:val="00B8365C"/>
    <w:rsid w:val="00B839D5"/>
    <w:rsid w:val="00B83B01"/>
    <w:rsid w:val="00B8414D"/>
    <w:rsid w:val="00B84369"/>
    <w:rsid w:val="00B84981"/>
    <w:rsid w:val="00B850F4"/>
    <w:rsid w:val="00B855E8"/>
    <w:rsid w:val="00B85912"/>
    <w:rsid w:val="00B861C4"/>
    <w:rsid w:val="00B8632F"/>
    <w:rsid w:val="00B86346"/>
    <w:rsid w:val="00B868ED"/>
    <w:rsid w:val="00B86980"/>
    <w:rsid w:val="00B86D20"/>
    <w:rsid w:val="00B86D3B"/>
    <w:rsid w:val="00B86F57"/>
    <w:rsid w:val="00B877B1"/>
    <w:rsid w:val="00B877E4"/>
    <w:rsid w:val="00B87D56"/>
    <w:rsid w:val="00B87F4B"/>
    <w:rsid w:val="00B90267"/>
    <w:rsid w:val="00B903C8"/>
    <w:rsid w:val="00B90DE8"/>
    <w:rsid w:val="00B90E83"/>
    <w:rsid w:val="00B917E2"/>
    <w:rsid w:val="00B917E9"/>
    <w:rsid w:val="00B919A1"/>
    <w:rsid w:val="00B91B1F"/>
    <w:rsid w:val="00B91DBF"/>
    <w:rsid w:val="00B92029"/>
    <w:rsid w:val="00B92074"/>
    <w:rsid w:val="00B92446"/>
    <w:rsid w:val="00B92A3B"/>
    <w:rsid w:val="00B92B85"/>
    <w:rsid w:val="00B92CC5"/>
    <w:rsid w:val="00B92F45"/>
    <w:rsid w:val="00B93745"/>
    <w:rsid w:val="00B93872"/>
    <w:rsid w:val="00B93A8D"/>
    <w:rsid w:val="00B940AD"/>
    <w:rsid w:val="00B94187"/>
    <w:rsid w:val="00B949DB"/>
    <w:rsid w:val="00B94DD8"/>
    <w:rsid w:val="00B94E6A"/>
    <w:rsid w:val="00B95A6A"/>
    <w:rsid w:val="00B95EF0"/>
    <w:rsid w:val="00B962FD"/>
    <w:rsid w:val="00B9634D"/>
    <w:rsid w:val="00B9676D"/>
    <w:rsid w:val="00B9694B"/>
    <w:rsid w:val="00B96A51"/>
    <w:rsid w:val="00B96E7D"/>
    <w:rsid w:val="00B970F7"/>
    <w:rsid w:val="00B972AA"/>
    <w:rsid w:val="00B97375"/>
    <w:rsid w:val="00BA02AE"/>
    <w:rsid w:val="00BA0A2C"/>
    <w:rsid w:val="00BA0B66"/>
    <w:rsid w:val="00BA11E2"/>
    <w:rsid w:val="00BA123F"/>
    <w:rsid w:val="00BA1248"/>
    <w:rsid w:val="00BA132C"/>
    <w:rsid w:val="00BA1455"/>
    <w:rsid w:val="00BA15A2"/>
    <w:rsid w:val="00BA18A9"/>
    <w:rsid w:val="00BA1AAD"/>
    <w:rsid w:val="00BA1DB0"/>
    <w:rsid w:val="00BA1E9C"/>
    <w:rsid w:val="00BA2250"/>
    <w:rsid w:val="00BA2382"/>
    <w:rsid w:val="00BA2806"/>
    <w:rsid w:val="00BA28FA"/>
    <w:rsid w:val="00BA29EE"/>
    <w:rsid w:val="00BA2C8D"/>
    <w:rsid w:val="00BA2D0F"/>
    <w:rsid w:val="00BA30C2"/>
    <w:rsid w:val="00BA3708"/>
    <w:rsid w:val="00BA3979"/>
    <w:rsid w:val="00BA3984"/>
    <w:rsid w:val="00BA416C"/>
    <w:rsid w:val="00BA46A2"/>
    <w:rsid w:val="00BA47AA"/>
    <w:rsid w:val="00BA488B"/>
    <w:rsid w:val="00BA4907"/>
    <w:rsid w:val="00BA4BE6"/>
    <w:rsid w:val="00BA4E62"/>
    <w:rsid w:val="00BA4FF7"/>
    <w:rsid w:val="00BA54C4"/>
    <w:rsid w:val="00BA5640"/>
    <w:rsid w:val="00BA5645"/>
    <w:rsid w:val="00BA5919"/>
    <w:rsid w:val="00BA5926"/>
    <w:rsid w:val="00BA620B"/>
    <w:rsid w:val="00BA62AC"/>
    <w:rsid w:val="00BA631F"/>
    <w:rsid w:val="00BA6B54"/>
    <w:rsid w:val="00BA7050"/>
    <w:rsid w:val="00BA705D"/>
    <w:rsid w:val="00BA755C"/>
    <w:rsid w:val="00BA7569"/>
    <w:rsid w:val="00BB0133"/>
    <w:rsid w:val="00BB05AA"/>
    <w:rsid w:val="00BB0DF4"/>
    <w:rsid w:val="00BB1116"/>
    <w:rsid w:val="00BB1DAF"/>
    <w:rsid w:val="00BB1F29"/>
    <w:rsid w:val="00BB21FB"/>
    <w:rsid w:val="00BB2BEC"/>
    <w:rsid w:val="00BB2C1F"/>
    <w:rsid w:val="00BB2E51"/>
    <w:rsid w:val="00BB355C"/>
    <w:rsid w:val="00BB4011"/>
    <w:rsid w:val="00BB45FE"/>
    <w:rsid w:val="00BB4A24"/>
    <w:rsid w:val="00BB4CB2"/>
    <w:rsid w:val="00BB528B"/>
    <w:rsid w:val="00BB5664"/>
    <w:rsid w:val="00BB5A8B"/>
    <w:rsid w:val="00BB5F75"/>
    <w:rsid w:val="00BB65C1"/>
    <w:rsid w:val="00BB68FD"/>
    <w:rsid w:val="00BB6C8A"/>
    <w:rsid w:val="00BB6CA0"/>
    <w:rsid w:val="00BB6D74"/>
    <w:rsid w:val="00BB7084"/>
    <w:rsid w:val="00BB74CA"/>
    <w:rsid w:val="00BB78C6"/>
    <w:rsid w:val="00BB7A14"/>
    <w:rsid w:val="00BB7C03"/>
    <w:rsid w:val="00BB7C06"/>
    <w:rsid w:val="00BB7D07"/>
    <w:rsid w:val="00BB7D91"/>
    <w:rsid w:val="00BC00BC"/>
    <w:rsid w:val="00BC024E"/>
    <w:rsid w:val="00BC04BB"/>
    <w:rsid w:val="00BC0642"/>
    <w:rsid w:val="00BC144E"/>
    <w:rsid w:val="00BC157E"/>
    <w:rsid w:val="00BC1F98"/>
    <w:rsid w:val="00BC22A4"/>
    <w:rsid w:val="00BC2878"/>
    <w:rsid w:val="00BC2C6A"/>
    <w:rsid w:val="00BC2C7C"/>
    <w:rsid w:val="00BC2D12"/>
    <w:rsid w:val="00BC2D49"/>
    <w:rsid w:val="00BC37C3"/>
    <w:rsid w:val="00BC37D7"/>
    <w:rsid w:val="00BC3945"/>
    <w:rsid w:val="00BC39BA"/>
    <w:rsid w:val="00BC3F9D"/>
    <w:rsid w:val="00BC40F5"/>
    <w:rsid w:val="00BC4246"/>
    <w:rsid w:val="00BC45B7"/>
    <w:rsid w:val="00BC487A"/>
    <w:rsid w:val="00BC4F79"/>
    <w:rsid w:val="00BC5483"/>
    <w:rsid w:val="00BC5857"/>
    <w:rsid w:val="00BC59B2"/>
    <w:rsid w:val="00BC6681"/>
    <w:rsid w:val="00BC69F0"/>
    <w:rsid w:val="00BC71E5"/>
    <w:rsid w:val="00BC7222"/>
    <w:rsid w:val="00BC765C"/>
    <w:rsid w:val="00BC76DF"/>
    <w:rsid w:val="00BC7733"/>
    <w:rsid w:val="00BC79CD"/>
    <w:rsid w:val="00BC7B04"/>
    <w:rsid w:val="00BC7B73"/>
    <w:rsid w:val="00BC7CA3"/>
    <w:rsid w:val="00BD0069"/>
    <w:rsid w:val="00BD0443"/>
    <w:rsid w:val="00BD0AC1"/>
    <w:rsid w:val="00BD0D7D"/>
    <w:rsid w:val="00BD0ED4"/>
    <w:rsid w:val="00BD1098"/>
    <w:rsid w:val="00BD19F5"/>
    <w:rsid w:val="00BD1ACA"/>
    <w:rsid w:val="00BD2007"/>
    <w:rsid w:val="00BD2156"/>
    <w:rsid w:val="00BD2699"/>
    <w:rsid w:val="00BD27EF"/>
    <w:rsid w:val="00BD2EB6"/>
    <w:rsid w:val="00BD2EDA"/>
    <w:rsid w:val="00BD2F1D"/>
    <w:rsid w:val="00BD3259"/>
    <w:rsid w:val="00BD342E"/>
    <w:rsid w:val="00BD3BC2"/>
    <w:rsid w:val="00BD4314"/>
    <w:rsid w:val="00BD4E5F"/>
    <w:rsid w:val="00BD556A"/>
    <w:rsid w:val="00BD59D1"/>
    <w:rsid w:val="00BD6016"/>
    <w:rsid w:val="00BD6069"/>
    <w:rsid w:val="00BD6A32"/>
    <w:rsid w:val="00BD6A52"/>
    <w:rsid w:val="00BD6D41"/>
    <w:rsid w:val="00BD6E48"/>
    <w:rsid w:val="00BE013D"/>
    <w:rsid w:val="00BE01B3"/>
    <w:rsid w:val="00BE0515"/>
    <w:rsid w:val="00BE0731"/>
    <w:rsid w:val="00BE0813"/>
    <w:rsid w:val="00BE0ADC"/>
    <w:rsid w:val="00BE0DFF"/>
    <w:rsid w:val="00BE17DA"/>
    <w:rsid w:val="00BE1C1B"/>
    <w:rsid w:val="00BE1FDC"/>
    <w:rsid w:val="00BE218E"/>
    <w:rsid w:val="00BE24FA"/>
    <w:rsid w:val="00BE2667"/>
    <w:rsid w:val="00BE26EB"/>
    <w:rsid w:val="00BE2ADA"/>
    <w:rsid w:val="00BE2C17"/>
    <w:rsid w:val="00BE389B"/>
    <w:rsid w:val="00BE3A6E"/>
    <w:rsid w:val="00BE45A2"/>
    <w:rsid w:val="00BE47B4"/>
    <w:rsid w:val="00BE4B94"/>
    <w:rsid w:val="00BE525F"/>
    <w:rsid w:val="00BE5301"/>
    <w:rsid w:val="00BE550C"/>
    <w:rsid w:val="00BE5551"/>
    <w:rsid w:val="00BE567B"/>
    <w:rsid w:val="00BE584D"/>
    <w:rsid w:val="00BE592D"/>
    <w:rsid w:val="00BE5AF0"/>
    <w:rsid w:val="00BE62B2"/>
    <w:rsid w:val="00BE67A0"/>
    <w:rsid w:val="00BE68D5"/>
    <w:rsid w:val="00BE7A14"/>
    <w:rsid w:val="00BE7C28"/>
    <w:rsid w:val="00BF025A"/>
    <w:rsid w:val="00BF02C9"/>
    <w:rsid w:val="00BF0EDC"/>
    <w:rsid w:val="00BF0FD1"/>
    <w:rsid w:val="00BF1003"/>
    <w:rsid w:val="00BF1175"/>
    <w:rsid w:val="00BF12A5"/>
    <w:rsid w:val="00BF12C0"/>
    <w:rsid w:val="00BF236C"/>
    <w:rsid w:val="00BF3A1B"/>
    <w:rsid w:val="00BF4A50"/>
    <w:rsid w:val="00BF4E3A"/>
    <w:rsid w:val="00BF4E89"/>
    <w:rsid w:val="00BF4FC8"/>
    <w:rsid w:val="00BF5284"/>
    <w:rsid w:val="00BF549E"/>
    <w:rsid w:val="00BF583C"/>
    <w:rsid w:val="00BF5FBD"/>
    <w:rsid w:val="00BF64D0"/>
    <w:rsid w:val="00BF6AB3"/>
    <w:rsid w:val="00BF6E07"/>
    <w:rsid w:val="00BF7348"/>
    <w:rsid w:val="00BF7511"/>
    <w:rsid w:val="00BF7B46"/>
    <w:rsid w:val="00C00460"/>
    <w:rsid w:val="00C00523"/>
    <w:rsid w:val="00C00A96"/>
    <w:rsid w:val="00C00C56"/>
    <w:rsid w:val="00C00E35"/>
    <w:rsid w:val="00C01625"/>
    <w:rsid w:val="00C0189A"/>
    <w:rsid w:val="00C01B47"/>
    <w:rsid w:val="00C02706"/>
    <w:rsid w:val="00C028ED"/>
    <w:rsid w:val="00C0294D"/>
    <w:rsid w:val="00C0311F"/>
    <w:rsid w:val="00C032A5"/>
    <w:rsid w:val="00C032E3"/>
    <w:rsid w:val="00C038F4"/>
    <w:rsid w:val="00C03A07"/>
    <w:rsid w:val="00C03CBE"/>
    <w:rsid w:val="00C04566"/>
    <w:rsid w:val="00C048A0"/>
    <w:rsid w:val="00C04A05"/>
    <w:rsid w:val="00C04ABD"/>
    <w:rsid w:val="00C04C3C"/>
    <w:rsid w:val="00C05404"/>
    <w:rsid w:val="00C055CA"/>
    <w:rsid w:val="00C056A3"/>
    <w:rsid w:val="00C05AAC"/>
    <w:rsid w:val="00C05DBB"/>
    <w:rsid w:val="00C05FF7"/>
    <w:rsid w:val="00C06367"/>
    <w:rsid w:val="00C06415"/>
    <w:rsid w:val="00C0656A"/>
    <w:rsid w:val="00C06570"/>
    <w:rsid w:val="00C06683"/>
    <w:rsid w:val="00C07348"/>
    <w:rsid w:val="00C073ED"/>
    <w:rsid w:val="00C07850"/>
    <w:rsid w:val="00C10119"/>
    <w:rsid w:val="00C10A7B"/>
    <w:rsid w:val="00C10C90"/>
    <w:rsid w:val="00C112B6"/>
    <w:rsid w:val="00C1168C"/>
    <w:rsid w:val="00C1252C"/>
    <w:rsid w:val="00C12531"/>
    <w:rsid w:val="00C12962"/>
    <w:rsid w:val="00C12C1A"/>
    <w:rsid w:val="00C13893"/>
    <w:rsid w:val="00C13A54"/>
    <w:rsid w:val="00C13A80"/>
    <w:rsid w:val="00C13CB0"/>
    <w:rsid w:val="00C13F04"/>
    <w:rsid w:val="00C143E8"/>
    <w:rsid w:val="00C14425"/>
    <w:rsid w:val="00C148EC"/>
    <w:rsid w:val="00C14F64"/>
    <w:rsid w:val="00C15255"/>
    <w:rsid w:val="00C15454"/>
    <w:rsid w:val="00C15501"/>
    <w:rsid w:val="00C15C70"/>
    <w:rsid w:val="00C15CBE"/>
    <w:rsid w:val="00C16222"/>
    <w:rsid w:val="00C16738"/>
    <w:rsid w:val="00C16B37"/>
    <w:rsid w:val="00C16BAB"/>
    <w:rsid w:val="00C16E0D"/>
    <w:rsid w:val="00C16E4D"/>
    <w:rsid w:val="00C17994"/>
    <w:rsid w:val="00C200CB"/>
    <w:rsid w:val="00C20134"/>
    <w:rsid w:val="00C212EC"/>
    <w:rsid w:val="00C21739"/>
    <w:rsid w:val="00C21761"/>
    <w:rsid w:val="00C21A7D"/>
    <w:rsid w:val="00C21D12"/>
    <w:rsid w:val="00C21D77"/>
    <w:rsid w:val="00C22266"/>
    <w:rsid w:val="00C22335"/>
    <w:rsid w:val="00C22EB0"/>
    <w:rsid w:val="00C23264"/>
    <w:rsid w:val="00C237CC"/>
    <w:rsid w:val="00C23876"/>
    <w:rsid w:val="00C24385"/>
    <w:rsid w:val="00C24ACC"/>
    <w:rsid w:val="00C24C15"/>
    <w:rsid w:val="00C24D1E"/>
    <w:rsid w:val="00C25244"/>
    <w:rsid w:val="00C25292"/>
    <w:rsid w:val="00C25410"/>
    <w:rsid w:val="00C25726"/>
    <w:rsid w:val="00C2580C"/>
    <w:rsid w:val="00C2595E"/>
    <w:rsid w:val="00C25A62"/>
    <w:rsid w:val="00C25EDE"/>
    <w:rsid w:val="00C267E4"/>
    <w:rsid w:val="00C268CB"/>
    <w:rsid w:val="00C26D87"/>
    <w:rsid w:val="00C270BB"/>
    <w:rsid w:val="00C2714E"/>
    <w:rsid w:val="00C27926"/>
    <w:rsid w:val="00C3048A"/>
    <w:rsid w:val="00C30DA7"/>
    <w:rsid w:val="00C31395"/>
    <w:rsid w:val="00C31833"/>
    <w:rsid w:val="00C32215"/>
    <w:rsid w:val="00C326E7"/>
    <w:rsid w:val="00C329DE"/>
    <w:rsid w:val="00C32B8A"/>
    <w:rsid w:val="00C33BE4"/>
    <w:rsid w:val="00C33D2F"/>
    <w:rsid w:val="00C33E86"/>
    <w:rsid w:val="00C341EA"/>
    <w:rsid w:val="00C34344"/>
    <w:rsid w:val="00C34346"/>
    <w:rsid w:val="00C34733"/>
    <w:rsid w:val="00C34FE5"/>
    <w:rsid w:val="00C357A0"/>
    <w:rsid w:val="00C35FD9"/>
    <w:rsid w:val="00C363FE"/>
    <w:rsid w:val="00C36AE7"/>
    <w:rsid w:val="00C36BB9"/>
    <w:rsid w:val="00C37219"/>
    <w:rsid w:val="00C372FD"/>
    <w:rsid w:val="00C375CE"/>
    <w:rsid w:val="00C37633"/>
    <w:rsid w:val="00C3782F"/>
    <w:rsid w:val="00C40CF3"/>
    <w:rsid w:val="00C40D09"/>
    <w:rsid w:val="00C40EC5"/>
    <w:rsid w:val="00C40EDA"/>
    <w:rsid w:val="00C41420"/>
    <w:rsid w:val="00C4144C"/>
    <w:rsid w:val="00C41656"/>
    <w:rsid w:val="00C41699"/>
    <w:rsid w:val="00C416D9"/>
    <w:rsid w:val="00C418E6"/>
    <w:rsid w:val="00C42575"/>
    <w:rsid w:val="00C42762"/>
    <w:rsid w:val="00C42ADF"/>
    <w:rsid w:val="00C439CA"/>
    <w:rsid w:val="00C43A01"/>
    <w:rsid w:val="00C44782"/>
    <w:rsid w:val="00C44929"/>
    <w:rsid w:val="00C44B2C"/>
    <w:rsid w:val="00C44BBD"/>
    <w:rsid w:val="00C44DD6"/>
    <w:rsid w:val="00C4504E"/>
    <w:rsid w:val="00C46503"/>
    <w:rsid w:val="00C4692B"/>
    <w:rsid w:val="00C46C00"/>
    <w:rsid w:val="00C46DB5"/>
    <w:rsid w:val="00C46F8E"/>
    <w:rsid w:val="00C4739E"/>
    <w:rsid w:val="00C47456"/>
    <w:rsid w:val="00C47E6D"/>
    <w:rsid w:val="00C50121"/>
    <w:rsid w:val="00C501DF"/>
    <w:rsid w:val="00C50DD1"/>
    <w:rsid w:val="00C50F86"/>
    <w:rsid w:val="00C51D59"/>
    <w:rsid w:val="00C529A4"/>
    <w:rsid w:val="00C52DBB"/>
    <w:rsid w:val="00C52F3D"/>
    <w:rsid w:val="00C532F2"/>
    <w:rsid w:val="00C5341E"/>
    <w:rsid w:val="00C53A78"/>
    <w:rsid w:val="00C53C74"/>
    <w:rsid w:val="00C53FB6"/>
    <w:rsid w:val="00C540A6"/>
    <w:rsid w:val="00C5485F"/>
    <w:rsid w:val="00C55CC7"/>
    <w:rsid w:val="00C55D46"/>
    <w:rsid w:val="00C55E1E"/>
    <w:rsid w:val="00C56667"/>
    <w:rsid w:val="00C5785E"/>
    <w:rsid w:val="00C57AA9"/>
    <w:rsid w:val="00C57EA7"/>
    <w:rsid w:val="00C57FAE"/>
    <w:rsid w:val="00C60122"/>
    <w:rsid w:val="00C606A7"/>
    <w:rsid w:val="00C609E4"/>
    <w:rsid w:val="00C60F47"/>
    <w:rsid w:val="00C612F1"/>
    <w:rsid w:val="00C61564"/>
    <w:rsid w:val="00C618C5"/>
    <w:rsid w:val="00C620E2"/>
    <w:rsid w:val="00C6220E"/>
    <w:rsid w:val="00C62755"/>
    <w:rsid w:val="00C629D0"/>
    <w:rsid w:val="00C62A5B"/>
    <w:rsid w:val="00C62C8A"/>
    <w:rsid w:val="00C631F1"/>
    <w:rsid w:val="00C6331D"/>
    <w:rsid w:val="00C633F9"/>
    <w:rsid w:val="00C635BE"/>
    <w:rsid w:val="00C6360E"/>
    <w:rsid w:val="00C63C75"/>
    <w:rsid w:val="00C64014"/>
    <w:rsid w:val="00C640EE"/>
    <w:rsid w:val="00C642D1"/>
    <w:rsid w:val="00C6455E"/>
    <w:rsid w:val="00C64DCB"/>
    <w:rsid w:val="00C65A41"/>
    <w:rsid w:val="00C65A4C"/>
    <w:rsid w:val="00C65CF4"/>
    <w:rsid w:val="00C66896"/>
    <w:rsid w:val="00C6690B"/>
    <w:rsid w:val="00C671DF"/>
    <w:rsid w:val="00C6736E"/>
    <w:rsid w:val="00C67893"/>
    <w:rsid w:val="00C67BBD"/>
    <w:rsid w:val="00C70105"/>
    <w:rsid w:val="00C70350"/>
    <w:rsid w:val="00C70529"/>
    <w:rsid w:val="00C70811"/>
    <w:rsid w:val="00C7081F"/>
    <w:rsid w:val="00C70BDB"/>
    <w:rsid w:val="00C70FB1"/>
    <w:rsid w:val="00C7103B"/>
    <w:rsid w:val="00C7118D"/>
    <w:rsid w:val="00C711E7"/>
    <w:rsid w:val="00C7124E"/>
    <w:rsid w:val="00C7130C"/>
    <w:rsid w:val="00C71715"/>
    <w:rsid w:val="00C71943"/>
    <w:rsid w:val="00C72012"/>
    <w:rsid w:val="00C729FF"/>
    <w:rsid w:val="00C72D1D"/>
    <w:rsid w:val="00C7311A"/>
    <w:rsid w:val="00C73F5E"/>
    <w:rsid w:val="00C7408F"/>
    <w:rsid w:val="00C74762"/>
    <w:rsid w:val="00C74CB7"/>
    <w:rsid w:val="00C75018"/>
    <w:rsid w:val="00C752F0"/>
    <w:rsid w:val="00C75938"/>
    <w:rsid w:val="00C75BDE"/>
    <w:rsid w:val="00C75D99"/>
    <w:rsid w:val="00C760E0"/>
    <w:rsid w:val="00C76156"/>
    <w:rsid w:val="00C76205"/>
    <w:rsid w:val="00C7620E"/>
    <w:rsid w:val="00C765E2"/>
    <w:rsid w:val="00C766C4"/>
    <w:rsid w:val="00C76EC5"/>
    <w:rsid w:val="00C76F7C"/>
    <w:rsid w:val="00C771E5"/>
    <w:rsid w:val="00C771EB"/>
    <w:rsid w:val="00C7772C"/>
    <w:rsid w:val="00C801DB"/>
    <w:rsid w:val="00C80773"/>
    <w:rsid w:val="00C80C26"/>
    <w:rsid w:val="00C80D92"/>
    <w:rsid w:val="00C81C8C"/>
    <w:rsid w:val="00C82A6A"/>
    <w:rsid w:val="00C82E14"/>
    <w:rsid w:val="00C83343"/>
    <w:rsid w:val="00C839F9"/>
    <w:rsid w:val="00C83A90"/>
    <w:rsid w:val="00C83B7A"/>
    <w:rsid w:val="00C83BFD"/>
    <w:rsid w:val="00C83D42"/>
    <w:rsid w:val="00C841CA"/>
    <w:rsid w:val="00C842A4"/>
    <w:rsid w:val="00C84632"/>
    <w:rsid w:val="00C8467D"/>
    <w:rsid w:val="00C84BE6"/>
    <w:rsid w:val="00C84EA6"/>
    <w:rsid w:val="00C84FC1"/>
    <w:rsid w:val="00C851E7"/>
    <w:rsid w:val="00C85286"/>
    <w:rsid w:val="00C85B5E"/>
    <w:rsid w:val="00C8635F"/>
    <w:rsid w:val="00C86440"/>
    <w:rsid w:val="00C865AD"/>
    <w:rsid w:val="00C86844"/>
    <w:rsid w:val="00C87015"/>
    <w:rsid w:val="00C8702A"/>
    <w:rsid w:val="00C87AEA"/>
    <w:rsid w:val="00C87C39"/>
    <w:rsid w:val="00C87F40"/>
    <w:rsid w:val="00C900B4"/>
    <w:rsid w:val="00C9025E"/>
    <w:rsid w:val="00C90A40"/>
    <w:rsid w:val="00C90BF3"/>
    <w:rsid w:val="00C90DDB"/>
    <w:rsid w:val="00C90EA2"/>
    <w:rsid w:val="00C90F47"/>
    <w:rsid w:val="00C91DF6"/>
    <w:rsid w:val="00C9248A"/>
    <w:rsid w:val="00C92DB0"/>
    <w:rsid w:val="00C931CD"/>
    <w:rsid w:val="00C9329A"/>
    <w:rsid w:val="00C93301"/>
    <w:rsid w:val="00C937D0"/>
    <w:rsid w:val="00C93FD1"/>
    <w:rsid w:val="00C9409E"/>
    <w:rsid w:val="00C94360"/>
    <w:rsid w:val="00C94484"/>
    <w:rsid w:val="00C947BD"/>
    <w:rsid w:val="00C947C9"/>
    <w:rsid w:val="00C94845"/>
    <w:rsid w:val="00C949B0"/>
    <w:rsid w:val="00C94F5B"/>
    <w:rsid w:val="00C959F2"/>
    <w:rsid w:val="00C95B62"/>
    <w:rsid w:val="00C95D05"/>
    <w:rsid w:val="00C9621E"/>
    <w:rsid w:val="00C96270"/>
    <w:rsid w:val="00C96361"/>
    <w:rsid w:val="00C96610"/>
    <w:rsid w:val="00C9667E"/>
    <w:rsid w:val="00C96C74"/>
    <w:rsid w:val="00C978D9"/>
    <w:rsid w:val="00C97926"/>
    <w:rsid w:val="00C97EAA"/>
    <w:rsid w:val="00C97F84"/>
    <w:rsid w:val="00CA01C4"/>
    <w:rsid w:val="00CA02CA"/>
    <w:rsid w:val="00CA050E"/>
    <w:rsid w:val="00CA0528"/>
    <w:rsid w:val="00CA05AE"/>
    <w:rsid w:val="00CA0BF2"/>
    <w:rsid w:val="00CA0D7D"/>
    <w:rsid w:val="00CA1199"/>
    <w:rsid w:val="00CA1F68"/>
    <w:rsid w:val="00CA270B"/>
    <w:rsid w:val="00CA272B"/>
    <w:rsid w:val="00CA2B26"/>
    <w:rsid w:val="00CA2D1A"/>
    <w:rsid w:val="00CA37F5"/>
    <w:rsid w:val="00CA394B"/>
    <w:rsid w:val="00CA3B33"/>
    <w:rsid w:val="00CA4365"/>
    <w:rsid w:val="00CA4A47"/>
    <w:rsid w:val="00CA4CA5"/>
    <w:rsid w:val="00CA4CA6"/>
    <w:rsid w:val="00CA506B"/>
    <w:rsid w:val="00CA565A"/>
    <w:rsid w:val="00CA589D"/>
    <w:rsid w:val="00CA5D63"/>
    <w:rsid w:val="00CA61AC"/>
    <w:rsid w:val="00CA672F"/>
    <w:rsid w:val="00CA6794"/>
    <w:rsid w:val="00CA6907"/>
    <w:rsid w:val="00CA6B7E"/>
    <w:rsid w:val="00CA6D8A"/>
    <w:rsid w:val="00CA7BD7"/>
    <w:rsid w:val="00CA7C1B"/>
    <w:rsid w:val="00CA7C26"/>
    <w:rsid w:val="00CA7F10"/>
    <w:rsid w:val="00CB01C2"/>
    <w:rsid w:val="00CB07D7"/>
    <w:rsid w:val="00CB1287"/>
    <w:rsid w:val="00CB157B"/>
    <w:rsid w:val="00CB17F1"/>
    <w:rsid w:val="00CB19B3"/>
    <w:rsid w:val="00CB1AB3"/>
    <w:rsid w:val="00CB21CC"/>
    <w:rsid w:val="00CB2794"/>
    <w:rsid w:val="00CB29DC"/>
    <w:rsid w:val="00CB3701"/>
    <w:rsid w:val="00CB3734"/>
    <w:rsid w:val="00CB3A2F"/>
    <w:rsid w:val="00CB3B94"/>
    <w:rsid w:val="00CB49EA"/>
    <w:rsid w:val="00CB4B78"/>
    <w:rsid w:val="00CB4FC3"/>
    <w:rsid w:val="00CB5140"/>
    <w:rsid w:val="00CB5BAF"/>
    <w:rsid w:val="00CB6059"/>
    <w:rsid w:val="00CB6101"/>
    <w:rsid w:val="00CB6559"/>
    <w:rsid w:val="00CB6A30"/>
    <w:rsid w:val="00CB6CF2"/>
    <w:rsid w:val="00CB752E"/>
    <w:rsid w:val="00CB7938"/>
    <w:rsid w:val="00CB7A1C"/>
    <w:rsid w:val="00CB7CD2"/>
    <w:rsid w:val="00CB7F39"/>
    <w:rsid w:val="00CC0688"/>
    <w:rsid w:val="00CC0F35"/>
    <w:rsid w:val="00CC188E"/>
    <w:rsid w:val="00CC1B9F"/>
    <w:rsid w:val="00CC1D01"/>
    <w:rsid w:val="00CC1D64"/>
    <w:rsid w:val="00CC2FC9"/>
    <w:rsid w:val="00CC30BB"/>
    <w:rsid w:val="00CC34F0"/>
    <w:rsid w:val="00CC3AF7"/>
    <w:rsid w:val="00CC3CE4"/>
    <w:rsid w:val="00CC3F64"/>
    <w:rsid w:val="00CC4316"/>
    <w:rsid w:val="00CC44DD"/>
    <w:rsid w:val="00CC455C"/>
    <w:rsid w:val="00CC4D32"/>
    <w:rsid w:val="00CC4DE8"/>
    <w:rsid w:val="00CC5382"/>
    <w:rsid w:val="00CC546E"/>
    <w:rsid w:val="00CC5A56"/>
    <w:rsid w:val="00CC5CB3"/>
    <w:rsid w:val="00CC5E2A"/>
    <w:rsid w:val="00CC6220"/>
    <w:rsid w:val="00CC67FE"/>
    <w:rsid w:val="00CC68F6"/>
    <w:rsid w:val="00CC6E35"/>
    <w:rsid w:val="00CC7284"/>
    <w:rsid w:val="00CC79F1"/>
    <w:rsid w:val="00CC7F38"/>
    <w:rsid w:val="00CC7FD9"/>
    <w:rsid w:val="00CD0350"/>
    <w:rsid w:val="00CD04F2"/>
    <w:rsid w:val="00CD12B1"/>
    <w:rsid w:val="00CD213D"/>
    <w:rsid w:val="00CD2852"/>
    <w:rsid w:val="00CD290C"/>
    <w:rsid w:val="00CD2AD9"/>
    <w:rsid w:val="00CD2B8C"/>
    <w:rsid w:val="00CD3C57"/>
    <w:rsid w:val="00CD3E9D"/>
    <w:rsid w:val="00CD41D5"/>
    <w:rsid w:val="00CD430F"/>
    <w:rsid w:val="00CD4769"/>
    <w:rsid w:val="00CD4798"/>
    <w:rsid w:val="00CD53CD"/>
    <w:rsid w:val="00CD5646"/>
    <w:rsid w:val="00CD5657"/>
    <w:rsid w:val="00CD574A"/>
    <w:rsid w:val="00CD57B7"/>
    <w:rsid w:val="00CD5FB4"/>
    <w:rsid w:val="00CD6063"/>
    <w:rsid w:val="00CD6298"/>
    <w:rsid w:val="00CD62A7"/>
    <w:rsid w:val="00CD62DD"/>
    <w:rsid w:val="00CD6775"/>
    <w:rsid w:val="00CD69F4"/>
    <w:rsid w:val="00CD6C68"/>
    <w:rsid w:val="00CD7176"/>
    <w:rsid w:val="00CD7394"/>
    <w:rsid w:val="00CD78E2"/>
    <w:rsid w:val="00CD7B9B"/>
    <w:rsid w:val="00CD7C88"/>
    <w:rsid w:val="00CD7FF7"/>
    <w:rsid w:val="00CE0511"/>
    <w:rsid w:val="00CE0569"/>
    <w:rsid w:val="00CE10B2"/>
    <w:rsid w:val="00CE15EC"/>
    <w:rsid w:val="00CE15EE"/>
    <w:rsid w:val="00CE17CB"/>
    <w:rsid w:val="00CE188B"/>
    <w:rsid w:val="00CE1AAF"/>
    <w:rsid w:val="00CE1D04"/>
    <w:rsid w:val="00CE2031"/>
    <w:rsid w:val="00CE2420"/>
    <w:rsid w:val="00CE245C"/>
    <w:rsid w:val="00CE279A"/>
    <w:rsid w:val="00CE2B57"/>
    <w:rsid w:val="00CE2B9D"/>
    <w:rsid w:val="00CE2CB7"/>
    <w:rsid w:val="00CE301B"/>
    <w:rsid w:val="00CE3153"/>
    <w:rsid w:val="00CE3159"/>
    <w:rsid w:val="00CE373C"/>
    <w:rsid w:val="00CE3988"/>
    <w:rsid w:val="00CE3A05"/>
    <w:rsid w:val="00CE45AF"/>
    <w:rsid w:val="00CE4C8A"/>
    <w:rsid w:val="00CE4DBA"/>
    <w:rsid w:val="00CE4E84"/>
    <w:rsid w:val="00CE5495"/>
    <w:rsid w:val="00CE5A5C"/>
    <w:rsid w:val="00CE60FC"/>
    <w:rsid w:val="00CE616E"/>
    <w:rsid w:val="00CE64F1"/>
    <w:rsid w:val="00CE65EA"/>
    <w:rsid w:val="00CE66CD"/>
    <w:rsid w:val="00CE6E11"/>
    <w:rsid w:val="00CE743D"/>
    <w:rsid w:val="00CE75B6"/>
    <w:rsid w:val="00CE76EF"/>
    <w:rsid w:val="00CE7707"/>
    <w:rsid w:val="00CE7EDB"/>
    <w:rsid w:val="00CF0318"/>
    <w:rsid w:val="00CF03F9"/>
    <w:rsid w:val="00CF04DD"/>
    <w:rsid w:val="00CF0591"/>
    <w:rsid w:val="00CF06E0"/>
    <w:rsid w:val="00CF0758"/>
    <w:rsid w:val="00CF0EC1"/>
    <w:rsid w:val="00CF10A7"/>
    <w:rsid w:val="00CF13C6"/>
    <w:rsid w:val="00CF1AD6"/>
    <w:rsid w:val="00CF1AE8"/>
    <w:rsid w:val="00CF1EAB"/>
    <w:rsid w:val="00CF2523"/>
    <w:rsid w:val="00CF2689"/>
    <w:rsid w:val="00CF273A"/>
    <w:rsid w:val="00CF2791"/>
    <w:rsid w:val="00CF2803"/>
    <w:rsid w:val="00CF3302"/>
    <w:rsid w:val="00CF3775"/>
    <w:rsid w:val="00CF380B"/>
    <w:rsid w:val="00CF3EBB"/>
    <w:rsid w:val="00CF3F18"/>
    <w:rsid w:val="00CF4077"/>
    <w:rsid w:val="00CF444D"/>
    <w:rsid w:val="00CF45AD"/>
    <w:rsid w:val="00CF46E9"/>
    <w:rsid w:val="00CF49E6"/>
    <w:rsid w:val="00CF4A70"/>
    <w:rsid w:val="00CF4B2B"/>
    <w:rsid w:val="00CF4BC5"/>
    <w:rsid w:val="00CF4E0E"/>
    <w:rsid w:val="00CF4F1C"/>
    <w:rsid w:val="00CF5103"/>
    <w:rsid w:val="00CF52A5"/>
    <w:rsid w:val="00CF5339"/>
    <w:rsid w:val="00CF56A4"/>
    <w:rsid w:val="00CF6001"/>
    <w:rsid w:val="00CF6C6C"/>
    <w:rsid w:val="00CF73A9"/>
    <w:rsid w:val="00CF7CE7"/>
    <w:rsid w:val="00CF7E8C"/>
    <w:rsid w:val="00D004E6"/>
    <w:rsid w:val="00D00B3D"/>
    <w:rsid w:val="00D01349"/>
    <w:rsid w:val="00D0134A"/>
    <w:rsid w:val="00D0135C"/>
    <w:rsid w:val="00D014FE"/>
    <w:rsid w:val="00D016EF"/>
    <w:rsid w:val="00D019C7"/>
    <w:rsid w:val="00D01D40"/>
    <w:rsid w:val="00D02724"/>
    <w:rsid w:val="00D02A8D"/>
    <w:rsid w:val="00D02BC8"/>
    <w:rsid w:val="00D02DF0"/>
    <w:rsid w:val="00D02F0C"/>
    <w:rsid w:val="00D0301D"/>
    <w:rsid w:val="00D03085"/>
    <w:rsid w:val="00D039F4"/>
    <w:rsid w:val="00D040D8"/>
    <w:rsid w:val="00D04175"/>
    <w:rsid w:val="00D0438B"/>
    <w:rsid w:val="00D04EF5"/>
    <w:rsid w:val="00D05591"/>
    <w:rsid w:val="00D055E1"/>
    <w:rsid w:val="00D05A04"/>
    <w:rsid w:val="00D05A50"/>
    <w:rsid w:val="00D069C6"/>
    <w:rsid w:val="00D06A9C"/>
    <w:rsid w:val="00D06AC4"/>
    <w:rsid w:val="00D07293"/>
    <w:rsid w:val="00D078C8"/>
    <w:rsid w:val="00D07B30"/>
    <w:rsid w:val="00D07D4F"/>
    <w:rsid w:val="00D10495"/>
    <w:rsid w:val="00D10690"/>
    <w:rsid w:val="00D10FE1"/>
    <w:rsid w:val="00D1104A"/>
    <w:rsid w:val="00D116CD"/>
    <w:rsid w:val="00D1174B"/>
    <w:rsid w:val="00D118F3"/>
    <w:rsid w:val="00D1252D"/>
    <w:rsid w:val="00D128E9"/>
    <w:rsid w:val="00D12BDB"/>
    <w:rsid w:val="00D12C9A"/>
    <w:rsid w:val="00D12D92"/>
    <w:rsid w:val="00D12FC6"/>
    <w:rsid w:val="00D135A8"/>
    <w:rsid w:val="00D1361A"/>
    <w:rsid w:val="00D136D9"/>
    <w:rsid w:val="00D137C4"/>
    <w:rsid w:val="00D138EA"/>
    <w:rsid w:val="00D139A5"/>
    <w:rsid w:val="00D13C89"/>
    <w:rsid w:val="00D13F73"/>
    <w:rsid w:val="00D1419F"/>
    <w:rsid w:val="00D14279"/>
    <w:rsid w:val="00D142C4"/>
    <w:rsid w:val="00D14333"/>
    <w:rsid w:val="00D14491"/>
    <w:rsid w:val="00D145FA"/>
    <w:rsid w:val="00D1479F"/>
    <w:rsid w:val="00D14E07"/>
    <w:rsid w:val="00D15061"/>
    <w:rsid w:val="00D150C0"/>
    <w:rsid w:val="00D15325"/>
    <w:rsid w:val="00D154FF"/>
    <w:rsid w:val="00D1569B"/>
    <w:rsid w:val="00D15C58"/>
    <w:rsid w:val="00D16BC9"/>
    <w:rsid w:val="00D16CCF"/>
    <w:rsid w:val="00D16E24"/>
    <w:rsid w:val="00D16EA6"/>
    <w:rsid w:val="00D17150"/>
    <w:rsid w:val="00D17344"/>
    <w:rsid w:val="00D17943"/>
    <w:rsid w:val="00D201C5"/>
    <w:rsid w:val="00D20823"/>
    <w:rsid w:val="00D20AD9"/>
    <w:rsid w:val="00D20E71"/>
    <w:rsid w:val="00D21A31"/>
    <w:rsid w:val="00D21E94"/>
    <w:rsid w:val="00D2247B"/>
    <w:rsid w:val="00D23155"/>
    <w:rsid w:val="00D239A8"/>
    <w:rsid w:val="00D23BD9"/>
    <w:rsid w:val="00D23C95"/>
    <w:rsid w:val="00D23F6D"/>
    <w:rsid w:val="00D24E83"/>
    <w:rsid w:val="00D25F22"/>
    <w:rsid w:val="00D25F39"/>
    <w:rsid w:val="00D2639B"/>
    <w:rsid w:val="00D26E3D"/>
    <w:rsid w:val="00D27305"/>
    <w:rsid w:val="00D2741B"/>
    <w:rsid w:val="00D2766D"/>
    <w:rsid w:val="00D27EA5"/>
    <w:rsid w:val="00D27FCD"/>
    <w:rsid w:val="00D3011A"/>
    <w:rsid w:val="00D3025F"/>
    <w:rsid w:val="00D3090E"/>
    <w:rsid w:val="00D30B8B"/>
    <w:rsid w:val="00D30CCB"/>
    <w:rsid w:val="00D30D48"/>
    <w:rsid w:val="00D31477"/>
    <w:rsid w:val="00D31D10"/>
    <w:rsid w:val="00D320EB"/>
    <w:rsid w:val="00D3214A"/>
    <w:rsid w:val="00D327BA"/>
    <w:rsid w:val="00D33599"/>
    <w:rsid w:val="00D33744"/>
    <w:rsid w:val="00D33D68"/>
    <w:rsid w:val="00D33E22"/>
    <w:rsid w:val="00D33FBA"/>
    <w:rsid w:val="00D34586"/>
    <w:rsid w:val="00D345D2"/>
    <w:rsid w:val="00D34EAF"/>
    <w:rsid w:val="00D35087"/>
    <w:rsid w:val="00D35A22"/>
    <w:rsid w:val="00D35A74"/>
    <w:rsid w:val="00D35C04"/>
    <w:rsid w:val="00D35D82"/>
    <w:rsid w:val="00D35E10"/>
    <w:rsid w:val="00D36164"/>
    <w:rsid w:val="00D363BC"/>
    <w:rsid w:val="00D36518"/>
    <w:rsid w:val="00D36ACC"/>
    <w:rsid w:val="00D36CAC"/>
    <w:rsid w:val="00D370FA"/>
    <w:rsid w:val="00D37713"/>
    <w:rsid w:val="00D37761"/>
    <w:rsid w:val="00D37998"/>
    <w:rsid w:val="00D37D39"/>
    <w:rsid w:val="00D401B7"/>
    <w:rsid w:val="00D40231"/>
    <w:rsid w:val="00D404E1"/>
    <w:rsid w:val="00D404FD"/>
    <w:rsid w:val="00D4076A"/>
    <w:rsid w:val="00D40C52"/>
    <w:rsid w:val="00D40C53"/>
    <w:rsid w:val="00D41064"/>
    <w:rsid w:val="00D417FD"/>
    <w:rsid w:val="00D41899"/>
    <w:rsid w:val="00D4190D"/>
    <w:rsid w:val="00D41C79"/>
    <w:rsid w:val="00D42181"/>
    <w:rsid w:val="00D431CC"/>
    <w:rsid w:val="00D433BC"/>
    <w:rsid w:val="00D43685"/>
    <w:rsid w:val="00D438A7"/>
    <w:rsid w:val="00D438BB"/>
    <w:rsid w:val="00D43DAF"/>
    <w:rsid w:val="00D43E52"/>
    <w:rsid w:val="00D43EED"/>
    <w:rsid w:val="00D44692"/>
    <w:rsid w:val="00D446AF"/>
    <w:rsid w:val="00D447D2"/>
    <w:rsid w:val="00D44E69"/>
    <w:rsid w:val="00D458E4"/>
    <w:rsid w:val="00D45ADF"/>
    <w:rsid w:val="00D45C7C"/>
    <w:rsid w:val="00D45D31"/>
    <w:rsid w:val="00D46021"/>
    <w:rsid w:val="00D461EC"/>
    <w:rsid w:val="00D46489"/>
    <w:rsid w:val="00D4666B"/>
    <w:rsid w:val="00D46914"/>
    <w:rsid w:val="00D46A3B"/>
    <w:rsid w:val="00D46CE9"/>
    <w:rsid w:val="00D46F62"/>
    <w:rsid w:val="00D472A9"/>
    <w:rsid w:val="00D47326"/>
    <w:rsid w:val="00D47B28"/>
    <w:rsid w:val="00D501D6"/>
    <w:rsid w:val="00D51196"/>
    <w:rsid w:val="00D51232"/>
    <w:rsid w:val="00D512FF"/>
    <w:rsid w:val="00D51E74"/>
    <w:rsid w:val="00D51F82"/>
    <w:rsid w:val="00D52787"/>
    <w:rsid w:val="00D527BA"/>
    <w:rsid w:val="00D527CA"/>
    <w:rsid w:val="00D52A20"/>
    <w:rsid w:val="00D533AB"/>
    <w:rsid w:val="00D53560"/>
    <w:rsid w:val="00D53661"/>
    <w:rsid w:val="00D538C4"/>
    <w:rsid w:val="00D53942"/>
    <w:rsid w:val="00D53EF2"/>
    <w:rsid w:val="00D54058"/>
    <w:rsid w:val="00D5464A"/>
    <w:rsid w:val="00D546FC"/>
    <w:rsid w:val="00D5484D"/>
    <w:rsid w:val="00D55730"/>
    <w:rsid w:val="00D55B7A"/>
    <w:rsid w:val="00D56245"/>
    <w:rsid w:val="00D563A1"/>
    <w:rsid w:val="00D56BF9"/>
    <w:rsid w:val="00D571FA"/>
    <w:rsid w:val="00D57863"/>
    <w:rsid w:val="00D60149"/>
    <w:rsid w:val="00D60541"/>
    <w:rsid w:val="00D60596"/>
    <w:rsid w:val="00D6092D"/>
    <w:rsid w:val="00D60A94"/>
    <w:rsid w:val="00D61624"/>
    <w:rsid w:val="00D616A2"/>
    <w:rsid w:val="00D6180B"/>
    <w:rsid w:val="00D6191E"/>
    <w:rsid w:val="00D61D73"/>
    <w:rsid w:val="00D62043"/>
    <w:rsid w:val="00D62339"/>
    <w:rsid w:val="00D6288F"/>
    <w:rsid w:val="00D629D5"/>
    <w:rsid w:val="00D62F34"/>
    <w:rsid w:val="00D62FB6"/>
    <w:rsid w:val="00D63325"/>
    <w:rsid w:val="00D63530"/>
    <w:rsid w:val="00D635F6"/>
    <w:rsid w:val="00D641A1"/>
    <w:rsid w:val="00D642FD"/>
    <w:rsid w:val="00D648B3"/>
    <w:rsid w:val="00D64B7F"/>
    <w:rsid w:val="00D651B2"/>
    <w:rsid w:val="00D65604"/>
    <w:rsid w:val="00D6599F"/>
    <w:rsid w:val="00D668EF"/>
    <w:rsid w:val="00D66EDC"/>
    <w:rsid w:val="00D672C2"/>
    <w:rsid w:val="00D6762B"/>
    <w:rsid w:val="00D67941"/>
    <w:rsid w:val="00D67B48"/>
    <w:rsid w:val="00D67D62"/>
    <w:rsid w:val="00D67FF7"/>
    <w:rsid w:val="00D711D8"/>
    <w:rsid w:val="00D715AF"/>
    <w:rsid w:val="00D71612"/>
    <w:rsid w:val="00D716E4"/>
    <w:rsid w:val="00D71D4A"/>
    <w:rsid w:val="00D72538"/>
    <w:rsid w:val="00D72A04"/>
    <w:rsid w:val="00D72B36"/>
    <w:rsid w:val="00D732A7"/>
    <w:rsid w:val="00D732DA"/>
    <w:rsid w:val="00D73447"/>
    <w:rsid w:val="00D734A0"/>
    <w:rsid w:val="00D73963"/>
    <w:rsid w:val="00D73A1B"/>
    <w:rsid w:val="00D740C1"/>
    <w:rsid w:val="00D7498C"/>
    <w:rsid w:val="00D74A63"/>
    <w:rsid w:val="00D75402"/>
    <w:rsid w:val="00D75C58"/>
    <w:rsid w:val="00D76144"/>
    <w:rsid w:val="00D76355"/>
    <w:rsid w:val="00D76980"/>
    <w:rsid w:val="00D76B48"/>
    <w:rsid w:val="00D76CC5"/>
    <w:rsid w:val="00D76DD3"/>
    <w:rsid w:val="00D77023"/>
    <w:rsid w:val="00D77512"/>
    <w:rsid w:val="00D77634"/>
    <w:rsid w:val="00D7777B"/>
    <w:rsid w:val="00D77B99"/>
    <w:rsid w:val="00D77E0C"/>
    <w:rsid w:val="00D77E57"/>
    <w:rsid w:val="00D77FEC"/>
    <w:rsid w:val="00D801FE"/>
    <w:rsid w:val="00D803D7"/>
    <w:rsid w:val="00D80909"/>
    <w:rsid w:val="00D8187E"/>
    <w:rsid w:val="00D819E1"/>
    <w:rsid w:val="00D81C52"/>
    <w:rsid w:val="00D824E4"/>
    <w:rsid w:val="00D828C1"/>
    <w:rsid w:val="00D82A4E"/>
    <w:rsid w:val="00D82A6E"/>
    <w:rsid w:val="00D82DCC"/>
    <w:rsid w:val="00D837E0"/>
    <w:rsid w:val="00D83CA1"/>
    <w:rsid w:val="00D83DB2"/>
    <w:rsid w:val="00D8432E"/>
    <w:rsid w:val="00D843F3"/>
    <w:rsid w:val="00D847F7"/>
    <w:rsid w:val="00D84A0E"/>
    <w:rsid w:val="00D84ACD"/>
    <w:rsid w:val="00D84BF8"/>
    <w:rsid w:val="00D85132"/>
    <w:rsid w:val="00D852AF"/>
    <w:rsid w:val="00D8598B"/>
    <w:rsid w:val="00D85BC7"/>
    <w:rsid w:val="00D85DD7"/>
    <w:rsid w:val="00D85F52"/>
    <w:rsid w:val="00D86565"/>
    <w:rsid w:val="00D86571"/>
    <w:rsid w:val="00D86572"/>
    <w:rsid w:val="00D86625"/>
    <w:rsid w:val="00D866BA"/>
    <w:rsid w:val="00D8694F"/>
    <w:rsid w:val="00D869EE"/>
    <w:rsid w:val="00D86A89"/>
    <w:rsid w:val="00D86B73"/>
    <w:rsid w:val="00D8713C"/>
    <w:rsid w:val="00D8717E"/>
    <w:rsid w:val="00D873E4"/>
    <w:rsid w:val="00D878AB"/>
    <w:rsid w:val="00D87AB9"/>
    <w:rsid w:val="00D87E90"/>
    <w:rsid w:val="00D900D9"/>
    <w:rsid w:val="00D90244"/>
    <w:rsid w:val="00D90F52"/>
    <w:rsid w:val="00D9103A"/>
    <w:rsid w:val="00D91042"/>
    <w:rsid w:val="00D9174D"/>
    <w:rsid w:val="00D91869"/>
    <w:rsid w:val="00D91F7E"/>
    <w:rsid w:val="00D9209B"/>
    <w:rsid w:val="00D925F6"/>
    <w:rsid w:val="00D929EF"/>
    <w:rsid w:val="00D92D15"/>
    <w:rsid w:val="00D92F4A"/>
    <w:rsid w:val="00D93317"/>
    <w:rsid w:val="00D9376A"/>
    <w:rsid w:val="00D93ED5"/>
    <w:rsid w:val="00D942B3"/>
    <w:rsid w:val="00D944CE"/>
    <w:rsid w:val="00D949F3"/>
    <w:rsid w:val="00D94B09"/>
    <w:rsid w:val="00D94D00"/>
    <w:rsid w:val="00D95889"/>
    <w:rsid w:val="00D95AA8"/>
    <w:rsid w:val="00D96110"/>
    <w:rsid w:val="00D962A2"/>
    <w:rsid w:val="00D962F7"/>
    <w:rsid w:val="00D966C8"/>
    <w:rsid w:val="00D96722"/>
    <w:rsid w:val="00D96B9B"/>
    <w:rsid w:val="00D96EB0"/>
    <w:rsid w:val="00D96ED4"/>
    <w:rsid w:val="00D9708B"/>
    <w:rsid w:val="00D978A0"/>
    <w:rsid w:val="00D97DE3"/>
    <w:rsid w:val="00DA00D4"/>
    <w:rsid w:val="00DA0144"/>
    <w:rsid w:val="00DA165D"/>
    <w:rsid w:val="00DA19A1"/>
    <w:rsid w:val="00DA1FD2"/>
    <w:rsid w:val="00DA254E"/>
    <w:rsid w:val="00DA26B8"/>
    <w:rsid w:val="00DA2736"/>
    <w:rsid w:val="00DA2A29"/>
    <w:rsid w:val="00DA2BDB"/>
    <w:rsid w:val="00DA2DA5"/>
    <w:rsid w:val="00DA362D"/>
    <w:rsid w:val="00DA36BF"/>
    <w:rsid w:val="00DA3EBD"/>
    <w:rsid w:val="00DA4051"/>
    <w:rsid w:val="00DA4121"/>
    <w:rsid w:val="00DA43DD"/>
    <w:rsid w:val="00DA4470"/>
    <w:rsid w:val="00DA466C"/>
    <w:rsid w:val="00DA5085"/>
    <w:rsid w:val="00DA565A"/>
    <w:rsid w:val="00DA5821"/>
    <w:rsid w:val="00DA591E"/>
    <w:rsid w:val="00DA5D87"/>
    <w:rsid w:val="00DA5EED"/>
    <w:rsid w:val="00DA5FC7"/>
    <w:rsid w:val="00DA60E9"/>
    <w:rsid w:val="00DA65C7"/>
    <w:rsid w:val="00DA67FB"/>
    <w:rsid w:val="00DA6AA4"/>
    <w:rsid w:val="00DA76EC"/>
    <w:rsid w:val="00DA7B77"/>
    <w:rsid w:val="00DA7D30"/>
    <w:rsid w:val="00DB0931"/>
    <w:rsid w:val="00DB0DDB"/>
    <w:rsid w:val="00DB0E39"/>
    <w:rsid w:val="00DB18B8"/>
    <w:rsid w:val="00DB1A6C"/>
    <w:rsid w:val="00DB23F8"/>
    <w:rsid w:val="00DB276A"/>
    <w:rsid w:val="00DB2BA2"/>
    <w:rsid w:val="00DB2C56"/>
    <w:rsid w:val="00DB36EF"/>
    <w:rsid w:val="00DB3768"/>
    <w:rsid w:val="00DB38A8"/>
    <w:rsid w:val="00DB3BC0"/>
    <w:rsid w:val="00DB3E75"/>
    <w:rsid w:val="00DB425F"/>
    <w:rsid w:val="00DB49DE"/>
    <w:rsid w:val="00DB52CC"/>
    <w:rsid w:val="00DB5526"/>
    <w:rsid w:val="00DB57C5"/>
    <w:rsid w:val="00DB5A36"/>
    <w:rsid w:val="00DB613D"/>
    <w:rsid w:val="00DB61B9"/>
    <w:rsid w:val="00DB659D"/>
    <w:rsid w:val="00DB66E8"/>
    <w:rsid w:val="00DB6798"/>
    <w:rsid w:val="00DB6AA0"/>
    <w:rsid w:val="00DB7126"/>
    <w:rsid w:val="00DB7AD6"/>
    <w:rsid w:val="00DB7D62"/>
    <w:rsid w:val="00DB7E47"/>
    <w:rsid w:val="00DC0057"/>
    <w:rsid w:val="00DC09F6"/>
    <w:rsid w:val="00DC0C34"/>
    <w:rsid w:val="00DC0EB2"/>
    <w:rsid w:val="00DC19D6"/>
    <w:rsid w:val="00DC1D9F"/>
    <w:rsid w:val="00DC22D9"/>
    <w:rsid w:val="00DC2904"/>
    <w:rsid w:val="00DC295D"/>
    <w:rsid w:val="00DC30D1"/>
    <w:rsid w:val="00DC38C0"/>
    <w:rsid w:val="00DC3960"/>
    <w:rsid w:val="00DC3F4A"/>
    <w:rsid w:val="00DC3F60"/>
    <w:rsid w:val="00DC40B4"/>
    <w:rsid w:val="00DC423B"/>
    <w:rsid w:val="00DC4286"/>
    <w:rsid w:val="00DC433D"/>
    <w:rsid w:val="00DC477E"/>
    <w:rsid w:val="00DC48B8"/>
    <w:rsid w:val="00DC4A1D"/>
    <w:rsid w:val="00DC5405"/>
    <w:rsid w:val="00DC5567"/>
    <w:rsid w:val="00DC5A44"/>
    <w:rsid w:val="00DC5E97"/>
    <w:rsid w:val="00DC637F"/>
    <w:rsid w:val="00DC63A3"/>
    <w:rsid w:val="00DC6909"/>
    <w:rsid w:val="00DC69FC"/>
    <w:rsid w:val="00DC6A59"/>
    <w:rsid w:val="00DC6AC2"/>
    <w:rsid w:val="00DC6DDF"/>
    <w:rsid w:val="00DC6ED9"/>
    <w:rsid w:val="00DC6F15"/>
    <w:rsid w:val="00DC6F76"/>
    <w:rsid w:val="00DC70D2"/>
    <w:rsid w:val="00DC776D"/>
    <w:rsid w:val="00DC78E8"/>
    <w:rsid w:val="00DC7AA8"/>
    <w:rsid w:val="00DC7BBC"/>
    <w:rsid w:val="00DC7C68"/>
    <w:rsid w:val="00DC7CF5"/>
    <w:rsid w:val="00DC7EAB"/>
    <w:rsid w:val="00DC7EC0"/>
    <w:rsid w:val="00DC7F27"/>
    <w:rsid w:val="00DC7F9C"/>
    <w:rsid w:val="00DD0065"/>
    <w:rsid w:val="00DD0681"/>
    <w:rsid w:val="00DD06F5"/>
    <w:rsid w:val="00DD07F7"/>
    <w:rsid w:val="00DD082D"/>
    <w:rsid w:val="00DD0833"/>
    <w:rsid w:val="00DD0909"/>
    <w:rsid w:val="00DD0E61"/>
    <w:rsid w:val="00DD16B2"/>
    <w:rsid w:val="00DD17F0"/>
    <w:rsid w:val="00DD1AB9"/>
    <w:rsid w:val="00DD1FC0"/>
    <w:rsid w:val="00DD2180"/>
    <w:rsid w:val="00DD2244"/>
    <w:rsid w:val="00DD230F"/>
    <w:rsid w:val="00DD23A6"/>
    <w:rsid w:val="00DD2596"/>
    <w:rsid w:val="00DD26B0"/>
    <w:rsid w:val="00DD2AB4"/>
    <w:rsid w:val="00DD2B62"/>
    <w:rsid w:val="00DD31AB"/>
    <w:rsid w:val="00DD35B0"/>
    <w:rsid w:val="00DD3975"/>
    <w:rsid w:val="00DD3B46"/>
    <w:rsid w:val="00DD3EF2"/>
    <w:rsid w:val="00DD4377"/>
    <w:rsid w:val="00DD442E"/>
    <w:rsid w:val="00DD46EC"/>
    <w:rsid w:val="00DD4EE2"/>
    <w:rsid w:val="00DD54A0"/>
    <w:rsid w:val="00DD66B8"/>
    <w:rsid w:val="00DD6B16"/>
    <w:rsid w:val="00DD6D2C"/>
    <w:rsid w:val="00DD7360"/>
    <w:rsid w:val="00DD73BC"/>
    <w:rsid w:val="00DD744E"/>
    <w:rsid w:val="00DD799B"/>
    <w:rsid w:val="00DD7A3B"/>
    <w:rsid w:val="00DD7AE5"/>
    <w:rsid w:val="00DD7B36"/>
    <w:rsid w:val="00DD7C5C"/>
    <w:rsid w:val="00DD7CC1"/>
    <w:rsid w:val="00DD7EE2"/>
    <w:rsid w:val="00DE0698"/>
    <w:rsid w:val="00DE0E9A"/>
    <w:rsid w:val="00DE102F"/>
    <w:rsid w:val="00DE1040"/>
    <w:rsid w:val="00DE12A1"/>
    <w:rsid w:val="00DE12F6"/>
    <w:rsid w:val="00DE1718"/>
    <w:rsid w:val="00DE232F"/>
    <w:rsid w:val="00DE2457"/>
    <w:rsid w:val="00DE2618"/>
    <w:rsid w:val="00DE284C"/>
    <w:rsid w:val="00DE28CF"/>
    <w:rsid w:val="00DE2AAD"/>
    <w:rsid w:val="00DE2CFC"/>
    <w:rsid w:val="00DE32E4"/>
    <w:rsid w:val="00DE3CC2"/>
    <w:rsid w:val="00DE3F46"/>
    <w:rsid w:val="00DE4035"/>
    <w:rsid w:val="00DE4153"/>
    <w:rsid w:val="00DE4900"/>
    <w:rsid w:val="00DE4A0F"/>
    <w:rsid w:val="00DE53D2"/>
    <w:rsid w:val="00DE5839"/>
    <w:rsid w:val="00DE59E4"/>
    <w:rsid w:val="00DE5F66"/>
    <w:rsid w:val="00DE6054"/>
    <w:rsid w:val="00DE6355"/>
    <w:rsid w:val="00DE63F8"/>
    <w:rsid w:val="00DE6498"/>
    <w:rsid w:val="00DE6F95"/>
    <w:rsid w:val="00DE7A88"/>
    <w:rsid w:val="00DF0772"/>
    <w:rsid w:val="00DF0B01"/>
    <w:rsid w:val="00DF0D6F"/>
    <w:rsid w:val="00DF154D"/>
    <w:rsid w:val="00DF1AC1"/>
    <w:rsid w:val="00DF1B50"/>
    <w:rsid w:val="00DF1B6B"/>
    <w:rsid w:val="00DF22F4"/>
    <w:rsid w:val="00DF24D4"/>
    <w:rsid w:val="00DF2A7E"/>
    <w:rsid w:val="00DF2CF0"/>
    <w:rsid w:val="00DF2EBC"/>
    <w:rsid w:val="00DF31DB"/>
    <w:rsid w:val="00DF3541"/>
    <w:rsid w:val="00DF388E"/>
    <w:rsid w:val="00DF3DA2"/>
    <w:rsid w:val="00DF3F7E"/>
    <w:rsid w:val="00DF5362"/>
    <w:rsid w:val="00DF5517"/>
    <w:rsid w:val="00DF5FC6"/>
    <w:rsid w:val="00DF63E2"/>
    <w:rsid w:val="00DF65BA"/>
    <w:rsid w:val="00DF687D"/>
    <w:rsid w:val="00DF6A99"/>
    <w:rsid w:val="00DF6BD5"/>
    <w:rsid w:val="00DF6F7B"/>
    <w:rsid w:val="00DF7540"/>
    <w:rsid w:val="00DF7793"/>
    <w:rsid w:val="00DF7C5F"/>
    <w:rsid w:val="00DF7D3F"/>
    <w:rsid w:val="00DF7D8D"/>
    <w:rsid w:val="00E006D4"/>
    <w:rsid w:val="00E00AC4"/>
    <w:rsid w:val="00E01171"/>
    <w:rsid w:val="00E01286"/>
    <w:rsid w:val="00E01A2C"/>
    <w:rsid w:val="00E01C48"/>
    <w:rsid w:val="00E01FD8"/>
    <w:rsid w:val="00E02307"/>
    <w:rsid w:val="00E0243A"/>
    <w:rsid w:val="00E02766"/>
    <w:rsid w:val="00E029CA"/>
    <w:rsid w:val="00E02E96"/>
    <w:rsid w:val="00E02FC0"/>
    <w:rsid w:val="00E030E3"/>
    <w:rsid w:val="00E03273"/>
    <w:rsid w:val="00E03894"/>
    <w:rsid w:val="00E03B4F"/>
    <w:rsid w:val="00E03D6E"/>
    <w:rsid w:val="00E0418F"/>
    <w:rsid w:val="00E0426F"/>
    <w:rsid w:val="00E04293"/>
    <w:rsid w:val="00E04777"/>
    <w:rsid w:val="00E04836"/>
    <w:rsid w:val="00E05089"/>
    <w:rsid w:val="00E0525D"/>
    <w:rsid w:val="00E0525F"/>
    <w:rsid w:val="00E0529A"/>
    <w:rsid w:val="00E05725"/>
    <w:rsid w:val="00E05DE9"/>
    <w:rsid w:val="00E05E27"/>
    <w:rsid w:val="00E06AA7"/>
    <w:rsid w:val="00E06FE9"/>
    <w:rsid w:val="00E070A6"/>
    <w:rsid w:val="00E0712D"/>
    <w:rsid w:val="00E07294"/>
    <w:rsid w:val="00E07B56"/>
    <w:rsid w:val="00E07C3C"/>
    <w:rsid w:val="00E07F32"/>
    <w:rsid w:val="00E10152"/>
    <w:rsid w:val="00E10276"/>
    <w:rsid w:val="00E104F0"/>
    <w:rsid w:val="00E10FF1"/>
    <w:rsid w:val="00E1107B"/>
    <w:rsid w:val="00E114CB"/>
    <w:rsid w:val="00E11AA6"/>
    <w:rsid w:val="00E12280"/>
    <w:rsid w:val="00E12BF4"/>
    <w:rsid w:val="00E12CC4"/>
    <w:rsid w:val="00E133F9"/>
    <w:rsid w:val="00E13508"/>
    <w:rsid w:val="00E13BAF"/>
    <w:rsid w:val="00E13EBA"/>
    <w:rsid w:val="00E14360"/>
    <w:rsid w:val="00E14855"/>
    <w:rsid w:val="00E14E3B"/>
    <w:rsid w:val="00E15154"/>
    <w:rsid w:val="00E15BFF"/>
    <w:rsid w:val="00E15C15"/>
    <w:rsid w:val="00E161C1"/>
    <w:rsid w:val="00E16316"/>
    <w:rsid w:val="00E1637B"/>
    <w:rsid w:val="00E16980"/>
    <w:rsid w:val="00E16AD8"/>
    <w:rsid w:val="00E16C13"/>
    <w:rsid w:val="00E17217"/>
    <w:rsid w:val="00E177DF"/>
    <w:rsid w:val="00E17D5B"/>
    <w:rsid w:val="00E201B3"/>
    <w:rsid w:val="00E2085E"/>
    <w:rsid w:val="00E20918"/>
    <w:rsid w:val="00E20970"/>
    <w:rsid w:val="00E20C72"/>
    <w:rsid w:val="00E20D84"/>
    <w:rsid w:val="00E211FE"/>
    <w:rsid w:val="00E21531"/>
    <w:rsid w:val="00E21548"/>
    <w:rsid w:val="00E216DE"/>
    <w:rsid w:val="00E229B9"/>
    <w:rsid w:val="00E23101"/>
    <w:rsid w:val="00E23449"/>
    <w:rsid w:val="00E23B1E"/>
    <w:rsid w:val="00E23BB6"/>
    <w:rsid w:val="00E23D06"/>
    <w:rsid w:val="00E23F37"/>
    <w:rsid w:val="00E2400C"/>
    <w:rsid w:val="00E241A3"/>
    <w:rsid w:val="00E244F4"/>
    <w:rsid w:val="00E246FF"/>
    <w:rsid w:val="00E247CD"/>
    <w:rsid w:val="00E24ECB"/>
    <w:rsid w:val="00E250ED"/>
    <w:rsid w:val="00E251C2"/>
    <w:rsid w:val="00E2540B"/>
    <w:rsid w:val="00E25602"/>
    <w:rsid w:val="00E25D74"/>
    <w:rsid w:val="00E262BE"/>
    <w:rsid w:val="00E26319"/>
    <w:rsid w:val="00E26450"/>
    <w:rsid w:val="00E26550"/>
    <w:rsid w:val="00E26A28"/>
    <w:rsid w:val="00E26F01"/>
    <w:rsid w:val="00E26F7D"/>
    <w:rsid w:val="00E273DF"/>
    <w:rsid w:val="00E27A0E"/>
    <w:rsid w:val="00E27B65"/>
    <w:rsid w:val="00E27B6A"/>
    <w:rsid w:val="00E27C6B"/>
    <w:rsid w:val="00E3070B"/>
    <w:rsid w:val="00E30790"/>
    <w:rsid w:val="00E30E48"/>
    <w:rsid w:val="00E31187"/>
    <w:rsid w:val="00E3198C"/>
    <w:rsid w:val="00E31B79"/>
    <w:rsid w:val="00E31D1D"/>
    <w:rsid w:val="00E32609"/>
    <w:rsid w:val="00E329A1"/>
    <w:rsid w:val="00E33340"/>
    <w:rsid w:val="00E33462"/>
    <w:rsid w:val="00E3382B"/>
    <w:rsid w:val="00E3393C"/>
    <w:rsid w:val="00E33F69"/>
    <w:rsid w:val="00E34201"/>
    <w:rsid w:val="00E342EC"/>
    <w:rsid w:val="00E346FD"/>
    <w:rsid w:val="00E347DE"/>
    <w:rsid w:val="00E34D00"/>
    <w:rsid w:val="00E35055"/>
    <w:rsid w:val="00E3509F"/>
    <w:rsid w:val="00E351B9"/>
    <w:rsid w:val="00E35E6D"/>
    <w:rsid w:val="00E366DC"/>
    <w:rsid w:val="00E3682C"/>
    <w:rsid w:val="00E36A3D"/>
    <w:rsid w:val="00E36B73"/>
    <w:rsid w:val="00E4006E"/>
    <w:rsid w:val="00E40076"/>
    <w:rsid w:val="00E400FB"/>
    <w:rsid w:val="00E4064E"/>
    <w:rsid w:val="00E40AF3"/>
    <w:rsid w:val="00E40D50"/>
    <w:rsid w:val="00E40E1B"/>
    <w:rsid w:val="00E40EE7"/>
    <w:rsid w:val="00E41594"/>
    <w:rsid w:val="00E41640"/>
    <w:rsid w:val="00E41B54"/>
    <w:rsid w:val="00E41BCF"/>
    <w:rsid w:val="00E41F82"/>
    <w:rsid w:val="00E42194"/>
    <w:rsid w:val="00E43886"/>
    <w:rsid w:val="00E4391E"/>
    <w:rsid w:val="00E43A54"/>
    <w:rsid w:val="00E4410E"/>
    <w:rsid w:val="00E44351"/>
    <w:rsid w:val="00E44FAC"/>
    <w:rsid w:val="00E4517F"/>
    <w:rsid w:val="00E4531D"/>
    <w:rsid w:val="00E45575"/>
    <w:rsid w:val="00E456D5"/>
    <w:rsid w:val="00E45E31"/>
    <w:rsid w:val="00E45E32"/>
    <w:rsid w:val="00E45EDC"/>
    <w:rsid w:val="00E45F1C"/>
    <w:rsid w:val="00E45F79"/>
    <w:rsid w:val="00E46162"/>
    <w:rsid w:val="00E467CF"/>
    <w:rsid w:val="00E46A04"/>
    <w:rsid w:val="00E46E30"/>
    <w:rsid w:val="00E476BD"/>
    <w:rsid w:val="00E47A38"/>
    <w:rsid w:val="00E47D66"/>
    <w:rsid w:val="00E47FF5"/>
    <w:rsid w:val="00E50954"/>
    <w:rsid w:val="00E50D38"/>
    <w:rsid w:val="00E50D82"/>
    <w:rsid w:val="00E50FCA"/>
    <w:rsid w:val="00E5121F"/>
    <w:rsid w:val="00E51397"/>
    <w:rsid w:val="00E514E5"/>
    <w:rsid w:val="00E51598"/>
    <w:rsid w:val="00E51D10"/>
    <w:rsid w:val="00E51F94"/>
    <w:rsid w:val="00E51FB2"/>
    <w:rsid w:val="00E51FBB"/>
    <w:rsid w:val="00E521F6"/>
    <w:rsid w:val="00E523C6"/>
    <w:rsid w:val="00E52417"/>
    <w:rsid w:val="00E52732"/>
    <w:rsid w:val="00E5278D"/>
    <w:rsid w:val="00E53A1D"/>
    <w:rsid w:val="00E54245"/>
    <w:rsid w:val="00E5445F"/>
    <w:rsid w:val="00E54C45"/>
    <w:rsid w:val="00E54C71"/>
    <w:rsid w:val="00E54FFD"/>
    <w:rsid w:val="00E552C0"/>
    <w:rsid w:val="00E556D2"/>
    <w:rsid w:val="00E55CB0"/>
    <w:rsid w:val="00E55E79"/>
    <w:rsid w:val="00E564BD"/>
    <w:rsid w:val="00E5746B"/>
    <w:rsid w:val="00E574EC"/>
    <w:rsid w:val="00E57E63"/>
    <w:rsid w:val="00E6073C"/>
    <w:rsid w:val="00E60C3F"/>
    <w:rsid w:val="00E60C6B"/>
    <w:rsid w:val="00E611B1"/>
    <w:rsid w:val="00E61459"/>
    <w:rsid w:val="00E61585"/>
    <w:rsid w:val="00E616AA"/>
    <w:rsid w:val="00E618CF"/>
    <w:rsid w:val="00E62149"/>
    <w:rsid w:val="00E62237"/>
    <w:rsid w:val="00E62606"/>
    <w:rsid w:val="00E63457"/>
    <w:rsid w:val="00E63A1B"/>
    <w:rsid w:val="00E63D3D"/>
    <w:rsid w:val="00E64359"/>
    <w:rsid w:val="00E646D1"/>
    <w:rsid w:val="00E64A61"/>
    <w:rsid w:val="00E65624"/>
    <w:rsid w:val="00E6564B"/>
    <w:rsid w:val="00E657CA"/>
    <w:rsid w:val="00E65D09"/>
    <w:rsid w:val="00E66086"/>
    <w:rsid w:val="00E6674D"/>
    <w:rsid w:val="00E66B16"/>
    <w:rsid w:val="00E66CE1"/>
    <w:rsid w:val="00E67048"/>
    <w:rsid w:val="00E678F5"/>
    <w:rsid w:val="00E67900"/>
    <w:rsid w:val="00E67D32"/>
    <w:rsid w:val="00E702EA"/>
    <w:rsid w:val="00E70D7D"/>
    <w:rsid w:val="00E70DA5"/>
    <w:rsid w:val="00E710DA"/>
    <w:rsid w:val="00E71143"/>
    <w:rsid w:val="00E71AAE"/>
    <w:rsid w:val="00E71B2B"/>
    <w:rsid w:val="00E71C2F"/>
    <w:rsid w:val="00E71F16"/>
    <w:rsid w:val="00E720EA"/>
    <w:rsid w:val="00E7305D"/>
    <w:rsid w:val="00E73236"/>
    <w:rsid w:val="00E74073"/>
    <w:rsid w:val="00E74157"/>
    <w:rsid w:val="00E746D8"/>
    <w:rsid w:val="00E749AC"/>
    <w:rsid w:val="00E74F7C"/>
    <w:rsid w:val="00E7507C"/>
    <w:rsid w:val="00E757F8"/>
    <w:rsid w:val="00E75C75"/>
    <w:rsid w:val="00E7700A"/>
    <w:rsid w:val="00E7707D"/>
    <w:rsid w:val="00E771F4"/>
    <w:rsid w:val="00E7728C"/>
    <w:rsid w:val="00E77D8A"/>
    <w:rsid w:val="00E77F66"/>
    <w:rsid w:val="00E77FD3"/>
    <w:rsid w:val="00E801F0"/>
    <w:rsid w:val="00E80343"/>
    <w:rsid w:val="00E80541"/>
    <w:rsid w:val="00E806EA"/>
    <w:rsid w:val="00E806F3"/>
    <w:rsid w:val="00E80854"/>
    <w:rsid w:val="00E80EFC"/>
    <w:rsid w:val="00E8128F"/>
    <w:rsid w:val="00E812B2"/>
    <w:rsid w:val="00E81409"/>
    <w:rsid w:val="00E816B9"/>
    <w:rsid w:val="00E81752"/>
    <w:rsid w:val="00E81FAE"/>
    <w:rsid w:val="00E825B6"/>
    <w:rsid w:val="00E826C1"/>
    <w:rsid w:val="00E8289E"/>
    <w:rsid w:val="00E82A92"/>
    <w:rsid w:val="00E82D7F"/>
    <w:rsid w:val="00E8306E"/>
    <w:rsid w:val="00E830D3"/>
    <w:rsid w:val="00E837E5"/>
    <w:rsid w:val="00E83D91"/>
    <w:rsid w:val="00E840CB"/>
    <w:rsid w:val="00E84434"/>
    <w:rsid w:val="00E84A57"/>
    <w:rsid w:val="00E84B00"/>
    <w:rsid w:val="00E84BE1"/>
    <w:rsid w:val="00E84F15"/>
    <w:rsid w:val="00E852B7"/>
    <w:rsid w:val="00E85419"/>
    <w:rsid w:val="00E8551D"/>
    <w:rsid w:val="00E8637E"/>
    <w:rsid w:val="00E86549"/>
    <w:rsid w:val="00E86857"/>
    <w:rsid w:val="00E86A50"/>
    <w:rsid w:val="00E86EDC"/>
    <w:rsid w:val="00E870A8"/>
    <w:rsid w:val="00E87802"/>
    <w:rsid w:val="00E87913"/>
    <w:rsid w:val="00E87B09"/>
    <w:rsid w:val="00E87C46"/>
    <w:rsid w:val="00E90ADC"/>
    <w:rsid w:val="00E90BBF"/>
    <w:rsid w:val="00E91064"/>
    <w:rsid w:val="00E91423"/>
    <w:rsid w:val="00E916ED"/>
    <w:rsid w:val="00E91712"/>
    <w:rsid w:val="00E91BCE"/>
    <w:rsid w:val="00E921EC"/>
    <w:rsid w:val="00E9232E"/>
    <w:rsid w:val="00E926B4"/>
    <w:rsid w:val="00E929CB"/>
    <w:rsid w:val="00E92D17"/>
    <w:rsid w:val="00E92E04"/>
    <w:rsid w:val="00E92FC5"/>
    <w:rsid w:val="00E939A5"/>
    <w:rsid w:val="00E93F24"/>
    <w:rsid w:val="00E94021"/>
    <w:rsid w:val="00E94401"/>
    <w:rsid w:val="00E94414"/>
    <w:rsid w:val="00E945F5"/>
    <w:rsid w:val="00E9489D"/>
    <w:rsid w:val="00E948D2"/>
    <w:rsid w:val="00E94955"/>
    <w:rsid w:val="00E94A9D"/>
    <w:rsid w:val="00E94C2D"/>
    <w:rsid w:val="00E9501E"/>
    <w:rsid w:val="00E963E2"/>
    <w:rsid w:val="00E96B47"/>
    <w:rsid w:val="00E971AB"/>
    <w:rsid w:val="00EA08CB"/>
    <w:rsid w:val="00EA10A3"/>
    <w:rsid w:val="00EA1485"/>
    <w:rsid w:val="00EA1603"/>
    <w:rsid w:val="00EA1C3E"/>
    <w:rsid w:val="00EA1CB2"/>
    <w:rsid w:val="00EA22EE"/>
    <w:rsid w:val="00EA31D6"/>
    <w:rsid w:val="00EA3238"/>
    <w:rsid w:val="00EA3426"/>
    <w:rsid w:val="00EA3B73"/>
    <w:rsid w:val="00EA3CC8"/>
    <w:rsid w:val="00EA431B"/>
    <w:rsid w:val="00EA443E"/>
    <w:rsid w:val="00EA4738"/>
    <w:rsid w:val="00EA484B"/>
    <w:rsid w:val="00EA49DE"/>
    <w:rsid w:val="00EA4C5B"/>
    <w:rsid w:val="00EA52C6"/>
    <w:rsid w:val="00EA53C4"/>
    <w:rsid w:val="00EA5429"/>
    <w:rsid w:val="00EA546B"/>
    <w:rsid w:val="00EA554C"/>
    <w:rsid w:val="00EA5624"/>
    <w:rsid w:val="00EA59E6"/>
    <w:rsid w:val="00EA5AC8"/>
    <w:rsid w:val="00EA5C48"/>
    <w:rsid w:val="00EA5CB9"/>
    <w:rsid w:val="00EA5EC0"/>
    <w:rsid w:val="00EA6E65"/>
    <w:rsid w:val="00EA79AC"/>
    <w:rsid w:val="00EA7E32"/>
    <w:rsid w:val="00EB04C7"/>
    <w:rsid w:val="00EB0C20"/>
    <w:rsid w:val="00EB0E41"/>
    <w:rsid w:val="00EB1184"/>
    <w:rsid w:val="00EB15BE"/>
    <w:rsid w:val="00EB16D1"/>
    <w:rsid w:val="00EB222B"/>
    <w:rsid w:val="00EB2879"/>
    <w:rsid w:val="00EB2C2B"/>
    <w:rsid w:val="00EB2FDE"/>
    <w:rsid w:val="00EB3170"/>
    <w:rsid w:val="00EB39E2"/>
    <w:rsid w:val="00EB3AB0"/>
    <w:rsid w:val="00EB3C1F"/>
    <w:rsid w:val="00EB3CDD"/>
    <w:rsid w:val="00EB3F82"/>
    <w:rsid w:val="00EB3FDC"/>
    <w:rsid w:val="00EB42FD"/>
    <w:rsid w:val="00EB448D"/>
    <w:rsid w:val="00EB4C28"/>
    <w:rsid w:val="00EB5101"/>
    <w:rsid w:val="00EB512C"/>
    <w:rsid w:val="00EB5399"/>
    <w:rsid w:val="00EB5D46"/>
    <w:rsid w:val="00EB5F96"/>
    <w:rsid w:val="00EB607E"/>
    <w:rsid w:val="00EB62F5"/>
    <w:rsid w:val="00EB6398"/>
    <w:rsid w:val="00EB6447"/>
    <w:rsid w:val="00EB6572"/>
    <w:rsid w:val="00EB6929"/>
    <w:rsid w:val="00EB6BE8"/>
    <w:rsid w:val="00EB6F41"/>
    <w:rsid w:val="00EB7A7D"/>
    <w:rsid w:val="00EB7B9B"/>
    <w:rsid w:val="00EB7E81"/>
    <w:rsid w:val="00EB7F86"/>
    <w:rsid w:val="00EC0100"/>
    <w:rsid w:val="00EC03EF"/>
    <w:rsid w:val="00EC0573"/>
    <w:rsid w:val="00EC091B"/>
    <w:rsid w:val="00EC0CF9"/>
    <w:rsid w:val="00EC1184"/>
    <w:rsid w:val="00EC136E"/>
    <w:rsid w:val="00EC1526"/>
    <w:rsid w:val="00EC18CE"/>
    <w:rsid w:val="00EC2426"/>
    <w:rsid w:val="00EC2827"/>
    <w:rsid w:val="00EC2A3F"/>
    <w:rsid w:val="00EC2BB1"/>
    <w:rsid w:val="00EC2BC1"/>
    <w:rsid w:val="00EC2D0D"/>
    <w:rsid w:val="00EC3673"/>
    <w:rsid w:val="00EC3C4E"/>
    <w:rsid w:val="00EC3F10"/>
    <w:rsid w:val="00EC3F5A"/>
    <w:rsid w:val="00EC4501"/>
    <w:rsid w:val="00EC46ED"/>
    <w:rsid w:val="00EC5010"/>
    <w:rsid w:val="00EC599A"/>
    <w:rsid w:val="00EC5A41"/>
    <w:rsid w:val="00EC5A6A"/>
    <w:rsid w:val="00EC5DAE"/>
    <w:rsid w:val="00EC5E68"/>
    <w:rsid w:val="00EC5F20"/>
    <w:rsid w:val="00EC5FDA"/>
    <w:rsid w:val="00EC61AD"/>
    <w:rsid w:val="00EC64DB"/>
    <w:rsid w:val="00EC66F2"/>
    <w:rsid w:val="00EC68B8"/>
    <w:rsid w:val="00EC6BC6"/>
    <w:rsid w:val="00EC6C30"/>
    <w:rsid w:val="00EC728E"/>
    <w:rsid w:val="00EC7D87"/>
    <w:rsid w:val="00EC7E09"/>
    <w:rsid w:val="00ED0638"/>
    <w:rsid w:val="00ED1025"/>
    <w:rsid w:val="00ED1777"/>
    <w:rsid w:val="00ED1B40"/>
    <w:rsid w:val="00ED2012"/>
    <w:rsid w:val="00ED2022"/>
    <w:rsid w:val="00ED20F7"/>
    <w:rsid w:val="00ED2646"/>
    <w:rsid w:val="00ED2A19"/>
    <w:rsid w:val="00ED2A93"/>
    <w:rsid w:val="00ED3269"/>
    <w:rsid w:val="00ED32A2"/>
    <w:rsid w:val="00ED37DA"/>
    <w:rsid w:val="00ED3919"/>
    <w:rsid w:val="00ED3BE5"/>
    <w:rsid w:val="00ED4973"/>
    <w:rsid w:val="00ED4C04"/>
    <w:rsid w:val="00ED4E24"/>
    <w:rsid w:val="00ED5045"/>
    <w:rsid w:val="00ED50C2"/>
    <w:rsid w:val="00ED5461"/>
    <w:rsid w:val="00ED583D"/>
    <w:rsid w:val="00ED5847"/>
    <w:rsid w:val="00ED5C38"/>
    <w:rsid w:val="00ED65E8"/>
    <w:rsid w:val="00ED6B55"/>
    <w:rsid w:val="00ED7A03"/>
    <w:rsid w:val="00ED7AE9"/>
    <w:rsid w:val="00ED7BE6"/>
    <w:rsid w:val="00ED7EF2"/>
    <w:rsid w:val="00EE05AF"/>
    <w:rsid w:val="00EE0CE6"/>
    <w:rsid w:val="00EE1038"/>
    <w:rsid w:val="00EE1215"/>
    <w:rsid w:val="00EE131E"/>
    <w:rsid w:val="00EE19ED"/>
    <w:rsid w:val="00EE27D6"/>
    <w:rsid w:val="00EE2810"/>
    <w:rsid w:val="00EE2888"/>
    <w:rsid w:val="00EE2BF9"/>
    <w:rsid w:val="00EE2CC6"/>
    <w:rsid w:val="00EE2FFA"/>
    <w:rsid w:val="00EE329C"/>
    <w:rsid w:val="00EE34EB"/>
    <w:rsid w:val="00EE3991"/>
    <w:rsid w:val="00EE3A6B"/>
    <w:rsid w:val="00EE3C13"/>
    <w:rsid w:val="00EE3F21"/>
    <w:rsid w:val="00EE409D"/>
    <w:rsid w:val="00EE4868"/>
    <w:rsid w:val="00EE4A05"/>
    <w:rsid w:val="00EE4BD1"/>
    <w:rsid w:val="00EE4D38"/>
    <w:rsid w:val="00EE5296"/>
    <w:rsid w:val="00EE53AD"/>
    <w:rsid w:val="00EE54F4"/>
    <w:rsid w:val="00EE56B8"/>
    <w:rsid w:val="00EE5840"/>
    <w:rsid w:val="00EE594D"/>
    <w:rsid w:val="00EE59DD"/>
    <w:rsid w:val="00EE5EAF"/>
    <w:rsid w:val="00EE61F1"/>
    <w:rsid w:val="00EE6442"/>
    <w:rsid w:val="00EE6D75"/>
    <w:rsid w:val="00EE6E52"/>
    <w:rsid w:val="00EE70D8"/>
    <w:rsid w:val="00EE76C2"/>
    <w:rsid w:val="00EE78AC"/>
    <w:rsid w:val="00EE7A12"/>
    <w:rsid w:val="00EE7A8C"/>
    <w:rsid w:val="00EE7E4B"/>
    <w:rsid w:val="00EF02CB"/>
    <w:rsid w:val="00EF0D2B"/>
    <w:rsid w:val="00EF0EE1"/>
    <w:rsid w:val="00EF0FDE"/>
    <w:rsid w:val="00EF10A1"/>
    <w:rsid w:val="00EF1D70"/>
    <w:rsid w:val="00EF1DA0"/>
    <w:rsid w:val="00EF21EC"/>
    <w:rsid w:val="00EF2224"/>
    <w:rsid w:val="00EF27F0"/>
    <w:rsid w:val="00EF28B2"/>
    <w:rsid w:val="00EF2908"/>
    <w:rsid w:val="00EF2F69"/>
    <w:rsid w:val="00EF3AD2"/>
    <w:rsid w:val="00EF3B40"/>
    <w:rsid w:val="00EF4075"/>
    <w:rsid w:val="00EF4154"/>
    <w:rsid w:val="00EF41FA"/>
    <w:rsid w:val="00EF431F"/>
    <w:rsid w:val="00EF432F"/>
    <w:rsid w:val="00EF4658"/>
    <w:rsid w:val="00EF47F4"/>
    <w:rsid w:val="00EF4838"/>
    <w:rsid w:val="00EF4941"/>
    <w:rsid w:val="00EF4B05"/>
    <w:rsid w:val="00EF4B54"/>
    <w:rsid w:val="00EF4EA5"/>
    <w:rsid w:val="00EF4ED3"/>
    <w:rsid w:val="00EF4F32"/>
    <w:rsid w:val="00EF56BF"/>
    <w:rsid w:val="00EF580F"/>
    <w:rsid w:val="00EF615A"/>
    <w:rsid w:val="00EF6608"/>
    <w:rsid w:val="00EF67AF"/>
    <w:rsid w:val="00EF6BA7"/>
    <w:rsid w:val="00EF719B"/>
    <w:rsid w:val="00EF78F6"/>
    <w:rsid w:val="00EF7AF8"/>
    <w:rsid w:val="00EF7B72"/>
    <w:rsid w:val="00EF7FE0"/>
    <w:rsid w:val="00F002BF"/>
    <w:rsid w:val="00F00A70"/>
    <w:rsid w:val="00F00DFD"/>
    <w:rsid w:val="00F00FB7"/>
    <w:rsid w:val="00F0168C"/>
    <w:rsid w:val="00F01A90"/>
    <w:rsid w:val="00F01B12"/>
    <w:rsid w:val="00F02465"/>
    <w:rsid w:val="00F0248B"/>
    <w:rsid w:val="00F029D0"/>
    <w:rsid w:val="00F02B58"/>
    <w:rsid w:val="00F035F9"/>
    <w:rsid w:val="00F03602"/>
    <w:rsid w:val="00F0384E"/>
    <w:rsid w:val="00F03B84"/>
    <w:rsid w:val="00F0427D"/>
    <w:rsid w:val="00F04C1A"/>
    <w:rsid w:val="00F04D4D"/>
    <w:rsid w:val="00F04EA8"/>
    <w:rsid w:val="00F04EE1"/>
    <w:rsid w:val="00F0504B"/>
    <w:rsid w:val="00F050AA"/>
    <w:rsid w:val="00F0510F"/>
    <w:rsid w:val="00F055F7"/>
    <w:rsid w:val="00F0561A"/>
    <w:rsid w:val="00F05811"/>
    <w:rsid w:val="00F05AFE"/>
    <w:rsid w:val="00F06175"/>
    <w:rsid w:val="00F06223"/>
    <w:rsid w:val="00F06455"/>
    <w:rsid w:val="00F06DA1"/>
    <w:rsid w:val="00F071CC"/>
    <w:rsid w:val="00F07FA5"/>
    <w:rsid w:val="00F1022D"/>
    <w:rsid w:val="00F1124D"/>
    <w:rsid w:val="00F113CD"/>
    <w:rsid w:val="00F11561"/>
    <w:rsid w:val="00F11A65"/>
    <w:rsid w:val="00F11CAD"/>
    <w:rsid w:val="00F11EB5"/>
    <w:rsid w:val="00F1258F"/>
    <w:rsid w:val="00F126C0"/>
    <w:rsid w:val="00F126E7"/>
    <w:rsid w:val="00F12EDC"/>
    <w:rsid w:val="00F13257"/>
    <w:rsid w:val="00F13318"/>
    <w:rsid w:val="00F1373C"/>
    <w:rsid w:val="00F13964"/>
    <w:rsid w:val="00F13C63"/>
    <w:rsid w:val="00F143DD"/>
    <w:rsid w:val="00F14CDD"/>
    <w:rsid w:val="00F14E4A"/>
    <w:rsid w:val="00F15383"/>
    <w:rsid w:val="00F15387"/>
    <w:rsid w:val="00F1558C"/>
    <w:rsid w:val="00F155C0"/>
    <w:rsid w:val="00F1574B"/>
    <w:rsid w:val="00F15BE6"/>
    <w:rsid w:val="00F15E3B"/>
    <w:rsid w:val="00F1637A"/>
    <w:rsid w:val="00F16EA8"/>
    <w:rsid w:val="00F1738F"/>
    <w:rsid w:val="00F17568"/>
    <w:rsid w:val="00F17702"/>
    <w:rsid w:val="00F1785A"/>
    <w:rsid w:val="00F17DC1"/>
    <w:rsid w:val="00F2048C"/>
    <w:rsid w:val="00F2072D"/>
    <w:rsid w:val="00F209B1"/>
    <w:rsid w:val="00F20A76"/>
    <w:rsid w:val="00F20BAB"/>
    <w:rsid w:val="00F20C19"/>
    <w:rsid w:val="00F20CE0"/>
    <w:rsid w:val="00F20D46"/>
    <w:rsid w:val="00F21089"/>
    <w:rsid w:val="00F21D6D"/>
    <w:rsid w:val="00F22933"/>
    <w:rsid w:val="00F229CE"/>
    <w:rsid w:val="00F22AAA"/>
    <w:rsid w:val="00F23BBB"/>
    <w:rsid w:val="00F23C33"/>
    <w:rsid w:val="00F23C75"/>
    <w:rsid w:val="00F24163"/>
    <w:rsid w:val="00F24346"/>
    <w:rsid w:val="00F2490E"/>
    <w:rsid w:val="00F24B2C"/>
    <w:rsid w:val="00F24EF2"/>
    <w:rsid w:val="00F250EB"/>
    <w:rsid w:val="00F2529B"/>
    <w:rsid w:val="00F252B4"/>
    <w:rsid w:val="00F254A5"/>
    <w:rsid w:val="00F259CE"/>
    <w:rsid w:val="00F25D75"/>
    <w:rsid w:val="00F25FAF"/>
    <w:rsid w:val="00F26432"/>
    <w:rsid w:val="00F26724"/>
    <w:rsid w:val="00F26875"/>
    <w:rsid w:val="00F26895"/>
    <w:rsid w:val="00F26F2B"/>
    <w:rsid w:val="00F26F6A"/>
    <w:rsid w:val="00F27049"/>
    <w:rsid w:val="00F27402"/>
    <w:rsid w:val="00F27AD4"/>
    <w:rsid w:val="00F27C62"/>
    <w:rsid w:val="00F30220"/>
    <w:rsid w:val="00F306D1"/>
    <w:rsid w:val="00F30B5C"/>
    <w:rsid w:val="00F30C82"/>
    <w:rsid w:val="00F30CE2"/>
    <w:rsid w:val="00F30F9A"/>
    <w:rsid w:val="00F31296"/>
    <w:rsid w:val="00F31DC2"/>
    <w:rsid w:val="00F3210A"/>
    <w:rsid w:val="00F323E8"/>
    <w:rsid w:val="00F323E9"/>
    <w:rsid w:val="00F3259F"/>
    <w:rsid w:val="00F32A9F"/>
    <w:rsid w:val="00F32CB7"/>
    <w:rsid w:val="00F33178"/>
    <w:rsid w:val="00F33214"/>
    <w:rsid w:val="00F332B3"/>
    <w:rsid w:val="00F332F7"/>
    <w:rsid w:val="00F33369"/>
    <w:rsid w:val="00F33E20"/>
    <w:rsid w:val="00F33E2A"/>
    <w:rsid w:val="00F3415C"/>
    <w:rsid w:val="00F3483B"/>
    <w:rsid w:val="00F3497A"/>
    <w:rsid w:val="00F349C3"/>
    <w:rsid w:val="00F34AAE"/>
    <w:rsid w:val="00F34BB5"/>
    <w:rsid w:val="00F34D95"/>
    <w:rsid w:val="00F356F2"/>
    <w:rsid w:val="00F35E72"/>
    <w:rsid w:val="00F364C5"/>
    <w:rsid w:val="00F364D2"/>
    <w:rsid w:val="00F365FE"/>
    <w:rsid w:val="00F36767"/>
    <w:rsid w:val="00F36918"/>
    <w:rsid w:val="00F36C14"/>
    <w:rsid w:val="00F372EE"/>
    <w:rsid w:val="00F3745D"/>
    <w:rsid w:val="00F37912"/>
    <w:rsid w:val="00F37946"/>
    <w:rsid w:val="00F37C9E"/>
    <w:rsid w:val="00F403E7"/>
    <w:rsid w:val="00F406B6"/>
    <w:rsid w:val="00F40814"/>
    <w:rsid w:val="00F40850"/>
    <w:rsid w:val="00F4123A"/>
    <w:rsid w:val="00F4165F"/>
    <w:rsid w:val="00F41948"/>
    <w:rsid w:val="00F42316"/>
    <w:rsid w:val="00F423B5"/>
    <w:rsid w:val="00F425DE"/>
    <w:rsid w:val="00F42958"/>
    <w:rsid w:val="00F43146"/>
    <w:rsid w:val="00F436CB"/>
    <w:rsid w:val="00F43C58"/>
    <w:rsid w:val="00F43CBC"/>
    <w:rsid w:val="00F43D6C"/>
    <w:rsid w:val="00F43E84"/>
    <w:rsid w:val="00F44507"/>
    <w:rsid w:val="00F44510"/>
    <w:rsid w:val="00F44982"/>
    <w:rsid w:val="00F44B7B"/>
    <w:rsid w:val="00F44E62"/>
    <w:rsid w:val="00F4511B"/>
    <w:rsid w:val="00F453B1"/>
    <w:rsid w:val="00F4595E"/>
    <w:rsid w:val="00F459A0"/>
    <w:rsid w:val="00F45CCD"/>
    <w:rsid w:val="00F45D8C"/>
    <w:rsid w:val="00F4659C"/>
    <w:rsid w:val="00F47871"/>
    <w:rsid w:val="00F47D93"/>
    <w:rsid w:val="00F47DDF"/>
    <w:rsid w:val="00F47DFF"/>
    <w:rsid w:val="00F50454"/>
    <w:rsid w:val="00F505FC"/>
    <w:rsid w:val="00F50717"/>
    <w:rsid w:val="00F50EEA"/>
    <w:rsid w:val="00F51011"/>
    <w:rsid w:val="00F51630"/>
    <w:rsid w:val="00F5169A"/>
    <w:rsid w:val="00F51A19"/>
    <w:rsid w:val="00F51D0B"/>
    <w:rsid w:val="00F51F51"/>
    <w:rsid w:val="00F52332"/>
    <w:rsid w:val="00F52590"/>
    <w:rsid w:val="00F52687"/>
    <w:rsid w:val="00F52765"/>
    <w:rsid w:val="00F52AC1"/>
    <w:rsid w:val="00F52B01"/>
    <w:rsid w:val="00F52B1F"/>
    <w:rsid w:val="00F52BF1"/>
    <w:rsid w:val="00F52CBF"/>
    <w:rsid w:val="00F5316A"/>
    <w:rsid w:val="00F537BF"/>
    <w:rsid w:val="00F538DD"/>
    <w:rsid w:val="00F53D42"/>
    <w:rsid w:val="00F53D71"/>
    <w:rsid w:val="00F54145"/>
    <w:rsid w:val="00F54439"/>
    <w:rsid w:val="00F54618"/>
    <w:rsid w:val="00F54924"/>
    <w:rsid w:val="00F54A75"/>
    <w:rsid w:val="00F55059"/>
    <w:rsid w:val="00F551FE"/>
    <w:rsid w:val="00F55874"/>
    <w:rsid w:val="00F55E71"/>
    <w:rsid w:val="00F56686"/>
    <w:rsid w:val="00F56C13"/>
    <w:rsid w:val="00F56EE1"/>
    <w:rsid w:val="00F576AA"/>
    <w:rsid w:val="00F5777D"/>
    <w:rsid w:val="00F57E1D"/>
    <w:rsid w:val="00F6009E"/>
    <w:rsid w:val="00F6010A"/>
    <w:rsid w:val="00F60367"/>
    <w:rsid w:val="00F606D2"/>
    <w:rsid w:val="00F60756"/>
    <w:rsid w:val="00F61B29"/>
    <w:rsid w:val="00F61CD1"/>
    <w:rsid w:val="00F62C45"/>
    <w:rsid w:val="00F63805"/>
    <w:rsid w:val="00F639BA"/>
    <w:rsid w:val="00F63BF4"/>
    <w:rsid w:val="00F63C23"/>
    <w:rsid w:val="00F63C47"/>
    <w:rsid w:val="00F644B6"/>
    <w:rsid w:val="00F647D4"/>
    <w:rsid w:val="00F64E0E"/>
    <w:rsid w:val="00F650A7"/>
    <w:rsid w:val="00F6548B"/>
    <w:rsid w:val="00F658AD"/>
    <w:rsid w:val="00F65C7D"/>
    <w:rsid w:val="00F65D28"/>
    <w:rsid w:val="00F65EF1"/>
    <w:rsid w:val="00F6628C"/>
    <w:rsid w:val="00F662B8"/>
    <w:rsid w:val="00F662FA"/>
    <w:rsid w:val="00F6633F"/>
    <w:rsid w:val="00F66520"/>
    <w:rsid w:val="00F66D0E"/>
    <w:rsid w:val="00F66F94"/>
    <w:rsid w:val="00F6717C"/>
    <w:rsid w:val="00F671CA"/>
    <w:rsid w:val="00F6796B"/>
    <w:rsid w:val="00F67AF3"/>
    <w:rsid w:val="00F706BD"/>
    <w:rsid w:val="00F7072F"/>
    <w:rsid w:val="00F70B39"/>
    <w:rsid w:val="00F70EFA"/>
    <w:rsid w:val="00F7106D"/>
    <w:rsid w:val="00F7114B"/>
    <w:rsid w:val="00F71A65"/>
    <w:rsid w:val="00F71FEF"/>
    <w:rsid w:val="00F725E2"/>
    <w:rsid w:val="00F7285C"/>
    <w:rsid w:val="00F72A33"/>
    <w:rsid w:val="00F72AA5"/>
    <w:rsid w:val="00F72B62"/>
    <w:rsid w:val="00F72FA9"/>
    <w:rsid w:val="00F72FE9"/>
    <w:rsid w:val="00F73B60"/>
    <w:rsid w:val="00F73C5E"/>
    <w:rsid w:val="00F73D34"/>
    <w:rsid w:val="00F73E37"/>
    <w:rsid w:val="00F74059"/>
    <w:rsid w:val="00F74368"/>
    <w:rsid w:val="00F743A4"/>
    <w:rsid w:val="00F74585"/>
    <w:rsid w:val="00F74799"/>
    <w:rsid w:val="00F74883"/>
    <w:rsid w:val="00F74B4C"/>
    <w:rsid w:val="00F74D85"/>
    <w:rsid w:val="00F7530C"/>
    <w:rsid w:val="00F75941"/>
    <w:rsid w:val="00F75CA9"/>
    <w:rsid w:val="00F75EAE"/>
    <w:rsid w:val="00F767C0"/>
    <w:rsid w:val="00F76860"/>
    <w:rsid w:val="00F769A7"/>
    <w:rsid w:val="00F76A54"/>
    <w:rsid w:val="00F76B2B"/>
    <w:rsid w:val="00F76F7E"/>
    <w:rsid w:val="00F77187"/>
    <w:rsid w:val="00F77228"/>
    <w:rsid w:val="00F773A2"/>
    <w:rsid w:val="00F77CBB"/>
    <w:rsid w:val="00F80303"/>
    <w:rsid w:val="00F80CBF"/>
    <w:rsid w:val="00F80DE7"/>
    <w:rsid w:val="00F80ECF"/>
    <w:rsid w:val="00F811C1"/>
    <w:rsid w:val="00F8144C"/>
    <w:rsid w:val="00F81514"/>
    <w:rsid w:val="00F81776"/>
    <w:rsid w:val="00F817DD"/>
    <w:rsid w:val="00F81AAC"/>
    <w:rsid w:val="00F82A45"/>
    <w:rsid w:val="00F82FED"/>
    <w:rsid w:val="00F8342C"/>
    <w:rsid w:val="00F83800"/>
    <w:rsid w:val="00F8383D"/>
    <w:rsid w:val="00F83E5E"/>
    <w:rsid w:val="00F840FD"/>
    <w:rsid w:val="00F84197"/>
    <w:rsid w:val="00F841B1"/>
    <w:rsid w:val="00F845EB"/>
    <w:rsid w:val="00F848F7"/>
    <w:rsid w:val="00F84A98"/>
    <w:rsid w:val="00F84CF6"/>
    <w:rsid w:val="00F84F76"/>
    <w:rsid w:val="00F851AB"/>
    <w:rsid w:val="00F854DA"/>
    <w:rsid w:val="00F85623"/>
    <w:rsid w:val="00F857FD"/>
    <w:rsid w:val="00F85BCE"/>
    <w:rsid w:val="00F85C50"/>
    <w:rsid w:val="00F85C67"/>
    <w:rsid w:val="00F85D63"/>
    <w:rsid w:val="00F86072"/>
    <w:rsid w:val="00F8651D"/>
    <w:rsid w:val="00F867BB"/>
    <w:rsid w:val="00F8684F"/>
    <w:rsid w:val="00F86EE3"/>
    <w:rsid w:val="00F87409"/>
    <w:rsid w:val="00F8757D"/>
    <w:rsid w:val="00F87D53"/>
    <w:rsid w:val="00F87DB9"/>
    <w:rsid w:val="00F90E4A"/>
    <w:rsid w:val="00F90F01"/>
    <w:rsid w:val="00F911D4"/>
    <w:rsid w:val="00F913FF"/>
    <w:rsid w:val="00F919BE"/>
    <w:rsid w:val="00F91AD0"/>
    <w:rsid w:val="00F91EE6"/>
    <w:rsid w:val="00F9207F"/>
    <w:rsid w:val="00F92768"/>
    <w:rsid w:val="00F93831"/>
    <w:rsid w:val="00F93981"/>
    <w:rsid w:val="00F93F67"/>
    <w:rsid w:val="00F94770"/>
    <w:rsid w:val="00F94CA0"/>
    <w:rsid w:val="00F94DEF"/>
    <w:rsid w:val="00F9518E"/>
    <w:rsid w:val="00F95AE7"/>
    <w:rsid w:val="00F95BE2"/>
    <w:rsid w:val="00F96383"/>
    <w:rsid w:val="00F963B1"/>
    <w:rsid w:val="00F9661D"/>
    <w:rsid w:val="00F9662F"/>
    <w:rsid w:val="00F9672C"/>
    <w:rsid w:val="00F96745"/>
    <w:rsid w:val="00F969C1"/>
    <w:rsid w:val="00F9751B"/>
    <w:rsid w:val="00F9771E"/>
    <w:rsid w:val="00F97B1C"/>
    <w:rsid w:val="00F97BB8"/>
    <w:rsid w:val="00F97DD4"/>
    <w:rsid w:val="00F97E83"/>
    <w:rsid w:val="00FA022E"/>
    <w:rsid w:val="00FA0A03"/>
    <w:rsid w:val="00FA1B2A"/>
    <w:rsid w:val="00FA1E33"/>
    <w:rsid w:val="00FA2112"/>
    <w:rsid w:val="00FA2348"/>
    <w:rsid w:val="00FA234E"/>
    <w:rsid w:val="00FA2812"/>
    <w:rsid w:val="00FA331C"/>
    <w:rsid w:val="00FA35B1"/>
    <w:rsid w:val="00FA37A0"/>
    <w:rsid w:val="00FA37E4"/>
    <w:rsid w:val="00FA3B96"/>
    <w:rsid w:val="00FA3CBE"/>
    <w:rsid w:val="00FA3F5C"/>
    <w:rsid w:val="00FA4055"/>
    <w:rsid w:val="00FA41F2"/>
    <w:rsid w:val="00FA42AA"/>
    <w:rsid w:val="00FA4B7F"/>
    <w:rsid w:val="00FA52D2"/>
    <w:rsid w:val="00FA5450"/>
    <w:rsid w:val="00FA5E3F"/>
    <w:rsid w:val="00FA5EE1"/>
    <w:rsid w:val="00FA634A"/>
    <w:rsid w:val="00FA63F6"/>
    <w:rsid w:val="00FA656A"/>
    <w:rsid w:val="00FA659B"/>
    <w:rsid w:val="00FA6C95"/>
    <w:rsid w:val="00FA7010"/>
    <w:rsid w:val="00FA70E6"/>
    <w:rsid w:val="00FA716D"/>
    <w:rsid w:val="00FA729E"/>
    <w:rsid w:val="00FA7A70"/>
    <w:rsid w:val="00FA7C19"/>
    <w:rsid w:val="00FB0237"/>
    <w:rsid w:val="00FB02A1"/>
    <w:rsid w:val="00FB0822"/>
    <w:rsid w:val="00FB097A"/>
    <w:rsid w:val="00FB0BE9"/>
    <w:rsid w:val="00FB0C0F"/>
    <w:rsid w:val="00FB0E30"/>
    <w:rsid w:val="00FB15F3"/>
    <w:rsid w:val="00FB1668"/>
    <w:rsid w:val="00FB1B4C"/>
    <w:rsid w:val="00FB233A"/>
    <w:rsid w:val="00FB23D8"/>
    <w:rsid w:val="00FB2467"/>
    <w:rsid w:val="00FB2642"/>
    <w:rsid w:val="00FB2858"/>
    <w:rsid w:val="00FB285E"/>
    <w:rsid w:val="00FB29A8"/>
    <w:rsid w:val="00FB2A31"/>
    <w:rsid w:val="00FB30A7"/>
    <w:rsid w:val="00FB32A5"/>
    <w:rsid w:val="00FB3F5F"/>
    <w:rsid w:val="00FB3FB4"/>
    <w:rsid w:val="00FB454B"/>
    <w:rsid w:val="00FB4E53"/>
    <w:rsid w:val="00FB56DE"/>
    <w:rsid w:val="00FB5C02"/>
    <w:rsid w:val="00FB5F31"/>
    <w:rsid w:val="00FB6641"/>
    <w:rsid w:val="00FB6713"/>
    <w:rsid w:val="00FB687F"/>
    <w:rsid w:val="00FB6AC8"/>
    <w:rsid w:val="00FB6E9B"/>
    <w:rsid w:val="00FB6FCF"/>
    <w:rsid w:val="00FB713C"/>
    <w:rsid w:val="00FB7445"/>
    <w:rsid w:val="00FB7F58"/>
    <w:rsid w:val="00FC0A79"/>
    <w:rsid w:val="00FC0B75"/>
    <w:rsid w:val="00FC0F1C"/>
    <w:rsid w:val="00FC12B7"/>
    <w:rsid w:val="00FC145F"/>
    <w:rsid w:val="00FC1AC1"/>
    <w:rsid w:val="00FC1CD4"/>
    <w:rsid w:val="00FC1E25"/>
    <w:rsid w:val="00FC204A"/>
    <w:rsid w:val="00FC21AD"/>
    <w:rsid w:val="00FC2642"/>
    <w:rsid w:val="00FC3114"/>
    <w:rsid w:val="00FC31CC"/>
    <w:rsid w:val="00FC322C"/>
    <w:rsid w:val="00FC3496"/>
    <w:rsid w:val="00FC3EB0"/>
    <w:rsid w:val="00FC469A"/>
    <w:rsid w:val="00FC4769"/>
    <w:rsid w:val="00FC489E"/>
    <w:rsid w:val="00FC62CB"/>
    <w:rsid w:val="00FC67E7"/>
    <w:rsid w:val="00FC6B03"/>
    <w:rsid w:val="00FC6B27"/>
    <w:rsid w:val="00FC6C4A"/>
    <w:rsid w:val="00FC6C5F"/>
    <w:rsid w:val="00FC6E34"/>
    <w:rsid w:val="00FC730B"/>
    <w:rsid w:val="00FC7A07"/>
    <w:rsid w:val="00FD040E"/>
    <w:rsid w:val="00FD0964"/>
    <w:rsid w:val="00FD0E05"/>
    <w:rsid w:val="00FD0F85"/>
    <w:rsid w:val="00FD10E0"/>
    <w:rsid w:val="00FD1261"/>
    <w:rsid w:val="00FD18AB"/>
    <w:rsid w:val="00FD1C68"/>
    <w:rsid w:val="00FD2125"/>
    <w:rsid w:val="00FD2462"/>
    <w:rsid w:val="00FD2862"/>
    <w:rsid w:val="00FD2AD2"/>
    <w:rsid w:val="00FD38EF"/>
    <w:rsid w:val="00FD3AC5"/>
    <w:rsid w:val="00FD426B"/>
    <w:rsid w:val="00FD43BA"/>
    <w:rsid w:val="00FD454E"/>
    <w:rsid w:val="00FD45DC"/>
    <w:rsid w:val="00FD4ACF"/>
    <w:rsid w:val="00FD4C48"/>
    <w:rsid w:val="00FD4C97"/>
    <w:rsid w:val="00FD4DAD"/>
    <w:rsid w:val="00FD513E"/>
    <w:rsid w:val="00FD55D3"/>
    <w:rsid w:val="00FD5961"/>
    <w:rsid w:val="00FD59B9"/>
    <w:rsid w:val="00FD5ABC"/>
    <w:rsid w:val="00FD5AF6"/>
    <w:rsid w:val="00FD5DEC"/>
    <w:rsid w:val="00FD5F09"/>
    <w:rsid w:val="00FD6D35"/>
    <w:rsid w:val="00FD6FB1"/>
    <w:rsid w:val="00FD7156"/>
    <w:rsid w:val="00FD79D4"/>
    <w:rsid w:val="00FE021E"/>
    <w:rsid w:val="00FE078D"/>
    <w:rsid w:val="00FE09DC"/>
    <w:rsid w:val="00FE0D32"/>
    <w:rsid w:val="00FE1298"/>
    <w:rsid w:val="00FE12B1"/>
    <w:rsid w:val="00FE134C"/>
    <w:rsid w:val="00FE18BF"/>
    <w:rsid w:val="00FE1E87"/>
    <w:rsid w:val="00FE1FDA"/>
    <w:rsid w:val="00FE2CBD"/>
    <w:rsid w:val="00FE2D2E"/>
    <w:rsid w:val="00FE30F7"/>
    <w:rsid w:val="00FE317D"/>
    <w:rsid w:val="00FE31D8"/>
    <w:rsid w:val="00FE32DC"/>
    <w:rsid w:val="00FE3462"/>
    <w:rsid w:val="00FE34B9"/>
    <w:rsid w:val="00FE34C9"/>
    <w:rsid w:val="00FE34FE"/>
    <w:rsid w:val="00FE3617"/>
    <w:rsid w:val="00FE3883"/>
    <w:rsid w:val="00FE3B37"/>
    <w:rsid w:val="00FE3B9D"/>
    <w:rsid w:val="00FE3E65"/>
    <w:rsid w:val="00FE41DC"/>
    <w:rsid w:val="00FE4438"/>
    <w:rsid w:val="00FE44A2"/>
    <w:rsid w:val="00FE44B4"/>
    <w:rsid w:val="00FE44CE"/>
    <w:rsid w:val="00FE4B83"/>
    <w:rsid w:val="00FE518F"/>
    <w:rsid w:val="00FE589E"/>
    <w:rsid w:val="00FE5A6C"/>
    <w:rsid w:val="00FE5BE5"/>
    <w:rsid w:val="00FE5DF0"/>
    <w:rsid w:val="00FE69E1"/>
    <w:rsid w:val="00FE6ED7"/>
    <w:rsid w:val="00FE7B63"/>
    <w:rsid w:val="00FF0059"/>
    <w:rsid w:val="00FF01B5"/>
    <w:rsid w:val="00FF0212"/>
    <w:rsid w:val="00FF0338"/>
    <w:rsid w:val="00FF047C"/>
    <w:rsid w:val="00FF0901"/>
    <w:rsid w:val="00FF1739"/>
    <w:rsid w:val="00FF17AA"/>
    <w:rsid w:val="00FF19C6"/>
    <w:rsid w:val="00FF1B09"/>
    <w:rsid w:val="00FF1B44"/>
    <w:rsid w:val="00FF1D60"/>
    <w:rsid w:val="00FF2A01"/>
    <w:rsid w:val="00FF366C"/>
    <w:rsid w:val="00FF39E1"/>
    <w:rsid w:val="00FF3F78"/>
    <w:rsid w:val="00FF41E8"/>
    <w:rsid w:val="00FF4318"/>
    <w:rsid w:val="00FF4406"/>
    <w:rsid w:val="00FF4666"/>
    <w:rsid w:val="00FF47DE"/>
    <w:rsid w:val="00FF4830"/>
    <w:rsid w:val="00FF4839"/>
    <w:rsid w:val="00FF4964"/>
    <w:rsid w:val="00FF4B70"/>
    <w:rsid w:val="00FF4B8A"/>
    <w:rsid w:val="00FF4E76"/>
    <w:rsid w:val="00FF4FCF"/>
    <w:rsid w:val="00FF5CF3"/>
    <w:rsid w:val="00FF5CFD"/>
    <w:rsid w:val="00FF5DBB"/>
    <w:rsid w:val="00FF6251"/>
    <w:rsid w:val="00FF6C52"/>
    <w:rsid w:val="00FF6FC5"/>
    <w:rsid w:val="00FF71CF"/>
    <w:rsid w:val="00FF74DC"/>
    <w:rsid w:val="00FF7801"/>
    <w:rsid w:val="00FF7A59"/>
    <w:rsid w:val="00FF7AF1"/>
    <w:rsid w:val="00FF7F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c30,#f30,#960,#6f3,#f60,#c00"/>
    </o:shapedefaults>
    <o:shapelayout v:ext="edit">
      <o:idmap v:ext="edit" data="2"/>
    </o:shapelayout>
  </w:shapeDefaults>
  <w:decimalSymbol w:val="."/>
  <w:listSeparator w:val=";"/>
  <w14:docId w14:val="37745AE8"/>
  <w15:docId w15:val="{5402B5CF-6E0E-44ED-9D08-B4878F43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Standardowy111"/>
    <w:qFormat/>
    <w:rsid w:val="00F83800"/>
    <w:pPr>
      <w:spacing w:line="360" w:lineRule="auto"/>
      <w:ind w:firstLine="567"/>
      <w:jc w:val="both"/>
    </w:pPr>
    <w:rPr>
      <w:rFonts w:ascii="Tahoma" w:hAnsi="Tahoma"/>
      <w:sz w:val="22"/>
      <w:szCs w:val="24"/>
    </w:rPr>
  </w:style>
  <w:style w:type="paragraph" w:styleId="Nagwek1">
    <w:name w:val="heading 1"/>
    <w:basedOn w:val="Normalny"/>
    <w:next w:val="Normalny"/>
    <w:link w:val="Nagwek1Znak"/>
    <w:qFormat/>
    <w:rsid w:val="000A6EC3"/>
    <w:pPr>
      <w:keepNext/>
      <w:numPr>
        <w:numId w:val="1"/>
      </w:numPr>
      <w:tabs>
        <w:tab w:val="clear" w:pos="2984"/>
        <w:tab w:val="num" w:pos="432"/>
      </w:tabs>
      <w:spacing w:before="240" w:after="60"/>
      <w:ind w:left="432"/>
      <w:jc w:val="center"/>
      <w:outlineLvl w:val="0"/>
    </w:pPr>
    <w:rPr>
      <w:b/>
      <w:bCs/>
      <w:kern w:val="32"/>
      <w:sz w:val="28"/>
      <w:szCs w:val="32"/>
    </w:rPr>
  </w:style>
  <w:style w:type="paragraph" w:styleId="Nagwek2">
    <w:name w:val="heading 2"/>
    <w:basedOn w:val="Normalny"/>
    <w:next w:val="Normalny"/>
    <w:link w:val="Nagwek2Znak"/>
    <w:qFormat/>
    <w:rsid w:val="000A6EC3"/>
    <w:pPr>
      <w:keepNext/>
      <w:numPr>
        <w:ilvl w:val="1"/>
        <w:numId w:val="1"/>
      </w:numPr>
      <w:spacing w:before="240" w:after="60"/>
      <w:outlineLvl w:val="1"/>
    </w:pPr>
    <w:rPr>
      <w:b/>
      <w:bCs/>
      <w:iCs/>
      <w:szCs w:val="28"/>
    </w:rPr>
  </w:style>
  <w:style w:type="paragraph" w:styleId="Nagwek3">
    <w:name w:val="heading 3"/>
    <w:basedOn w:val="Normalny"/>
    <w:next w:val="Normalny"/>
    <w:link w:val="Nagwek3Znak"/>
    <w:qFormat/>
    <w:rsid w:val="000A6EC3"/>
    <w:pPr>
      <w:keepNext/>
      <w:numPr>
        <w:ilvl w:val="2"/>
        <w:numId w:val="1"/>
      </w:numPr>
      <w:outlineLvl w:val="2"/>
    </w:pPr>
    <w:rPr>
      <w:rFonts w:ascii="Arial" w:hAnsi="Arial"/>
      <w:i/>
      <w:sz w:val="20"/>
      <w:szCs w:val="20"/>
    </w:rPr>
  </w:style>
  <w:style w:type="paragraph" w:styleId="Nagwek4">
    <w:name w:val="heading 4"/>
    <w:basedOn w:val="Normalny"/>
    <w:next w:val="Normalny"/>
    <w:link w:val="Nagwek4Znak"/>
    <w:qFormat/>
    <w:rsid w:val="000A6EC3"/>
    <w:pPr>
      <w:keepNext/>
      <w:numPr>
        <w:ilvl w:val="3"/>
        <w:numId w:val="1"/>
      </w:numPr>
      <w:outlineLvl w:val="3"/>
    </w:pPr>
    <w:rPr>
      <w:rFonts w:ascii="Arial" w:hAnsi="Arial"/>
      <w:b/>
      <w:sz w:val="24"/>
      <w:szCs w:val="20"/>
    </w:rPr>
  </w:style>
  <w:style w:type="paragraph" w:styleId="Nagwek5">
    <w:name w:val="heading 5"/>
    <w:basedOn w:val="Normalny"/>
    <w:next w:val="Normalny"/>
    <w:link w:val="Nagwek5Znak"/>
    <w:qFormat/>
    <w:rsid w:val="000A6EC3"/>
    <w:pPr>
      <w:numPr>
        <w:ilvl w:val="4"/>
        <w:numId w:val="1"/>
      </w:numPr>
      <w:spacing w:before="240" w:after="60"/>
      <w:outlineLvl w:val="4"/>
    </w:pPr>
    <w:rPr>
      <w:rFonts w:ascii="Arial" w:hAnsi="Arial"/>
      <w:szCs w:val="20"/>
    </w:rPr>
  </w:style>
  <w:style w:type="paragraph" w:styleId="Nagwek6">
    <w:name w:val="heading 6"/>
    <w:basedOn w:val="Normalny"/>
    <w:next w:val="Normalny"/>
    <w:link w:val="Nagwek6Znak"/>
    <w:qFormat/>
    <w:rsid w:val="000A6EC3"/>
    <w:pPr>
      <w:numPr>
        <w:ilvl w:val="5"/>
        <w:numId w:val="1"/>
      </w:numPr>
      <w:spacing w:before="240" w:after="60"/>
      <w:outlineLvl w:val="5"/>
    </w:pPr>
    <w:rPr>
      <w:rFonts w:ascii="Times New Roman" w:hAnsi="Times New Roman"/>
      <w:i/>
      <w:szCs w:val="20"/>
    </w:rPr>
  </w:style>
  <w:style w:type="paragraph" w:styleId="Nagwek7">
    <w:name w:val="heading 7"/>
    <w:basedOn w:val="Normalny"/>
    <w:next w:val="Normalny"/>
    <w:qFormat/>
    <w:rsid w:val="000A6EC3"/>
    <w:pPr>
      <w:numPr>
        <w:ilvl w:val="6"/>
        <w:numId w:val="1"/>
      </w:numPr>
      <w:spacing w:before="240" w:after="60"/>
      <w:outlineLvl w:val="6"/>
    </w:pPr>
    <w:rPr>
      <w:rFonts w:ascii="Arial" w:hAnsi="Arial"/>
      <w:sz w:val="20"/>
      <w:szCs w:val="20"/>
    </w:rPr>
  </w:style>
  <w:style w:type="paragraph" w:styleId="Nagwek8">
    <w:name w:val="heading 8"/>
    <w:basedOn w:val="Normalny"/>
    <w:next w:val="Normalny"/>
    <w:qFormat/>
    <w:rsid w:val="000A6EC3"/>
    <w:pPr>
      <w:numPr>
        <w:ilvl w:val="7"/>
        <w:numId w:val="1"/>
      </w:numPr>
      <w:spacing w:before="240" w:after="60"/>
      <w:outlineLvl w:val="7"/>
    </w:pPr>
    <w:rPr>
      <w:rFonts w:ascii="Arial" w:hAnsi="Arial"/>
      <w:i/>
      <w:sz w:val="20"/>
      <w:szCs w:val="20"/>
    </w:rPr>
  </w:style>
  <w:style w:type="paragraph" w:styleId="Nagwek9">
    <w:name w:val="heading 9"/>
    <w:basedOn w:val="Normalny"/>
    <w:next w:val="Normalny"/>
    <w:qFormat/>
    <w:rsid w:val="000A6EC3"/>
    <w:pPr>
      <w:numPr>
        <w:ilvl w:val="8"/>
        <w:numId w:val="1"/>
      </w:numPr>
      <w:spacing w:before="240" w:after="60"/>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79C7"/>
    <w:rPr>
      <w:rFonts w:ascii="Tahoma" w:hAnsi="Tahoma"/>
      <w:b/>
      <w:bCs/>
      <w:kern w:val="32"/>
      <w:sz w:val="28"/>
      <w:szCs w:val="32"/>
    </w:rPr>
  </w:style>
  <w:style w:type="character" w:customStyle="1" w:styleId="Nagwek2Znak">
    <w:name w:val="Nagłówek 2 Znak"/>
    <w:link w:val="Nagwek2"/>
    <w:rsid w:val="007B79C7"/>
    <w:rPr>
      <w:rFonts w:ascii="Tahoma" w:hAnsi="Tahoma"/>
      <w:b/>
      <w:bCs/>
      <w:iCs/>
      <w:sz w:val="22"/>
      <w:szCs w:val="28"/>
    </w:rPr>
  </w:style>
  <w:style w:type="character" w:customStyle="1" w:styleId="Nagwek3Znak">
    <w:name w:val="Nagłówek 3 Znak"/>
    <w:link w:val="Nagwek3"/>
    <w:rsid w:val="007B79C7"/>
    <w:rPr>
      <w:rFonts w:ascii="Arial" w:hAnsi="Arial"/>
      <w:i/>
    </w:rPr>
  </w:style>
  <w:style w:type="paragraph" w:styleId="Tekstpodstawowy">
    <w:name w:val="Body Text"/>
    <w:basedOn w:val="Normalny"/>
    <w:link w:val="TekstpodstawowyZnak"/>
    <w:rsid w:val="000A6EC3"/>
    <w:pPr>
      <w:spacing w:before="120"/>
      <w:ind w:firstLine="0"/>
    </w:pPr>
    <w:rPr>
      <w:i/>
      <w:iCs/>
      <w:sz w:val="20"/>
    </w:rPr>
  </w:style>
  <w:style w:type="character" w:styleId="Numerstrony">
    <w:name w:val="page number"/>
    <w:basedOn w:val="Domylnaczcionkaakapitu"/>
    <w:rsid w:val="000A6EC3"/>
  </w:style>
  <w:style w:type="paragraph" w:styleId="Tekstpodstawowywcity">
    <w:name w:val="Body Text Indent"/>
    <w:basedOn w:val="Normalny"/>
    <w:link w:val="TekstpodstawowywcityZnak"/>
    <w:rsid w:val="000A6EC3"/>
  </w:style>
  <w:style w:type="paragraph" w:styleId="Legenda">
    <w:name w:val="caption"/>
    <w:aliases w:val="Podpis nad obiektem,Legenda Znak Znak Znak,Legenda Znak Znak Znak Znak,Legenda Znak Znak Znak Znak Znak Znak,Legenda Znak Znak Znak Znak Znak Znak Znak,Legenda Znak Znak,Legenda Znak Znak Znak Znak Znak Znak Znak Znak Znak Z,Legenda Znak Z, Znak"/>
    <w:basedOn w:val="Normalny"/>
    <w:next w:val="Normalny"/>
    <w:link w:val="LegendaZnak"/>
    <w:qFormat/>
    <w:rsid w:val="000A6EC3"/>
    <w:pPr>
      <w:spacing w:before="120" w:after="120"/>
    </w:pPr>
    <w:rPr>
      <w:b/>
      <w:bCs/>
      <w:sz w:val="20"/>
      <w:szCs w:val="20"/>
    </w:rPr>
  </w:style>
  <w:style w:type="paragraph" w:styleId="Tekstpodstawowywcity2">
    <w:name w:val="Body Text Indent 2"/>
    <w:basedOn w:val="Normalny"/>
    <w:rsid w:val="000A6EC3"/>
    <w:pPr>
      <w:spacing w:line="259" w:lineRule="exact"/>
      <w:ind w:firstLine="708"/>
    </w:pPr>
    <w:rPr>
      <w:rFonts w:ascii="Times New Roman" w:hAnsi="Times New Roman"/>
    </w:rPr>
  </w:style>
  <w:style w:type="paragraph" w:styleId="Tekstpodstawowywcity3">
    <w:name w:val="Body Text Indent 3"/>
    <w:basedOn w:val="Normalny"/>
    <w:rsid w:val="000A6EC3"/>
    <w:rPr>
      <w:b/>
      <w:bCs/>
    </w:rPr>
  </w:style>
  <w:style w:type="paragraph" w:styleId="Tekstprzypisudolnego">
    <w:name w:val="footnote text"/>
    <w:aliases w:val="Tekst przypisu,przypisy,Podrozdział,Footnote,Podrozdzia3 Znak,przypisy Znak Znak Znak Znak,przypisy Znak Znak Znak,Podrozdzia3,Znak1,Przypis dolny,Tekst przypisu- dokt,Fußnote,Tekst przypisu- dokt Znak Znak,Znak11,-E Fuﬂnotentext"/>
    <w:basedOn w:val="Normalny"/>
    <w:link w:val="TekstprzypisudolnegoZnak"/>
    <w:uiPriority w:val="99"/>
    <w:qFormat/>
    <w:rsid w:val="000A6EC3"/>
    <w:pPr>
      <w:spacing w:line="240" w:lineRule="auto"/>
      <w:ind w:firstLine="0"/>
      <w:jc w:val="left"/>
    </w:pPr>
    <w:rPr>
      <w:sz w:val="20"/>
      <w:szCs w:val="20"/>
    </w:rPr>
  </w:style>
  <w:style w:type="character" w:customStyle="1" w:styleId="TekstprzypisudolnegoZnak">
    <w:name w:val="Tekst przypisu dolnego Znak"/>
    <w:aliases w:val="Tekst przypisu Znak,przypisy Znak,Podrozdział Znak,Footnote Znak,Podrozdzia3 Znak Znak,przypisy Znak Znak Znak Znak Znak,przypisy Znak Znak Znak Znak1,Podrozdzia3 Znak1,Znak1 Znak,Przypis dolny Znak,Tekst przypisu- dokt Znak"/>
    <w:link w:val="Tekstprzypisudolnego"/>
    <w:uiPriority w:val="99"/>
    <w:rsid w:val="007B79C7"/>
    <w:rPr>
      <w:rFonts w:ascii="Tahoma" w:hAnsi="Tahoma"/>
    </w:rPr>
  </w:style>
  <w:style w:type="character" w:styleId="Odwoanieprzypisudolnego">
    <w:name w:val="footnote reference"/>
    <w:aliases w:val="Odwołanie przypisu,Odwo³anie przypisu,Footnote Reference Number,Odwołanie przypisu1,Odwołanie przypisu2,EN Footnote Reference,Times 10 Point,Exposant 3 Point,Footnote symbol,Footnote reference number,note TESI,SUPERS,Ref"/>
    <w:uiPriority w:val="99"/>
    <w:qFormat/>
    <w:rsid w:val="000A6EC3"/>
    <w:rPr>
      <w:vertAlign w:val="superscript"/>
    </w:rPr>
  </w:style>
  <w:style w:type="paragraph" w:styleId="Spistreci2">
    <w:name w:val="toc 2"/>
    <w:basedOn w:val="Normalny"/>
    <w:next w:val="Normalny"/>
    <w:autoRedefine/>
    <w:uiPriority w:val="39"/>
    <w:rsid w:val="0028063B"/>
    <w:pPr>
      <w:tabs>
        <w:tab w:val="left" w:pos="720"/>
        <w:tab w:val="left" w:pos="851"/>
        <w:tab w:val="right" w:leader="dot" w:pos="9062"/>
      </w:tabs>
      <w:ind w:left="738" w:hanging="454"/>
      <w:jc w:val="left"/>
    </w:pPr>
  </w:style>
  <w:style w:type="paragraph" w:styleId="Spistreci1">
    <w:name w:val="toc 1"/>
    <w:basedOn w:val="Normalny"/>
    <w:next w:val="Normalny"/>
    <w:autoRedefine/>
    <w:uiPriority w:val="39"/>
    <w:rsid w:val="001D1288"/>
    <w:pPr>
      <w:tabs>
        <w:tab w:val="left" w:pos="360"/>
        <w:tab w:val="right" w:leader="dot" w:pos="9062"/>
      </w:tabs>
      <w:ind w:left="357" w:hanging="357"/>
      <w:jc w:val="left"/>
    </w:pPr>
  </w:style>
  <w:style w:type="character" w:styleId="Hipercze">
    <w:name w:val="Hyperlink"/>
    <w:uiPriority w:val="99"/>
    <w:rsid w:val="000A6EC3"/>
    <w:rPr>
      <w:color w:val="0000FF"/>
      <w:u w:val="single"/>
    </w:rPr>
  </w:style>
  <w:style w:type="paragraph" w:styleId="Nagwek">
    <w:name w:val="header"/>
    <w:aliases w:val="Nagłówek strony"/>
    <w:basedOn w:val="Normalny"/>
    <w:link w:val="NagwekZnak"/>
    <w:rsid w:val="000A6EC3"/>
    <w:pPr>
      <w:tabs>
        <w:tab w:val="center" w:pos="4536"/>
        <w:tab w:val="right" w:pos="9072"/>
      </w:tabs>
    </w:pPr>
  </w:style>
  <w:style w:type="character" w:customStyle="1" w:styleId="NagwekZnak">
    <w:name w:val="Nagłówek Znak"/>
    <w:aliases w:val="Nagłówek strony Znak"/>
    <w:link w:val="Nagwek"/>
    <w:rsid w:val="007B79C7"/>
    <w:rPr>
      <w:rFonts w:ascii="Tahoma" w:hAnsi="Tahoma"/>
      <w:sz w:val="22"/>
      <w:szCs w:val="24"/>
    </w:rPr>
  </w:style>
  <w:style w:type="paragraph" w:styleId="Stopka">
    <w:name w:val="footer"/>
    <w:basedOn w:val="Normalny"/>
    <w:link w:val="StopkaZnak"/>
    <w:rsid w:val="000A6EC3"/>
    <w:pPr>
      <w:tabs>
        <w:tab w:val="center" w:pos="4536"/>
        <w:tab w:val="right" w:pos="9072"/>
      </w:tabs>
    </w:pPr>
  </w:style>
  <w:style w:type="character" w:customStyle="1" w:styleId="StopkaZnak">
    <w:name w:val="Stopka Znak"/>
    <w:link w:val="Stopka"/>
    <w:rsid w:val="007B79C7"/>
    <w:rPr>
      <w:rFonts w:ascii="Tahoma" w:hAnsi="Tahoma"/>
      <w:sz w:val="22"/>
      <w:szCs w:val="24"/>
    </w:rPr>
  </w:style>
  <w:style w:type="paragraph" w:customStyle="1" w:styleId="umowa">
    <w:name w:val="umowa"/>
    <w:basedOn w:val="Normalny"/>
    <w:rsid w:val="000A6EC3"/>
    <w:pPr>
      <w:spacing w:line="240" w:lineRule="auto"/>
      <w:ind w:firstLine="0"/>
    </w:pPr>
    <w:rPr>
      <w:szCs w:val="20"/>
    </w:rPr>
  </w:style>
  <w:style w:type="paragraph" w:styleId="Tekstdymka">
    <w:name w:val="Balloon Text"/>
    <w:basedOn w:val="Normalny"/>
    <w:link w:val="TekstdymkaZnak"/>
    <w:rsid w:val="000A6EC3"/>
    <w:rPr>
      <w:sz w:val="16"/>
      <w:szCs w:val="16"/>
    </w:rPr>
  </w:style>
  <w:style w:type="character" w:customStyle="1" w:styleId="TekstdymkaZnak">
    <w:name w:val="Tekst dymka Znak"/>
    <w:link w:val="Tekstdymka"/>
    <w:rsid w:val="007B79C7"/>
    <w:rPr>
      <w:rFonts w:ascii="Tahoma" w:hAnsi="Tahoma" w:cs="Tahoma"/>
      <w:sz w:val="16"/>
      <w:szCs w:val="16"/>
    </w:rPr>
  </w:style>
  <w:style w:type="paragraph" w:styleId="Tekstpodstawowy2">
    <w:name w:val="Body Text 2"/>
    <w:basedOn w:val="Normalny"/>
    <w:rsid w:val="000A6EC3"/>
    <w:pPr>
      <w:ind w:firstLine="0"/>
      <w:jc w:val="center"/>
    </w:pPr>
    <w:rPr>
      <w:b/>
      <w:color w:val="0000FF"/>
      <w:sz w:val="44"/>
      <w:szCs w:val="52"/>
    </w:rPr>
  </w:style>
  <w:style w:type="paragraph" w:styleId="Tekstpodstawowy3">
    <w:name w:val="Body Text 3"/>
    <w:basedOn w:val="Normalny"/>
    <w:rsid w:val="000A6EC3"/>
    <w:pPr>
      <w:spacing w:before="120"/>
      <w:ind w:firstLine="0"/>
      <w:jc w:val="left"/>
    </w:pPr>
    <w:rPr>
      <w:rFonts w:cs="Tahoma"/>
    </w:rPr>
  </w:style>
  <w:style w:type="character" w:styleId="Pogrubienie">
    <w:name w:val="Strong"/>
    <w:uiPriority w:val="22"/>
    <w:qFormat/>
    <w:rsid w:val="000A6EC3"/>
    <w:rPr>
      <w:b/>
      <w:bCs/>
    </w:rPr>
  </w:style>
  <w:style w:type="paragraph" w:styleId="Tekstprzypisukocowego">
    <w:name w:val="endnote text"/>
    <w:basedOn w:val="Normalny"/>
    <w:link w:val="TekstprzypisukocowegoZnak"/>
    <w:semiHidden/>
    <w:rsid w:val="000A6EC3"/>
    <w:rPr>
      <w:sz w:val="20"/>
      <w:szCs w:val="20"/>
    </w:rPr>
  </w:style>
  <w:style w:type="character" w:customStyle="1" w:styleId="TekstprzypisukocowegoZnak">
    <w:name w:val="Tekst przypisu końcowego Znak"/>
    <w:link w:val="Tekstprzypisukocowego"/>
    <w:rsid w:val="007B79C7"/>
    <w:rPr>
      <w:rFonts w:ascii="Tahoma" w:hAnsi="Tahoma"/>
    </w:rPr>
  </w:style>
  <w:style w:type="character" w:styleId="Odwoanieprzypisukocowego">
    <w:name w:val="endnote reference"/>
    <w:uiPriority w:val="99"/>
    <w:semiHidden/>
    <w:rsid w:val="000A6EC3"/>
    <w:rPr>
      <w:vertAlign w:val="superscript"/>
    </w:rPr>
  </w:style>
  <w:style w:type="table" w:styleId="Tabela-Siatka">
    <w:name w:val="Table Grid"/>
    <w:basedOn w:val="Standardowy"/>
    <w:uiPriority w:val="59"/>
    <w:rsid w:val="007E5179"/>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A32776"/>
    <w:rPr>
      <w:sz w:val="16"/>
      <w:szCs w:val="16"/>
    </w:rPr>
  </w:style>
  <w:style w:type="paragraph" w:styleId="Tekstkomentarza">
    <w:name w:val="annotation text"/>
    <w:basedOn w:val="Normalny"/>
    <w:link w:val="TekstkomentarzaZnak"/>
    <w:uiPriority w:val="99"/>
    <w:semiHidden/>
    <w:rsid w:val="00A32776"/>
    <w:rPr>
      <w:sz w:val="20"/>
      <w:szCs w:val="20"/>
    </w:rPr>
  </w:style>
  <w:style w:type="character" w:customStyle="1" w:styleId="TekstkomentarzaZnak">
    <w:name w:val="Tekst komentarza Znak"/>
    <w:link w:val="Tekstkomentarza"/>
    <w:uiPriority w:val="99"/>
    <w:semiHidden/>
    <w:rsid w:val="00FB02A1"/>
    <w:rPr>
      <w:rFonts w:ascii="Tahoma" w:hAnsi="Tahoma"/>
    </w:rPr>
  </w:style>
  <w:style w:type="paragraph" w:styleId="Tematkomentarza">
    <w:name w:val="annotation subject"/>
    <w:basedOn w:val="Tekstkomentarza"/>
    <w:next w:val="Tekstkomentarza"/>
    <w:semiHidden/>
    <w:rsid w:val="00A32776"/>
    <w:rPr>
      <w:b/>
      <w:bCs/>
    </w:rPr>
  </w:style>
  <w:style w:type="paragraph" w:customStyle="1" w:styleId="StylPrzed6ptPo6pt">
    <w:name w:val="Styl Przed:  6 pt Po:  6 pt"/>
    <w:basedOn w:val="Normalny"/>
    <w:rsid w:val="00895D45"/>
    <w:rPr>
      <w:szCs w:val="20"/>
    </w:rPr>
  </w:style>
  <w:style w:type="table" w:styleId="Tabela-Siatka1">
    <w:name w:val="Table Grid 1"/>
    <w:basedOn w:val="Standardowy"/>
    <w:rsid w:val="00895D45"/>
    <w:pPr>
      <w:spacing w:line="360" w:lineRule="auto"/>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
    <w:name w:val="1"/>
    <w:basedOn w:val="Normalny"/>
    <w:semiHidden/>
    <w:rsid w:val="00895D45"/>
    <w:pPr>
      <w:spacing w:line="240" w:lineRule="auto"/>
      <w:ind w:firstLine="0"/>
      <w:jc w:val="left"/>
    </w:pPr>
    <w:rPr>
      <w:sz w:val="20"/>
      <w:szCs w:val="20"/>
    </w:rPr>
  </w:style>
  <w:style w:type="paragraph" w:customStyle="1" w:styleId="Styl3">
    <w:name w:val="Styl3"/>
    <w:basedOn w:val="Nagwek1"/>
    <w:autoRedefine/>
    <w:rsid w:val="00895D45"/>
    <w:pPr>
      <w:numPr>
        <w:numId w:val="2"/>
      </w:numPr>
      <w:spacing w:before="0" w:after="0"/>
      <w:jc w:val="both"/>
    </w:pPr>
    <w:rPr>
      <w:rFonts w:ascii="Times New Roman" w:hAnsi="Times New Roman"/>
      <w:bCs w:val="0"/>
      <w:kern w:val="0"/>
      <w:sz w:val="32"/>
    </w:rPr>
  </w:style>
  <w:style w:type="paragraph" w:styleId="Listapunktowana">
    <w:name w:val="List Bullet"/>
    <w:basedOn w:val="Normalny"/>
    <w:autoRedefine/>
    <w:uiPriority w:val="99"/>
    <w:rsid w:val="0052643D"/>
    <w:pPr>
      <w:numPr>
        <w:numId w:val="3"/>
      </w:numPr>
    </w:pPr>
  </w:style>
  <w:style w:type="paragraph" w:customStyle="1" w:styleId="Legenda1">
    <w:name w:val="Legenda1"/>
    <w:basedOn w:val="Normalny"/>
    <w:next w:val="Normalny"/>
    <w:rsid w:val="00B7527F"/>
    <w:pPr>
      <w:spacing w:line="240" w:lineRule="auto"/>
      <w:ind w:firstLine="0"/>
      <w:jc w:val="left"/>
    </w:pPr>
    <w:rPr>
      <w:rFonts w:cs="Arial"/>
      <w:b/>
      <w:bCs/>
      <w:sz w:val="20"/>
      <w:szCs w:val="20"/>
      <w:lang w:eastAsia="ar-SA"/>
    </w:rPr>
  </w:style>
  <w:style w:type="character" w:customStyle="1" w:styleId="st">
    <w:name w:val="st"/>
    <w:rsid w:val="001A044C"/>
  </w:style>
  <w:style w:type="paragraph" w:styleId="Akapitzlist">
    <w:name w:val="List Paragraph"/>
    <w:aliases w:val="Obiekt,List Paragraph1,BulletC,Akapit z listą31,List Paragraph,normalny tekst,TRAKO Akapit z listą,Numerowanie,Kolorowa lista — akcent 11,Normal,Bullets,Normalny2,A_wyliczenie,maz_wyliczenie,opis dzialania,K-P_odwolanie,lp1,Preambuła"/>
    <w:basedOn w:val="Normalny"/>
    <w:link w:val="AkapitzlistZnak"/>
    <w:uiPriority w:val="34"/>
    <w:qFormat/>
    <w:rsid w:val="007B79C7"/>
    <w:pPr>
      <w:spacing w:after="200" w:line="276" w:lineRule="auto"/>
      <w:ind w:left="720" w:firstLine="0"/>
      <w:contextualSpacing/>
      <w:jc w:val="left"/>
    </w:pPr>
    <w:rPr>
      <w:rFonts w:ascii="Calibri" w:eastAsia="Calibri" w:hAnsi="Calibri"/>
      <w:szCs w:val="22"/>
      <w:lang w:eastAsia="en-US"/>
    </w:rPr>
  </w:style>
  <w:style w:type="paragraph" w:styleId="NormalnyWeb">
    <w:name w:val="Normal (Web)"/>
    <w:basedOn w:val="Normalny"/>
    <w:unhideWhenUsed/>
    <w:rsid w:val="007B79C7"/>
    <w:pPr>
      <w:spacing w:before="100" w:beforeAutospacing="1" w:after="100" w:afterAutospacing="1" w:line="240" w:lineRule="auto"/>
      <w:ind w:firstLine="0"/>
      <w:jc w:val="left"/>
    </w:pPr>
    <w:rPr>
      <w:rFonts w:ascii="Times New Roman" w:hAnsi="Times New Roman"/>
      <w:sz w:val="24"/>
    </w:rPr>
  </w:style>
  <w:style w:type="paragraph" w:customStyle="1" w:styleId="Default">
    <w:name w:val="Default"/>
    <w:rsid w:val="007B79C7"/>
    <w:pPr>
      <w:autoSpaceDE w:val="0"/>
      <w:autoSpaceDN w:val="0"/>
      <w:adjustRightInd w:val="0"/>
    </w:pPr>
    <w:rPr>
      <w:rFonts w:eastAsia="Calibri"/>
      <w:color w:val="000000"/>
      <w:sz w:val="24"/>
      <w:szCs w:val="24"/>
      <w:lang w:eastAsia="en-US"/>
    </w:rPr>
  </w:style>
  <w:style w:type="paragraph" w:styleId="Spisilustracji">
    <w:name w:val="table of figures"/>
    <w:basedOn w:val="Normalny"/>
    <w:next w:val="Normalny"/>
    <w:uiPriority w:val="99"/>
    <w:unhideWhenUsed/>
    <w:rsid w:val="009059B5"/>
  </w:style>
  <w:style w:type="paragraph" w:styleId="Nagwekwykazurde">
    <w:name w:val="toa heading"/>
    <w:basedOn w:val="Normalny"/>
    <w:next w:val="Normalny"/>
    <w:uiPriority w:val="99"/>
    <w:semiHidden/>
    <w:unhideWhenUsed/>
    <w:rsid w:val="00162B30"/>
    <w:pPr>
      <w:spacing w:before="120"/>
    </w:pPr>
    <w:rPr>
      <w:rFonts w:ascii="Cambria" w:hAnsi="Cambria"/>
      <w:b/>
      <w:bCs/>
      <w:sz w:val="24"/>
    </w:rPr>
  </w:style>
  <w:style w:type="paragraph" w:styleId="Wykazrde">
    <w:name w:val="table of authorities"/>
    <w:basedOn w:val="Normalny"/>
    <w:next w:val="Normalny"/>
    <w:uiPriority w:val="99"/>
    <w:unhideWhenUsed/>
    <w:rsid w:val="00162B30"/>
    <w:pPr>
      <w:ind w:left="220" w:hanging="220"/>
    </w:pPr>
  </w:style>
  <w:style w:type="paragraph" w:styleId="Bezodstpw">
    <w:name w:val="No Spacing"/>
    <w:uiPriority w:val="1"/>
    <w:qFormat/>
    <w:rsid w:val="005777A5"/>
    <w:rPr>
      <w:rFonts w:ascii="Calibri" w:eastAsia="Calibri" w:hAnsi="Calibri"/>
      <w:sz w:val="22"/>
      <w:szCs w:val="22"/>
      <w:lang w:eastAsia="en-US"/>
    </w:rPr>
  </w:style>
  <w:style w:type="paragraph" w:customStyle="1" w:styleId="align-justify1">
    <w:name w:val="align-justify1"/>
    <w:basedOn w:val="Normalny"/>
    <w:rsid w:val="00831DAC"/>
    <w:pPr>
      <w:spacing w:line="255" w:lineRule="atLeast"/>
      <w:ind w:firstLine="0"/>
    </w:pPr>
    <w:rPr>
      <w:rFonts w:ascii="Arial" w:hAnsi="Arial" w:cs="Arial"/>
      <w:color w:val="313131"/>
      <w:sz w:val="18"/>
      <w:szCs w:val="18"/>
    </w:rPr>
  </w:style>
  <w:style w:type="paragraph" w:styleId="Zagicieodgryformularza">
    <w:name w:val="HTML Top of Form"/>
    <w:basedOn w:val="Normalny"/>
    <w:next w:val="Normalny"/>
    <w:link w:val="ZagicieodgryformularzaZnak"/>
    <w:hidden/>
    <w:uiPriority w:val="99"/>
    <w:semiHidden/>
    <w:unhideWhenUsed/>
    <w:rsid w:val="003705D4"/>
    <w:pPr>
      <w:pBdr>
        <w:bottom w:val="single" w:sz="6" w:space="1" w:color="auto"/>
      </w:pBdr>
      <w:spacing w:line="240" w:lineRule="auto"/>
      <w:ind w:firstLine="0"/>
      <w:jc w:val="center"/>
    </w:pPr>
    <w:rPr>
      <w:rFonts w:ascii="Arial" w:hAnsi="Arial"/>
      <w:vanish/>
      <w:sz w:val="16"/>
      <w:szCs w:val="16"/>
    </w:rPr>
  </w:style>
  <w:style w:type="character" w:customStyle="1" w:styleId="ZagicieodgryformularzaZnak">
    <w:name w:val="Zagięcie od góry formularza Znak"/>
    <w:link w:val="Zagicieodgryformularza"/>
    <w:uiPriority w:val="99"/>
    <w:semiHidden/>
    <w:rsid w:val="003705D4"/>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unhideWhenUsed/>
    <w:rsid w:val="003705D4"/>
    <w:pPr>
      <w:pBdr>
        <w:top w:val="single" w:sz="6" w:space="1" w:color="auto"/>
      </w:pBdr>
      <w:spacing w:line="240" w:lineRule="auto"/>
      <w:ind w:firstLine="0"/>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3705D4"/>
    <w:rPr>
      <w:rFonts w:ascii="Arial" w:hAnsi="Arial" w:cs="Arial"/>
      <w:vanish/>
      <w:sz w:val="16"/>
      <w:szCs w:val="16"/>
    </w:rPr>
  </w:style>
  <w:style w:type="character" w:customStyle="1" w:styleId="st1">
    <w:name w:val="st1"/>
    <w:basedOn w:val="Domylnaczcionkaakapitu"/>
    <w:rsid w:val="000A1CB3"/>
  </w:style>
  <w:style w:type="paragraph" w:customStyle="1" w:styleId="TableText">
    <w:name w:val="Table Text"/>
    <w:rsid w:val="003D1DC7"/>
    <w:pPr>
      <w:widowControl w:val="0"/>
      <w:suppressAutoHyphens/>
      <w:jc w:val="both"/>
    </w:pPr>
    <w:rPr>
      <w:rFonts w:ascii="Calibri" w:eastAsia="Arial" w:hAnsi="Calibri"/>
      <w:sz w:val="19"/>
      <w:lang w:eastAsia="ar-SA"/>
    </w:rPr>
  </w:style>
  <w:style w:type="character" w:customStyle="1" w:styleId="adress">
    <w:name w:val="adress"/>
    <w:basedOn w:val="Domylnaczcionkaakapitu"/>
    <w:rsid w:val="009F550E"/>
  </w:style>
  <w:style w:type="character" w:customStyle="1" w:styleId="street">
    <w:name w:val="street"/>
    <w:basedOn w:val="Domylnaczcionkaakapitu"/>
    <w:rsid w:val="009F550E"/>
  </w:style>
  <w:style w:type="paragraph" w:customStyle="1" w:styleId="StylPogrubieniePrzed12pt">
    <w:name w:val="Styl Pogrubienie Przed:  12 pt"/>
    <w:basedOn w:val="Normalny"/>
    <w:rsid w:val="0078366E"/>
    <w:pPr>
      <w:spacing w:before="240"/>
      <w:ind w:firstLine="0"/>
      <w:jc w:val="left"/>
    </w:pPr>
    <w:rPr>
      <w:rFonts w:ascii="Arial" w:hAnsi="Arial" w:cs="Arial"/>
      <w:b/>
      <w:bCs/>
      <w:sz w:val="24"/>
      <w:szCs w:val="20"/>
    </w:rPr>
  </w:style>
  <w:style w:type="paragraph" w:styleId="Mapadokumentu">
    <w:name w:val="Document Map"/>
    <w:basedOn w:val="Normalny"/>
    <w:link w:val="MapadokumentuZnak"/>
    <w:uiPriority w:val="99"/>
    <w:semiHidden/>
    <w:unhideWhenUsed/>
    <w:rsid w:val="00BB7C03"/>
    <w:rPr>
      <w:sz w:val="16"/>
      <w:szCs w:val="16"/>
    </w:rPr>
  </w:style>
  <w:style w:type="character" w:customStyle="1" w:styleId="MapadokumentuZnak">
    <w:name w:val="Mapa dokumentu Znak"/>
    <w:link w:val="Mapadokumentu"/>
    <w:uiPriority w:val="99"/>
    <w:semiHidden/>
    <w:rsid w:val="00BB7C03"/>
    <w:rPr>
      <w:rFonts w:ascii="Tahoma" w:hAnsi="Tahoma" w:cs="Tahoma"/>
      <w:sz w:val="16"/>
      <w:szCs w:val="16"/>
    </w:rPr>
  </w:style>
  <w:style w:type="character" w:customStyle="1" w:styleId="TekstpodstawowyZnak">
    <w:name w:val="Tekst podstawowy Znak"/>
    <w:link w:val="Tekstpodstawowy"/>
    <w:rsid w:val="00232B61"/>
    <w:rPr>
      <w:rFonts w:ascii="Tahoma" w:hAnsi="Tahoma"/>
      <w:i/>
      <w:iCs/>
      <w:szCs w:val="24"/>
    </w:rPr>
  </w:style>
  <w:style w:type="character" w:customStyle="1" w:styleId="AkapitzlistZnak">
    <w:name w:val="Akapit z listą Znak"/>
    <w:aliases w:val="Obiekt Znak,List Paragraph1 Znak,BulletC Znak,Akapit z listą31 Znak,List Paragraph Znak,normalny tekst Znak,TRAKO Akapit z listą Znak,Numerowanie Znak,Kolorowa lista — akcent 11 Znak,Normal Znak,Bullets Znak,Normalny2 Znak,lp1 Znak"/>
    <w:link w:val="Akapitzlist"/>
    <w:uiPriority w:val="34"/>
    <w:qFormat/>
    <w:locked/>
    <w:rsid w:val="002538F2"/>
    <w:rPr>
      <w:rFonts w:ascii="Calibri" w:eastAsia="Calibri" w:hAnsi="Calibri"/>
      <w:sz w:val="22"/>
      <w:szCs w:val="22"/>
      <w:lang w:eastAsia="en-US"/>
    </w:rPr>
  </w:style>
  <w:style w:type="character" w:customStyle="1" w:styleId="LegendaZnak">
    <w:name w:val="Legenda Znak"/>
    <w:aliases w:val="Podpis nad obiektem Znak,Legenda Znak Znak Znak Znak1,Legenda Znak Znak Znak Znak Znak,Legenda Znak Znak Znak Znak Znak Znak Znak1,Legenda Znak Znak Znak Znak Znak Znak Znak Znak,Legenda Znak Znak Znak1,Legenda Znak Z Znak, Znak Znak"/>
    <w:link w:val="Legenda"/>
    <w:rsid w:val="00AC4761"/>
    <w:rPr>
      <w:rFonts w:ascii="Tahoma" w:hAnsi="Tahoma"/>
      <w:b/>
      <w:bCs/>
    </w:rPr>
  </w:style>
  <w:style w:type="paragraph" w:customStyle="1" w:styleId="Akapitzlist1">
    <w:name w:val="Akapit z listą1"/>
    <w:basedOn w:val="Normalny"/>
    <w:rsid w:val="0052029E"/>
    <w:pPr>
      <w:suppressAutoHyphens/>
      <w:spacing w:after="160" w:line="252" w:lineRule="auto"/>
      <w:ind w:left="720" w:firstLine="0"/>
      <w:contextualSpacing/>
      <w:jc w:val="left"/>
    </w:pPr>
    <w:rPr>
      <w:rFonts w:ascii="Calibri" w:eastAsia="SimSun" w:hAnsi="Calibri" w:cs="Calibri"/>
      <w:color w:val="00000A"/>
      <w:kern w:val="1"/>
      <w:szCs w:val="22"/>
      <w:lang w:eastAsia="en-US"/>
    </w:rPr>
  </w:style>
  <w:style w:type="paragraph" w:customStyle="1" w:styleId="TytuizawartoLTGliederung2">
    <w:name w:val="Tytu? i zawarto??~LT~Gliederung 2"/>
    <w:basedOn w:val="Normalny"/>
    <w:rsid w:val="00097273"/>
    <w:pPr>
      <w:suppressAutoHyphens/>
      <w:spacing w:after="227" w:line="240" w:lineRule="auto"/>
      <w:ind w:firstLine="0"/>
      <w:jc w:val="left"/>
    </w:pPr>
    <w:rPr>
      <w:rFonts w:ascii="Mangal" w:eastAsia="Tahoma" w:hAnsi="Mangal" w:cs="Mangal"/>
      <w:color w:val="E9F9C9"/>
      <w:kern w:val="1"/>
      <w:sz w:val="46"/>
      <w:lang w:eastAsia="zh-CN" w:bidi="hi-IN"/>
    </w:rPr>
  </w:style>
  <w:style w:type="character" w:customStyle="1" w:styleId="WW8Num1z6">
    <w:name w:val="WW8Num1z6"/>
    <w:rsid w:val="00B775FA"/>
  </w:style>
  <w:style w:type="character" w:customStyle="1" w:styleId="apple-converted-space">
    <w:name w:val="apple-converted-space"/>
    <w:rsid w:val="00A6715C"/>
  </w:style>
  <w:style w:type="paragraph" w:customStyle="1" w:styleId="Akapitzlist2">
    <w:name w:val="Akapit z listą2"/>
    <w:basedOn w:val="Normalny"/>
    <w:rsid w:val="00F1124D"/>
    <w:pPr>
      <w:suppressAutoHyphens/>
      <w:spacing w:after="160" w:line="252" w:lineRule="auto"/>
      <w:ind w:left="720" w:firstLine="0"/>
      <w:contextualSpacing/>
      <w:jc w:val="left"/>
    </w:pPr>
    <w:rPr>
      <w:rFonts w:ascii="Calibri" w:eastAsia="SimSun" w:hAnsi="Calibri" w:cs="Calibri"/>
      <w:color w:val="00000A"/>
      <w:kern w:val="1"/>
      <w:szCs w:val="22"/>
      <w:lang w:eastAsia="en-US"/>
    </w:rPr>
  </w:style>
  <w:style w:type="paragraph" w:customStyle="1" w:styleId="Akapitzlist3">
    <w:name w:val="Akapit z listą3"/>
    <w:basedOn w:val="Normalny"/>
    <w:rsid w:val="0029495B"/>
    <w:pPr>
      <w:suppressAutoHyphens/>
      <w:spacing w:after="160" w:line="252" w:lineRule="auto"/>
      <w:ind w:left="720" w:firstLine="0"/>
      <w:contextualSpacing/>
      <w:jc w:val="left"/>
    </w:pPr>
    <w:rPr>
      <w:rFonts w:ascii="Calibri" w:eastAsia="SimSun" w:hAnsi="Calibri" w:cs="Calibri"/>
      <w:color w:val="00000A"/>
      <w:kern w:val="1"/>
      <w:szCs w:val="22"/>
      <w:lang w:eastAsia="en-US"/>
    </w:rPr>
  </w:style>
  <w:style w:type="paragraph" w:customStyle="1" w:styleId="Akapitzlist4">
    <w:name w:val="Akapit z listą4"/>
    <w:basedOn w:val="Normalny"/>
    <w:rsid w:val="00417B46"/>
    <w:pPr>
      <w:suppressAutoHyphens/>
      <w:spacing w:after="160" w:line="252" w:lineRule="auto"/>
      <w:ind w:left="720" w:firstLine="0"/>
      <w:contextualSpacing/>
      <w:jc w:val="left"/>
    </w:pPr>
    <w:rPr>
      <w:rFonts w:ascii="Calibri" w:eastAsia="SimSun" w:hAnsi="Calibri" w:cs="Calibri"/>
      <w:color w:val="00000A"/>
      <w:kern w:val="1"/>
      <w:szCs w:val="22"/>
      <w:lang w:eastAsia="en-US"/>
    </w:rPr>
  </w:style>
  <w:style w:type="paragraph" w:customStyle="1" w:styleId="Akapitzlist5">
    <w:name w:val="Akapit z listą5"/>
    <w:basedOn w:val="Normalny"/>
    <w:rsid w:val="00594C60"/>
    <w:pPr>
      <w:suppressAutoHyphens/>
      <w:spacing w:after="160" w:line="252" w:lineRule="auto"/>
      <w:ind w:left="720" w:firstLine="0"/>
      <w:contextualSpacing/>
      <w:jc w:val="left"/>
    </w:pPr>
    <w:rPr>
      <w:rFonts w:ascii="Calibri" w:eastAsia="SimSun" w:hAnsi="Calibri" w:cs="Calibri"/>
      <w:color w:val="00000A"/>
      <w:kern w:val="1"/>
      <w:szCs w:val="22"/>
      <w:lang w:eastAsia="en-US"/>
    </w:rPr>
  </w:style>
  <w:style w:type="paragraph" w:customStyle="1" w:styleId="Akapitzlist6">
    <w:name w:val="Akapit z listą6"/>
    <w:basedOn w:val="Normalny"/>
    <w:rsid w:val="005B0375"/>
    <w:pPr>
      <w:suppressAutoHyphens/>
      <w:spacing w:after="160" w:line="252" w:lineRule="auto"/>
      <w:ind w:left="720" w:firstLine="0"/>
      <w:contextualSpacing/>
      <w:jc w:val="left"/>
    </w:pPr>
    <w:rPr>
      <w:rFonts w:ascii="Calibri" w:eastAsia="SimSun" w:hAnsi="Calibri" w:cs="Calibri"/>
      <w:color w:val="00000A"/>
      <w:kern w:val="1"/>
      <w:szCs w:val="22"/>
      <w:lang w:eastAsia="en-US"/>
    </w:rPr>
  </w:style>
  <w:style w:type="paragraph" w:styleId="Poprawka">
    <w:name w:val="Revision"/>
    <w:hidden/>
    <w:rsid w:val="0011356F"/>
    <w:rPr>
      <w:rFonts w:ascii="Tahoma" w:hAnsi="Tahoma"/>
      <w:sz w:val="22"/>
      <w:szCs w:val="24"/>
    </w:rPr>
  </w:style>
  <w:style w:type="paragraph" w:styleId="HTML-wstpniesformatowany">
    <w:name w:val="HTML Preformatted"/>
    <w:basedOn w:val="Normalny"/>
    <w:link w:val="HTML-wstpniesformatowanyZnak"/>
    <w:uiPriority w:val="99"/>
    <w:semiHidden/>
    <w:unhideWhenUsed/>
    <w:rsid w:val="00813E17"/>
    <w:pPr>
      <w:spacing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813E17"/>
    <w:rPr>
      <w:rFonts w:ascii="Consolas" w:hAnsi="Consolas"/>
    </w:rPr>
  </w:style>
  <w:style w:type="numbering" w:customStyle="1" w:styleId="Bezlisty1">
    <w:name w:val="Bez listy1"/>
    <w:next w:val="Bezlisty"/>
    <w:uiPriority w:val="99"/>
    <w:semiHidden/>
    <w:unhideWhenUsed/>
    <w:rsid w:val="00EC5A6A"/>
  </w:style>
  <w:style w:type="character" w:customStyle="1" w:styleId="WW8Num4z0">
    <w:name w:val="WW8Num4z0"/>
    <w:rsid w:val="00EC5A6A"/>
    <w:rPr>
      <w:rFonts w:eastAsia="Times New Roman"/>
    </w:rPr>
  </w:style>
  <w:style w:type="character" w:customStyle="1" w:styleId="WW8Num5z0">
    <w:name w:val="WW8Num5z0"/>
    <w:rsid w:val="00EC5A6A"/>
    <w:rPr>
      <w:rFonts w:ascii="Symbol" w:hAnsi="Symbol" w:cs="Times New Roman"/>
    </w:rPr>
  </w:style>
  <w:style w:type="character" w:customStyle="1" w:styleId="WW8Num6z0">
    <w:name w:val="WW8Num6z0"/>
    <w:rsid w:val="00EC5A6A"/>
    <w:rPr>
      <w:rFonts w:ascii="Times New Roman" w:hAnsi="Times New Roman"/>
      <w:b w:val="0"/>
      <w:bCs w:val="0"/>
    </w:rPr>
  </w:style>
  <w:style w:type="character" w:customStyle="1" w:styleId="WW8Num7z0">
    <w:name w:val="WW8Num7z0"/>
    <w:rsid w:val="00EC5A6A"/>
    <w:rPr>
      <w:b w:val="0"/>
    </w:rPr>
  </w:style>
  <w:style w:type="character" w:customStyle="1" w:styleId="WW8Num8z0">
    <w:name w:val="WW8Num8z0"/>
    <w:rsid w:val="00EC5A6A"/>
    <w:rPr>
      <w:b w:val="0"/>
      <w:bCs w:val="0"/>
    </w:rPr>
  </w:style>
  <w:style w:type="character" w:customStyle="1" w:styleId="WW8Num13z0">
    <w:name w:val="WW8Num13z0"/>
    <w:rsid w:val="00EC5A6A"/>
    <w:rPr>
      <w:b w:val="0"/>
      <w:bCs w:val="0"/>
    </w:rPr>
  </w:style>
  <w:style w:type="character" w:customStyle="1" w:styleId="WW8Num14z0">
    <w:name w:val="WW8Num14z0"/>
    <w:rsid w:val="00EC5A6A"/>
    <w:rPr>
      <w:b w:val="0"/>
      <w:bCs w:val="0"/>
    </w:rPr>
  </w:style>
  <w:style w:type="character" w:customStyle="1" w:styleId="WW8Num15z0">
    <w:name w:val="WW8Num15z0"/>
    <w:rsid w:val="00EC5A6A"/>
    <w:rPr>
      <w:b w:val="0"/>
      <w:bCs w:val="0"/>
    </w:rPr>
  </w:style>
  <w:style w:type="character" w:customStyle="1" w:styleId="WW8Num17z0">
    <w:name w:val="WW8Num17z0"/>
    <w:rsid w:val="00EC5A6A"/>
    <w:rPr>
      <w:rFonts w:ascii="Symbol" w:hAnsi="Symbol" w:cs="Times New Roman"/>
    </w:rPr>
  </w:style>
  <w:style w:type="character" w:customStyle="1" w:styleId="WW8Num18z0">
    <w:name w:val="WW8Num18z0"/>
    <w:rsid w:val="00EC5A6A"/>
    <w:rPr>
      <w:rFonts w:ascii="Symbol" w:hAnsi="Symbol" w:cs="Times New Roman"/>
    </w:rPr>
  </w:style>
  <w:style w:type="character" w:customStyle="1" w:styleId="WW8Num19z0">
    <w:name w:val="WW8Num19z0"/>
    <w:rsid w:val="00EC5A6A"/>
    <w:rPr>
      <w:b w:val="0"/>
      <w:bCs w:val="0"/>
    </w:rPr>
  </w:style>
  <w:style w:type="character" w:customStyle="1" w:styleId="WW8Num20z0">
    <w:name w:val="WW8Num20z0"/>
    <w:rsid w:val="00EC5A6A"/>
    <w:rPr>
      <w:rFonts w:ascii="Times New Roman" w:hAnsi="Times New Roman"/>
    </w:rPr>
  </w:style>
  <w:style w:type="character" w:customStyle="1" w:styleId="WW8Num21z0">
    <w:name w:val="WW8Num21z0"/>
    <w:rsid w:val="00EC5A6A"/>
    <w:rPr>
      <w:b w:val="0"/>
      <w:bCs w:val="0"/>
    </w:rPr>
  </w:style>
  <w:style w:type="character" w:customStyle="1" w:styleId="WW8Num22z0">
    <w:name w:val="WW8Num22z0"/>
    <w:rsid w:val="00EC5A6A"/>
    <w:rPr>
      <w:b w:val="0"/>
    </w:rPr>
  </w:style>
  <w:style w:type="character" w:customStyle="1" w:styleId="WW8Num23z0">
    <w:name w:val="WW8Num23z0"/>
    <w:rsid w:val="00EC5A6A"/>
    <w:rPr>
      <w:b w:val="0"/>
      <w:bCs w:val="0"/>
    </w:rPr>
  </w:style>
  <w:style w:type="character" w:customStyle="1" w:styleId="WW8Num24z1">
    <w:name w:val="WW8Num24z1"/>
    <w:rsid w:val="00EC5A6A"/>
    <w:rPr>
      <w:rFonts w:ascii="Courier New" w:hAnsi="Courier New" w:cs="Courier New"/>
    </w:rPr>
  </w:style>
  <w:style w:type="character" w:customStyle="1" w:styleId="WW8Num24z2">
    <w:name w:val="WW8Num24z2"/>
    <w:rsid w:val="00EC5A6A"/>
    <w:rPr>
      <w:rFonts w:ascii="Wingdings" w:hAnsi="Wingdings"/>
    </w:rPr>
  </w:style>
  <w:style w:type="character" w:customStyle="1" w:styleId="WW8Num25z0">
    <w:name w:val="WW8Num25z0"/>
    <w:rsid w:val="00EC5A6A"/>
    <w:rPr>
      <w:b w:val="0"/>
      <w:bCs w:val="0"/>
      <w:color w:val="000000"/>
    </w:rPr>
  </w:style>
  <w:style w:type="character" w:customStyle="1" w:styleId="WW8Num27z0">
    <w:name w:val="WW8Num27z0"/>
    <w:rsid w:val="00EC5A6A"/>
    <w:rPr>
      <w:rFonts w:ascii="Symbol" w:hAnsi="Symbol"/>
    </w:rPr>
  </w:style>
  <w:style w:type="character" w:customStyle="1" w:styleId="WW8Num28z0">
    <w:name w:val="WW8Num28z0"/>
    <w:rsid w:val="00EC5A6A"/>
    <w:rPr>
      <w:i w:val="0"/>
    </w:rPr>
  </w:style>
  <w:style w:type="character" w:customStyle="1" w:styleId="WW8Num29z1">
    <w:name w:val="WW8Num29z1"/>
    <w:rsid w:val="00EC5A6A"/>
    <w:rPr>
      <w:b/>
      <w:bCs/>
    </w:rPr>
  </w:style>
  <w:style w:type="character" w:customStyle="1" w:styleId="WW8Num29z2">
    <w:name w:val="WW8Num29z2"/>
    <w:rsid w:val="00EC5A6A"/>
    <w:rPr>
      <w:rFonts w:ascii="Symbol" w:hAnsi="Symbol"/>
      <w:b/>
      <w:bCs/>
    </w:rPr>
  </w:style>
  <w:style w:type="character" w:customStyle="1" w:styleId="WW8Num30z1">
    <w:name w:val="WW8Num30z1"/>
    <w:rsid w:val="00EC5A6A"/>
    <w:rPr>
      <w:b/>
      <w:bCs/>
    </w:rPr>
  </w:style>
  <w:style w:type="character" w:customStyle="1" w:styleId="WW8Num30z2">
    <w:name w:val="WW8Num30z2"/>
    <w:rsid w:val="00EC5A6A"/>
    <w:rPr>
      <w:rFonts w:ascii="Symbol" w:hAnsi="Symbol" w:cs="StarSymbol"/>
      <w:sz w:val="18"/>
      <w:szCs w:val="18"/>
    </w:rPr>
  </w:style>
  <w:style w:type="character" w:customStyle="1" w:styleId="WW8Num31z0">
    <w:name w:val="WW8Num31z0"/>
    <w:rsid w:val="00EC5A6A"/>
    <w:rPr>
      <w:b w:val="0"/>
      <w:bCs w:val="0"/>
    </w:rPr>
  </w:style>
  <w:style w:type="character" w:customStyle="1" w:styleId="WW8Num32z0">
    <w:name w:val="WW8Num32z0"/>
    <w:rsid w:val="00EC5A6A"/>
    <w:rPr>
      <w:b w:val="0"/>
      <w:bCs w:val="0"/>
    </w:rPr>
  </w:style>
  <w:style w:type="character" w:customStyle="1" w:styleId="WW8Num33z0">
    <w:name w:val="WW8Num33z0"/>
    <w:rsid w:val="00EC5A6A"/>
    <w:rPr>
      <w:b w:val="0"/>
      <w:bCs w:val="0"/>
    </w:rPr>
  </w:style>
  <w:style w:type="character" w:customStyle="1" w:styleId="WW8Num34z0">
    <w:name w:val="WW8Num34z0"/>
    <w:rsid w:val="00EC5A6A"/>
    <w:rPr>
      <w:b w:val="0"/>
      <w:bCs w:val="0"/>
    </w:rPr>
  </w:style>
  <w:style w:type="character" w:customStyle="1" w:styleId="WW8Num35z0">
    <w:name w:val="WW8Num35z0"/>
    <w:rsid w:val="00EC5A6A"/>
    <w:rPr>
      <w:b w:val="0"/>
      <w:bCs w:val="0"/>
    </w:rPr>
  </w:style>
  <w:style w:type="character" w:customStyle="1" w:styleId="WW8Num36z1">
    <w:name w:val="WW8Num36z1"/>
    <w:rsid w:val="00EC5A6A"/>
    <w:rPr>
      <w:b/>
      <w:bCs/>
    </w:rPr>
  </w:style>
  <w:style w:type="character" w:customStyle="1" w:styleId="WW8Num36z2">
    <w:name w:val="WW8Num36z2"/>
    <w:rsid w:val="00EC5A6A"/>
    <w:rPr>
      <w:rFonts w:ascii="Symbol" w:hAnsi="Symbol" w:cs="StarSymbol"/>
      <w:sz w:val="18"/>
      <w:szCs w:val="18"/>
    </w:rPr>
  </w:style>
  <w:style w:type="character" w:customStyle="1" w:styleId="WW8Num37z0">
    <w:name w:val="WW8Num37z0"/>
    <w:rsid w:val="00EC5A6A"/>
    <w:rPr>
      <w:b w:val="0"/>
      <w:bCs w:val="0"/>
    </w:rPr>
  </w:style>
  <w:style w:type="character" w:customStyle="1" w:styleId="Absatz-Standardschriftart">
    <w:name w:val="Absatz-Standardschriftart"/>
    <w:rsid w:val="00EC5A6A"/>
  </w:style>
  <w:style w:type="character" w:customStyle="1" w:styleId="WW-Absatz-Standardschriftart">
    <w:name w:val="WW-Absatz-Standardschriftart"/>
    <w:rsid w:val="00EC5A6A"/>
  </w:style>
  <w:style w:type="character" w:customStyle="1" w:styleId="WW-Absatz-Standardschriftart1">
    <w:name w:val="WW-Absatz-Standardschriftart1"/>
    <w:rsid w:val="00EC5A6A"/>
  </w:style>
  <w:style w:type="character" w:customStyle="1" w:styleId="WW-Absatz-Standardschriftart11">
    <w:name w:val="WW-Absatz-Standardschriftart11"/>
    <w:rsid w:val="00EC5A6A"/>
  </w:style>
  <w:style w:type="character" w:customStyle="1" w:styleId="WW-Absatz-Standardschriftart111">
    <w:name w:val="WW-Absatz-Standardschriftart111"/>
    <w:rsid w:val="00EC5A6A"/>
  </w:style>
  <w:style w:type="character" w:customStyle="1" w:styleId="WW-Absatz-Standardschriftart1111">
    <w:name w:val="WW-Absatz-Standardschriftart1111"/>
    <w:rsid w:val="00EC5A6A"/>
  </w:style>
  <w:style w:type="character" w:customStyle="1" w:styleId="WW-Absatz-Standardschriftart11111">
    <w:name w:val="WW-Absatz-Standardschriftart11111"/>
    <w:rsid w:val="00EC5A6A"/>
  </w:style>
  <w:style w:type="character" w:customStyle="1" w:styleId="WW-Absatz-Standardschriftart111111">
    <w:name w:val="WW-Absatz-Standardschriftart111111"/>
    <w:rsid w:val="00EC5A6A"/>
  </w:style>
  <w:style w:type="character" w:customStyle="1" w:styleId="WW-Absatz-Standardschriftart1111111">
    <w:name w:val="WW-Absatz-Standardschriftart1111111"/>
    <w:rsid w:val="00EC5A6A"/>
  </w:style>
  <w:style w:type="character" w:customStyle="1" w:styleId="WW-Absatz-Standardschriftart11111111">
    <w:name w:val="WW-Absatz-Standardschriftart11111111"/>
    <w:rsid w:val="00EC5A6A"/>
  </w:style>
  <w:style w:type="character" w:customStyle="1" w:styleId="WW-Absatz-Standardschriftart111111111">
    <w:name w:val="WW-Absatz-Standardschriftart111111111"/>
    <w:rsid w:val="00EC5A6A"/>
  </w:style>
  <w:style w:type="character" w:customStyle="1" w:styleId="WW8Num28z1">
    <w:name w:val="WW8Num28z1"/>
    <w:rsid w:val="00EC5A6A"/>
    <w:rPr>
      <w:b/>
      <w:bCs/>
    </w:rPr>
  </w:style>
  <w:style w:type="character" w:customStyle="1" w:styleId="WW8Num29z0">
    <w:name w:val="WW8Num29z0"/>
    <w:rsid w:val="00EC5A6A"/>
    <w:rPr>
      <w:rFonts w:eastAsia="Times New Roman"/>
    </w:rPr>
  </w:style>
  <w:style w:type="character" w:customStyle="1" w:styleId="WW8Num30z0">
    <w:name w:val="WW8Num30z0"/>
    <w:rsid w:val="00EC5A6A"/>
    <w:rPr>
      <w:b/>
      <w:bCs/>
    </w:rPr>
  </w:style>
  <w:style w:type="character" w:customStyle="1" w:styleId="WW8Num31z1">
    <w:name w:val="WW8Num31z1"/>
    <w:rsid w:val="00EC5A6A"/>
    <w:rPr>
      <w:b/>
      <w:bCs/>
    </w:rPr>
  </w:style>
  <w:style w:type="character" w:customStyle="1" w:styleId="WW8Num31z2">
    <w:name w:val="WW8Num31z2"/>
    <w:rsid w:val="00EC5A6A"/>
    <w:rPr>
      <w:b/>
      <w:bCs/>
    </w:rPr>
  </w:style>
  <w:style w:type="character" w:customStyle="1" w:styleId="WW8Num32z1">
    <w:name w:val="WW8Num32z1"/>
    <w:rsid w:val="00EC5A6A"/>
    <w:rPr>
      <w:b/>
      <w:bCs/>
    </w:rPr>
  </w:style>
  <w:style w:type="character" w:customStyle="1" w:styleId="WW8Num32z2">
    <w:name w:val="WW8Num32z2"/>
    <w:rsid w:val="00EC5A6A"/>
    <w:rPr>
      <w:rFonts w:ascii="Symbol" w:hAnsi="Symbol" w:cs="StarSymbol"/>
      <w:sz w:val="18"/>
      <w:szCs w:val="18"/>
    </w:rPr>
  </w:style>
  <w:style w:type="character" w:customStyle="1" w:styleId="WW8Num36z0">
    <w:name w:val="WW8Num36z0"/>
    <w:rsid w:val="00EC5A6A"/>
    <w:rPr>
      <w:b/>
      <w:bCs/>
    </w:rPr>
  </w:style>
  <w:style w:type="character" w:customStyle="1" w:styleId="WW-Absatz-Standardschriftart1111111111">
    <w:name w:val="WW-Absatz-Standardschriftart1111111111"/>
    <w:rsid w:val="00EC5A6A"/>
  </w:style>
  <w:style w:type="character" w:customStyle="1" w:styleId="WW-Absatz-Standardschriftart11111111111">
    <w:name w:val="WW-Absatz-Standardschriftart11111111111"/>
    <w:rsid w:val="00EC5A6A"/>
  </w:style>
  <w:style w:type="character" w:customStyle="1" w:styleId="WW8Num9z0">
    <w:name w:val="WW8Num9z0"/>
    <w:rsid w:val="00EC5A6A"/>
    <w:rPr>
      <w:rFonts w:ascii="Symbol" w:hAnsi="Symbol"/>
    </w:rPr>
  </w:style>
  <w:style w:type="character" w:customStyle="1" w:styleId="WW8Num10z0">
    <w:name w:val="WW8Num10z0"/>
    <w:rsid w:val="00EC5A6A"/>
    <w:rPr>
      <w:rFonts w:ascii="Symbol" w:hAnsi="Symbol"/>
    </w:rPr>
  </w:style>
  <w:style w:type="character" w:customStyle="1" w:styleId="WW8Num11z0">
    <w:name w:val="WW8Num11z0"/>
    <w:rsid w:val="00EC5A6A"/>
    <w:rPr>
      <w:rFonts w:ascii="Wingdings" w:hAnsi="Wingdings"/>
    </w:rPr>
  </w:style>
  <w:style w:type="character" w:customStyle="1" w:styleId="WW8Num12z0">
    <w:name w:val="WW8Num12z0"/>
    <w:rsid w:val="00EC5A6A"/>
    <w:rPr>
      <w:b/>
      <w:bCs/>
    </w:rPr>
  </w:style>
  <w:style w:type="character" w:customStyle="1" w:styleId="WW8Num24z0">
    <w:name w:val="WW8Num24z0"/>
    <w:rsid w:val="00EC5A6A"/>
    <w:rPr>
      <w:rFonts w:ascii="Symbol" w:hAnsi="Symbol"/>
    </w:rPr>
  </w:style>
  <w:style w:type="character" w:customStyle="1" w:styleId="WW8Num26z0">
    <w:name w:val="WW8Num26z0"/>
    <w:rsid w:val="00EC5A6A"/>
    <w:rPr>
      <w:rFonts w:ascii="Symbol" w:hAnsi="Symbol"/>
    </w:rPr>
  </w:style>
  <w:style w:type="character" w:customStyle="1" w:styleId="WW8Num37z1">
    <w:name w:val="WW8Num37z1"/>
    <w:rsid w:val="00EC5A6A"/>
    <w:rPr>
      <w:b/>
      <w:bCs/>
    </w:rPr>
  </w:style>
  <w:style w:type="character" w:customStyle="1" w:styleId="WW8Num38z0">
    <w:name w:val="WW8Num38z0"/>
    <w:rsid w:val="00EC5A6A"/>
    <w:rPr>
      <w:b/>
      <w:bCs/>
    </w:rPr>
  </w:style>
  <w:style w:type="character" w:customStyle="1" w:styleId="WW8Num39z0">
    <w:name w:val="WW8Num39z0"/>
    <w:rsid w:val="00EC5A6A"/>
    <w:rPr>
      <w:b/>
      <w:bCs/>
    </w:rPr>
  </w:style>
  <w:style w:type="character" w:customStyle="1" w:styleId="WW8Num40z1">
    <w:name w:val="WW8Num40z1"/>
    <w:rsid w:val="00EC5A6A"/>
    <w:rPr>
      <w:b/>
      <w:bCs/>
    </w:rPr>
  </w:style>
  <w:style w:type="character" w:customStyle="1" w:styleId="WW8Num40z2">
    <w:name w:val="WW8Num40z2"/>
    <w:rsid w:val="00EC5A6A"/>
    <w:rPr>
      <w:rFonts w:ascii="Symbol" w:hAnsi="Symbol" w:cs="StarSymbol"/>
      <w:sz w:val="18"/>
      <w:szCs w:val="18"/>
    </w:rPr>
  </w:style>
  <w:style w:type="character" w:customStyle="1" w:styleId="WW8Num41z1">
    <w:name w:val="WW8Num41z1"/>
    <w:rsid w:val="00EC5A6A"/>
    <w:rPr>
      <w:b/>
      <w:bCs/>
    </w:rPr>
  </w:style>
  <w:style w:type="character" w:customStyle="1" w:styleId="WW8Num41z2">
    <w:name w:val="WW8Num41z2"/>
    <w:rsid w:val="00EC5A6A"/>
    <w:rPr>
      <w:rFonts w:ascii="Symbol" w:hAnsi="Symbol" w:cs="StarSymbol"/>
      <w:sz w:val="18"/>
      <w:szCs w:val="18"/>
    </w:rPr>
  </w:style>
  <w:style w:type="character" w:customStyle="1" w:styleId="WW-Absatz-Standardschriftart111111111111">
    <w:name w:val="WW-Absatz-Standardschriftart111111111111"/>
    <w:rsid w:val="00EC5A6A"/>
  </w:style>
  <w:style w:type="character" w:customStyle="1" w:styleId="Znakiprzypiswdolnych">
    <w:name w:val="Znaki przypisów dolnych"/>
    <w:rsid w:val="00EC5A6A"/>
    <w:rPr>
      <w:vertAlign w:val="superscript"/>
    </w:rPr>
  </w:style>
  <w:style w:type="character" w:customStyle="1" w:styleId="WW-Domylnaczcionkaakapitu11">
    <w:name w:val="WW-Domyślna czcionka akapitu11"/>
    <w:rsid w:val="00EC5A6A"/>
  </w:style>
  <w:style w:type="character" w:customStyle="1" w:styleId="Znakinumeracji">
    <w:name w:val="Znaki numeracji"/>
    <w:rsid w:val="00EC5A6A"/>
    <w:rPr>
      <w:b w:val="0"/>
      <w:bCs w:val="0"/>
    </w:rPr>
  </w:style>
  <w:style w:type="character" w:customStyle="1" w:styleId="Symbolewypunktowania">
    <w:name w:val="Symbole wypunktowania"/>
    <w:rsid w:val="00EC5A6A"/>
    <w:rPr>
      <w:rFonts w:ascii="StarSymbol" w:eastAsia="StarSymbol" w:hAnsi="StarSymbol" w:cs="StarSymbol"/>
      <w:sz w:val="18"/>
      <w:szCs w:val="18"/>
    </w:rPr>
  </w:style>
  <w:style w:type="character" w:customStyle="1" w:styleId="Domylnaczcionkaakapitu2">
    <w:name w:val="Domyślna czcionka akapitu2"/>
    <w:rsid w:val="00EC5A6A"/>
  </w:style>
  <w:style w:type="character" w:customStyle="1" w:styleId="Znakiprzypiswkocowych">
    <w:name w:val="Znaki przypisów końcowych"/>
    <w:rsid w:val="00EC5A6A"/>
    <w:rPr>
      <w:vertAlign w:val="superscript"/>
    </w:rPr>
  </w:style>
  <w:style w:type="character" w:styleId="Uwydatnienie">
    <w:name w:val="Emphasis"/>
    <w:uiPriority w:val="20"/>
    <w:qFormat/>
    <w:rsid w:val="00EC5A6A"/>
    <w:rPr>
      <w:i/>
      <w:iCs/>
    </w:rPr>
  </w:style>
  <w:style w:type="character" w:customStyle="1" w:styleId="WW8Num2z1">
    <w:name w:val="WW8Num2z1"/>
    <w:rsid w:val="00EC5A6A"/>
    <w:rPr>
      <w:rFonts w:ascii="Courier New" w:hAnsi="Courier New" w:cs="Courier New"/>
    </w:rPr>
  </w:style>
  <w:style w:type="character" w:customStyle="1" w:styleId="Domylnaczcionkaakapitu3">
    <w:name w:val="Domyślna czcionka akapitu3"/>
    <w:rsid w:val="00EC5A6A"/>
  </w:style>
  <w:style w:type="character" w:customStyle="1" w:styleId="WW8Num3z1">
    <w:name w:val="WW8Num3z1"/>
    <w:rsid w:val="00EC5A6A"/>
    <w:rPr>
      <w:rFonts w:ascii="Courier New" w:hAnsi="Courier New" w:cs="Courier New"/>
    </w:rPr>
  </w:style>
  <w:style w:type="character" w:customStyle="1" w:styleId="WW-Absatz-Standardschriftart1111111111111">
    <w:name w:val="WW-Absatz-Standardschriftart1111111111111"/>
    <w:rsid w:val="00EC5A6A"/>
  </w:style>
  <w:style w:type="character" w:customStyle="1" w:styleId="WW8Num2z0">
    <w:name w:val="WW8Num2z0"/>
    <w:rsid w:val="00EC5A6A"/>
    <w:rPr>
      <w:rFonts w:ascii="Symbol" w:eastAsia="Times New Roman" w:hAnsi="Symbol" w:cs="Times New Roman"/>
    </w:rPr>
  </w:style>
  <w:style w:type="character" w:customStyle="1" w:styleId="WW8Num3z0">
    <w:name w:val="WW8Num3z0"/>
    <w:rsid w:val="00EC5A6A"/>
    <w:rPr>
      <w:rFonts w:eastAsia="Times New Roman"/>
    </w:rPr>
  </w:style>
  <w:style w:type="character" w:customStyle="1" w:styleId="WW8Num4z1">
    <w:name w:val="WW8Num4z1"/>
    <w:rsid w:val="00EC5A6A"/>
    <w:rPr>
      <w:rFonts w:ascii="Courier New" w:hAnsi="Courier New" w:cs="Courier New"/>
    </w:rPr>
  </w:style>
  <w:style w:type="character" w:customStyle="1" w:styleId="WW-Absatz-Standardschriftart11111111111111">
    <w:name w:val="WW-Absatz-Standardschriftart11111111111111"/>
    <w:rsid w:val="00EC5A6A"/>
  </w:style>
  <w:style w:type="character" w:customStyle="1" w:styleId="WW-Absatz-Standardschriftart111111111111111">
    <w:name w:val="WW-Absatz-Standardschriftart111111111111111"/>
    <w:rsid w:val="00EC5A6A"/>
  </w:style>
  <w:style w:type="character" w:customStyle="1" w:styleId="Domylnaczcionkaakapitu1">
    <w:name w:val="Domyślna czcionka akapitu1"/>
    <w:rsid w:val="00EC5A6A"/>
  </w:style>
  <w:style w:type="character" w:customStyle="1" w:styleId="WW-Absatz-Standardschriftart1111111111111111">
    <w:name w:val="WW-Absatz-Standardschriftart1111111111111111"/>
    <w:rsid w:val="00EC5A6A"/>
  </w:style>
  <w:style w:type="character" w:customStyle="1" w:styleId="WW8Num16z0">
    <w:name w:val="WW8Num16z0"/>
    <w:rsid w:val="00EC5A6A"/>
    <w:rPr>
      <w:rFonts w:ascii="Symbol" w:hAnsi="Symbol"/>
    </w:rPr>
  </w:style>
  <w:style w:type="character" w:customStyle="1" w:styleId="WW-Domylnaczcionkaakapitu">
    <w:name w:val="WW-Domyślna czcionka akapitu"/>
    <w:rsid w:val="00EC5A6A"/>
  </w:style>
  <w:style w:type="character" w:customStyle="1" w:styleId="WW8Num1z0">
    <w:name w:val="WW8Num1z0"/>
    <w:rsid w:val="00EC5A6A"/>
    <w:rPr>
      <w:rFonts w:ascii="Symbol" w:hAnsi="Symbol" w:cs="Times New Roman"/>
    </w:rPr>
  </w:style>
  <w:style w:type="character" w:customStyle="1" w:styleId="WW-Domylnaczcionkaakapitu1">
    <w:name w:val="WW-Domyślna czcionka akapitu1"/>
    <w:rsid w:val="00EC5A6A"/>
  </w:style>
  <w:style w:type="character" w:customStyle="1" w:styleId="WW-Domylnaczcionkaakapitu112">
    <w:name w:val="WW-Domyślna czcionka akapitu112"/>
    <w:rsid w:val="00EC5A6A"/>
  </w:style>
  <w:style w:type="character" w:customStyle="1" w:styleId="WW-Absatz-Standardschriftart11111111111111111">
    <w:name w:val="WW-Absatz-Standardschriftart11111111111111111"/>
    <w:rsid w:val="00EC5A6A"/>
  </w:style>
  <w:style w:type="character" w:customStyle="1" w:styleId="WW-Absatz-Standardschriftart111111111111111111">
    <w:name w:val="WW-Absatz-Standardschriftart111111111111111111"/>
    <w:rsid w:val="00EC5A6A"/>
  </w:style>
  <w:style w:type="character" w:customStyle="1" w:styleId="WW-Absatz-Standardschriftart1111111111111111111">
    <w:name w:val="WW-Absatz-Standardschriftart1111111111111111111"/>
    <w:rsid w:val="00EC5A6A"/>
  </w:style>
  <w:style w:type="character" w:customStyle="1" w:styleId="WW-Absatz-Standardschriftart11111111111111111111">
    <w:name w:val="WW-Absatz-Standardschriftart11111111111111111111"/>
    <w:rsid w:val="00EC5A6A"/>
  </w:style>
  <w:style w:type="character" w:customStyle="1" w:styleId="WW-Absatz-Standardschriftart111111111111111111111">
    <w:name w:val="WW-Absatz-Standardschriftart111111111111111111111"/>
    <w:rsid w:val="00EC5A6A"/>
  </w:style>
  <w:style w:type="character" w:customStyle="1" w:styleId="WW8Num2z2">
    <w:name w:val="WW8Num2z2"/>
    <w:rsid w:val="00EC5A6A"/>
    <w:rPr>
      <w:rFonts w:ascii="Wingdings" w:hAnsi="Wingdings"/>
    </w:rPr>
  </w:style>
  <w:style w:type="character" w:customStyle="1" w:styleId="WW8Num2z3">
    <w:name w:val="WW8Num2z3"/>
    <w:rsid w:val="00EC5A6A"/>
    <w:rPr>
      <w:rFonts w:ascii="Symbol" w:hAnsi="Symbol"/>
    </w:rPr>
  </w:style>
  <w:style w:type="character" w:customStyle="1" w:styleId="WW8Num4z2">
    <w:name w:val="WW8Num4z2"/>
    <w:rsid w:val="00EC5A6A"/>
    <w:rPr>
      <w:rFonts w:ascii="Wingdings" w:hAnsi="Wingdings"/>
    </w:rPr>
  </w:style>
  <w:style w:type="character" w:customStyle="1" w:styleId="WW8Num4z3">
    <w:name w:val="WW8Num4z3"/>
    <w:rsid w:val="00EC5A6A"/>
    <w:rPr>
      <w:rFonts w:ascii="Symbol" w:hAnsi="Symbol"/>
    </w:rPr>
  </w:style>
  <w:style w:type="character" w:customStyle="1" w:styleId="WW8Num6z1">
    <w:name w:val="WW8Num6z1"/>
    <w:rsid w:val="00EC5A6A"/>
    <w:rPr>
      <w:rFonts w:ascii="Courier New" w:hAnsi="Courier New" w:cs="Courier New"/>
    </w:rPr>
  </w:style>
  <w:style w:type="character" w:customStyle="1" w:styleId="WW8Num6z3">
    <w:name w:val="WW8Num6z3"/>
    <w:rsid w:val="00EC5A6A"/>
    <w:rPr>
      <w:rFonts w:ascii="Symbol" w:hAnsi="Symbol"/>
    </w:rPr>
  </w:style>
  <w:style w:type="character" w:customStyle="1" w:styleId="WW8Num11z1">
    <w:name w:val="WW8Num11z1"/>
    <w:rsid w:val="00EC5A6A"/>
    <w:rPr>
      <w:rFonts w:ascii="Courier New" w:hAnsi="Courier New" w:cs="Courier New"/>
    </w:rPr>
  </w:style>
  <w:style w:type="character" w:customStyle="1" w:styleId="WW8Num11z3">
    <w:name w:val="WW8Num11z3"/>
    <w:rsid w:val="00EC5A6A"/>
    <w:rPr>
      <w:rFonts w:ascii="Symbol" w:hAnsi="Symbol"/>
    </w:rPr>
  </w:style>
  <w:style w:type="character" w:customStyle="1" w:styleId="WW8Num14z1">
    <w:name w:val="WW8Num14z1"/>
    <w:rsid w:val="00EC5A6A"/>
    <w:rPr>
      <w:b w:val="0"/>
    </w:rPr>
  </w:style>
  <w:style w:type="character" w:customStyle="1" w:styleId="WW8Num16z1">
    <w:name w:val="WW8Num16z1"/>
    <w:rsid w:val="00EC5A6A"/>
    <w:rPr>
      <w:rFonts w:ascii="Wingdings" w:hAnsi="Wingdings"/>
    </w:rPr>
  </w:style>
  <w:style w:type="character" w:customStyle="1" w:styleId="WW8Num16z4">
    <w:name w:val="WW8Num16z4"/>
    <w:rsid w:val="00EC5A6A"/>
    <w:rPr>
      <w:rFonts w:ascii="Courier New" w:hAnsi="Courier New" w:cs="Courier New"/>
    </w:rPr>
  </w:style>
  <w:style w:type="character" w:customStyle="1" w:styleId="WW8Num19z1">
    <w:name w:val="WW8Num19z1"/>
    <w:rsid w:val="00EC5A6A"/>
    <w:rPr>
      <w:rFonts w:ascii="Courier New" w:hAnsi="Courier New" w:cs="Courier New"/>
    </w:rPr>
  </w:style>
  <w:style w:type="character" w:customStyle="1" w:styleId="WW8Num19z2">
    <w:name w:val="WW8Num19z2"/>
    <w:rsid w:val="00EC5A6A"/>
    <w:rPr>
      <w:rFonts w:ascii="Wingdings" w:hAnsi="Wingdings"/>
    </w:rPr>
  </w:style>
  <w:style w:type="character" w:customStyle="1" w:styleId="WW8Num19z3">
    <w:name w:val="WW8Num19z3"/>
    <w:rsid w:val="00EC5A6A"/>
    <w:rPr>
      <w:rFonts w:ascii="Symbol" w:hAnsi="Symbol"/>
    </w:rPr>
  </w:style>
  <w:style w:type="character" w:customStyle="1" w:styleId="WW8Num27z1">
    <w:name w:val="WW8Num27z1"/>
    <w:rsid w:val="00EC5A6A"/>
    <w:rPr>
      <w:rFonts w:ascii="Courier New" w:hAnsi="Courier New" w:cs="Courier New"/>
    </w:rPr>
  </w:style>
  <w:style w:type="character" w:customStyle="1" w:styleId="WW8Num27z2">
    <w:name w:val="WW8Num27z2"/>
    <w:rsid w:val="00EC5A6A"/>
    <w:rPr>
      <w:rFonts w:ascii="Wingdings" w:hAnsi="Wingdings"/>
    </w:rPr>
  </w:style>
  <w:style w:type="character" w:customStyle="1" w:styleId="ZnakZnak">
    <w:name w:val="Znak Znak"/>
    <w:rsid w:val="00EC5A6A"/>
    <w:rPr>
      <w:rFonts w:cs="Arial"/>
      <w:b/>
      <w:bCs/>
      <w:kern w:val="1"/>
      <w:sz w:val="28"/>
      <w:szCs w:val="32"/>
      <w:lang w:val="pl-PL" w:eastAsia="ar-SA" w:bidi="ar-SA"/>
    </w:rPr>
  </w:style>
  <w:style w:type="character" w:customStyle="1" w:styleId="ZnakZnak1">
    <w:name w:val="Znak Znak1"/>
    <w:rsid w:val="00EC5A6A"/>
    <w:rPr>
      <w:rFonts w:cs="Arial"/>
      <w:b/>
      <w:bCs/>
      <w:i/>
      <w:iCs/>
      <w:sz w:val="28"/>
      <w:szCs w:val="28"/>
      <w:lang w:val="pl-PL" w:eastAsia="ar-SA" w:bidi="ar-SA"/>
    </w:rPr>
  </w:style>
  <w:style w:type="character" w:customStyle="1" w:styleId="Wykres-podpisZnak1">
    <w:name w:val="Wykres-podpis Znak1"/>
    <w:rsid w:val="00EC5A6A"/>
    <w:rPr>
      <w:b/>
      <w:bCs/>
      <w:lang w:val="pl-PL" w:eastAsia="ar-SA" w:bidi="ar-SA"/>
    </w:rPr>
  </w:style>
  <w:style w:type="character" w:customStyle="1" w:styleId="tx1">
    <w:name w:val="tx1"/>
    <w:rsid w:val="00EC5A6A"/>
    <w:rPr>
      <w:b/>
      <w:bCs/>
    </w:rPr>
  </w:style>
  <w:style w:type="character" w:customStyle="1" w:styleId="b">
    <w:name w:val="b"/>
    <w:basedOn w:val="WW-Domylnaczcionkaakapitu11"/>
    <w:rsid w:val="00EC5A6A"/>
  </w:style>
  <w:style w:type="character" w:customStyle="1" w:styleId="akapitdomyslny">
    <w:name w:val="akapitdomyslny"/>
    <w:basedOn w:val="WW-Domylnaczcionkaakapitu11"/>
    <w:rsid w:val="00EC5A6A"/>
  </w:style>
  <w:style w:type="character" w:customStyle="1" w:styleId="Nagwek10">
    <w:name w:val="Nagłówek1"/>
    <w:basedOn w:val="WW-Domylnaczcionkaakapitu11"/>
    <w:rsid w:val="00EC5A6A"/>
  </w:style>
  <w:style w:type="character" w:customStyle="1" w:styleId="Odwoaniedokomentarza1">
    <w:name w:val="Odwołanie do komentarza1"/>
    <w:rsid w:val="00EC5A6A"/>
    <w:rPr>
      <w:sz w:val="16"/>
      <w:szCs w:val="16"/>
    </w:rPr>
  </w:style>
  <w:style w:type="paragraph" w:customStyle="1" w:styleId="Nagwek30">
    <w:name w:val="Nagłówek3"/>
    <w:basedOn w:val="Normalny"/>
    <w:next w:val="Tekstpodstawowy"/>
    <w:rsid w:val="00EC5A6A"/>
    <w:pPr>
      <w:keepNext/>
      <w:suppressAutoHyphens/>
      <w:spacing w:before="240" w:after="120" w:line="240" w:lineRule="auto"/>
      <w:ind w:firstLine="0"/>
      <w:jc w:val="left"/>
    </w:pPr>
    <w:rPr>
      <w:rFonts w:ascii="Arial" w:eastAsia="MS Mincho" w:hAnsi="Arial" w:cs="Tahoma"/>
      <w:sz w:val="28"/>
      <w:szCs w:val="28"/>
      <w:lang w:eastAsia="ar-SA"/>
    </w:rPr>
  </w:style>
  <w:style w:type="paragraph" w:styleId="Lista">
    <w:name w:val="List"/>
    <w:basedOn w:val="Tekstpodstawowy"/>
    <w:semiHidden/>
    <w:rsid w:val="00EC5A6A"/>
    <w:pPr>
      <w:suppressAutoHyphens/>
      <w:spacing w:before="0" w:after="120" w:line="240" w:lineRule="auto"/>
      <w:jc w:val="left"/>
    </w:pPr>
    <w:rPr>
      <w:rFonts w:ascii="Times New Roman" w:hAnsi="Times New Roman" w:cs="Tahoma"/>
      <w:i w:val="0"/>
      <w:iCs w:val="0"/>
      <w:sz w:val="24"/>
      <w:lang w:eastAsia="ar-SA"/>
    </w:rPr>
  </w:style>
  <w:style w:type="paragraph" w:customStyle="1" w:styleId="Podpis3">
    <w:name w:val="Podpis3"/>
    <w:basedOn w:val="Normalny"/>
    <w:rsid w:val="00EC5A6A"/>
    <w:pPr>
      <w:suppressLineNumbers/>
      <w:suppressAutoHyphens/>
      <w:spacing w:before="120" w:after="120" w:line="240" w:lineRule="auto"/>
      <w:ind w:firstLine="0"/>
      <w:jc w:val="left"/>
    </w:pPr>
    <w:rPr>
      <w:rFonts w:ascii="Times New Roman" w:hAnsi="Times New Roman" w:cs="Tahoma"/>
      <w:i/>
      <w:iCs/>
      <w:sz w:val="24"/>
      <w:lang w:eastAsia="ar-SA"/>
    </w:rPr>
  </w:style>
  <w:style w:type="paragraph" w:customStyle="1" w:styleId="Indeks">
    <w:name w:val="Indeks"/>
    <w:basedOn w:val="Normalny"/>
    <w:rsid w:val="00EC5A6A"/>
    <w:pPr>
      <w:suppressLineNumbers/>
      <w:suppressAutoHyphens/>
      <w:spacing w:line="240" w:lineRule="auto"/>
      <w:ind w:firstLine="0"/>
      <w:jc w:val="left"/>
    </w:pPr>
    <w:rPr>
      <w:rFonts w:ascii="Times New Roman" w:hAnsi="Times New Roman" w:cs="Tahoma"/>
      <w:sz w:val="24"/>
      <w:lang w:eastAsia="ar-SA"/>
    </w:rPr>
  </w:style>
  <w:style w:type="paragraph" w:customStyle="1" w:styleId="Zawartotabeli">
    <w:name w:val="Zawartość tabeli"/>
    <w:basedOn w:val="Normalny"/>
    <w:rsid w:val="00EC5A6A"/>
    <w:pPr>
      <w:suppressLineNumbers/>
      <w:suppressAutoHyphens/>
      <w:spacing w:line="240" w:lineRule="auto"/>
      <w:ind w:firstLine="0"/>
      <w:jc w:val="left"/>
    </w:pPr>
    <w:rPr>
      <w:rFonts w:ascii="Times New Roman" w:hAnsi="Times New Roman"/>
      <w:sz w:val="24"/>
      <w:lang w:eastAsia="ar-SA"/>
    </w:rPr>
  </w:style>
  <w:style w:type="paragraph" w:customStyle="1" w:styleId="Nagwektabeli">
    <w:name w:val="Nagłówek tabeli"/>
    <w:basedOn w:val="Zawartotabeli"/>
    <w:rsid w:val="00EC5A6A"/>
    <w:pPr>
      <w:jc w:val="center"/>
    </w:pPr>
    <w:rPr>
      <w:b/>
      <w:bCs/>
    </w:rPr>
  </w:style>
  <w:style w:type="paragraph" w:customStyle="1" w:styleId="Nagwek20">
    <w:name w:val="Nagłówek2"/>
    <w:basedOn w:val="Normalny"/>
    <w:next w:val="Tekstpodstawowy"/>
    <w:rsid w:val="00EC5A6A"/>
    <w:pPr>
      <w:keepNext/>
      <w:suppressAutoHyphens/>
      <w:spacing w:before="240" w:after="120" w:line="240" w:lineRule="auto"/>
      <w:ind w:firstLine="0"/>
      <w:jc w:val="left"/>
    </w:pPr>
    <w:rPr>
      <w:rFonts w:ascii="Arial" w:eastAsia="Arial Unicode MS" w:hAnsi="Arial" w:cs="Tahoma"/>
      <w:sz w:val="28"/>
      <w:szCs w:val="28"/>
      <w:lang w:eastAsia="ar-SA"/>
    </w:rPr>
  </w:style>
  <w:style w:type="paragraph" w:customStyle="1" w:styleId="Podpis2">
    <w:name w:val="Podpis2"/>
    <w:basedOn w:val="Normalny"/>
    <w:rsid w:val="00EC5A6A"/>
    <w:pPr>
      <w:suppressLineNumbers/>
      <w:suppressAutoHyphens/>
      <w:spacing w:before="120" w:after="120" w:line="240" w:lineRule="auto"/>
      <w:ind w:firstLine="0"/>
      <w:jc w:val="left"/>
    </w:pPr>
    <w:rPr>
      <w:rFonts w:ascii="Times New Roman" w:hAnsi="Times New Roman" w:cs="Tahoma"/>
      <w:i/>
      <w:iCs/>
      <w:sz w:val="24"/>
      <w:lang w:eastAsia="ar-SA"/>
    </w:rPr>
  </w:style>
  <w:style w:type="paragraph" w:customStyle="1" w:styleId="Podpis1">
    <w:name w:val="Podpis1"/>
    <w:basedOn w:val="Normalny"/>
    <w:rsid w:val="00EC5A6A"/>
    <w:pPr>
      <w:suppressLineNumbers/>
      <w:suppressAutoHyphens/>
      <w:spacing w:before="120" w:after="120" w:line="240" w:lineRule="auto"/>
      <w:ind w:firstLine="0"/>
      <w:jc w:val="left"/>
    </w:pPr>
    <w:rPr>
      <w:rFonts w:ascii="Times New Roman" w:hAnsi="Times New Roman" w:cs="Tahoma"/>
      <w:i/>
      <w:iCs/>
      <w:sz w:val="24"/>
      <w:lang w:eastAsia="ar-SA"/>
    </w:rPr>
  </w:style>
  <w:style w:type="paragraph" w:customStyle="1" w:styleId="Tekstpodstawowy31">
    <w:name w:val="Tekst podstawowy 31"/>
    <w:basedOn w:val="Normalny"/>
    <w:rsid w:val="00EC5A6A"/>
    <w:pPr>
      <w:suppressAutoHyphens/>
      <w:spacing w:line="240" w:lineRule="auto"/>
      <w:ind w:firstLine="0"/>
    </w:pPr>
    <w:rPr>
      <w:rFonts w:ascii="Times New Roman" w:hAnsi="Times New Roman"/>
      <w:sz w:val="24"/>
      <w:lang w:eastAsia="ar-SA"/>
    </w:rPr>
  </w:style>
  <w:style w:type="paragraph" w:customStyle="1" w:styleId="podstawa-txt">
    <w:name w:val="podstawa-txt"/>
    <w:basedOn w:val="Normalny"/>
    <w:rsid w:val="00EC5A6A"/>
    <w:pPr>
      <w:suppressAutoHyphens/>
      <w:spacing w:after="75" w:line="336" w:lineRule="atLeast"/>
      <w:ind w:firstLine="0"/>
      <w:jc w:val="left"/>
    </w:pPr>
    <w:rPr>
      <w:rFonts w:ascii="Times New Roman" w:hAnsi="Times New Roman"/>
      <w:sz w:val="17"/>
      <w:szCs w:val="17"/>
      <w:lang w:eastAsia="ar-SA"/>
    </w:rPr>
  </w:style>
  <w:style w:type="paragraph" w:customStyle="1" w:styleId="ramka-txt">
    <w:name w:val="ramka-txt"/>
    <w:basedOn w:val="Normalny"/>
    <w:rsid w:val="00EC5A6A"/>
    <w:pPr>
      <w:suppressAutoHyphens/>
      <w:spacing w:before="45" w:after="45" w:line="240" w:lineRule="auto"/>
      <w:ind w:firstLine="0"/>
      <w:jc w:val="left"/>
    </w:pPr>
    <w:rPr>
      <w:rFonts w:ascii="Times New Roman" w:hAnsi="Times New Roman"/>
      <w:color w:val="575757"/>
      <w:sz w:val="24"/>
      <w:lang w:eastAsia="ar-SA"/>
    </w:rPr>
  </w:style>
  <w:style w:type="paragraph" w:customStyle="1" w:styleId="Tekstpodstawowy21">
    <w:name w:val="Tekst podstawowy 21"/>
    <w:basedOn w:val="Normalny"/>
    <w:rsid w:val="00EC5A6A"/>
    <w:pPr>
      <w:widowControl w:val="0"/>
      <w:suppressAutoHyphens/>
      <w:overflowPunct w:val="0"/>
      <w:autoSpaceDE w:val="0"/>
      <w:spacing w:line="240" w:lineRule="auto"/>
      <w:ind w:firstLine="0"/>
      <w:jc w:val="left"/>
      <w:textAlignment w:val="baseline"/>
    </w:pPr>
    <w:rPr>
      <w:rFonts w:ascii="Times New Roman" w:hAnsi="Times New Roman"/>
      <w:sz w:val="24"/>
      <w:szCs w:val="20"/>
      <w:lang w:eastAsia="ar-SA"/>
    </w:rPr>
  </w:style>
  <w:style w:type="paragraph" w:customStyle="1" w:styleId="Zwykytekst1">
    <w:name w:val="Zwykły tekst1"/>
    <w:basedOn w:val="Normalny"/>
    <w:rsid w:val="00EC5A6A"/>
    <w:pPr>
      <w:suppressAutoHyphens/>
      <w:spacing w:line="240" w:lineRule="auto"/>
      <w:ind w:firstLine="0"/>
      <w:jc w:val="left"/>
    </w:pPr>
    <w:rPr>
      <w:rFonts w:ascii="Courier New" w:hAnsi="Courier New"/>
      <w:sz w:val="20"/>
      <w:szCs w:val="20"/>
      <w:lang w:eastAsia="ar-SA"/>
    </w:rPr>
  </w:style>
  <w:style w:type="paragraph" w:customStyle="1" w:styleId="DomylnieLTTitel">
    <w:name w:val="Domy?lnie~LT~Titel"/>
    <w:rsid w:val="00EC5A6A"/>
    <w:pPr>
      <w:widowControl w:val="0"/>
      <w:tabs>
        <w:tab w:val="left" w:pos="0"/>
        <w:tab w:val="left" w:pos="2540"/>
        <w:tab w:val="left" w:pos="5080"/>
        <w:tab w:val="left" w:pos="7620"/>
        <w:tab w:val="left" w:pos="10160"/>
        <w:tab w:val="left" w:pos="12700"/>
        <w:tab w:val="left" w:pos="15240"/>
        <w:tab w:val="left" w:pos="17780"/>
        <w:tab w:val="left" w:pos="20320"/>
        <w:tab w:val="left" w:pos="22860"/>
        <w:tab w:val="left" w:pos="25400"/>
        <w:tab w:val="left" w:pos="27940"/>
      </w:tabs>
      <w:suppressAutoHyphens/>
      <w:autoSpaceDE w:val="0"/>
      <w:jc w:val="center"/>
    </w:pPr>
    <w:rPr>
      <w:rFonts w:ascii="Tahoma" w:eastAsia="Tahoma" w:hAnsi="Tahoma"/>
      <w:color w:val="000000"/>
      <w:sz w:val="141"/>
      <w:szCs w:val="141"/>
      <w:lang w:eastAsia="ar-SA"/>
    </w:rPr>
  </w:style>
  <w:style w:type="paragraph" w:customStyle="1" w:styleId="Tekstpodstawowywcity21">
    <w:name w:val="Tekst podstawowy wcięty 21"/>
    <w:basedOn w:val="Normalny"/>
    <w:rsid w:val="00EC5A6A"/>
    <w:pPr>
      <w:suppressAutoHyphens/>
      <w:spacing w:after="120" w:line="240" w:lineRule="auto"/>
      <w:ind w:left="567" w:hanging="567"/>
    </w:pPr>
    <w:rPr>
      <w:rFonts w:ascii="Times New Roman" w:hAnsi="Times New Roman"/>
      <w:sz w:val="24"/>
      <w:lang w:eastAsia="ar-SA"/>
    </w:rPr>
  </w:style>
  <w:style w:type="paragraph" w:customStyle="1" w:styleId="Tekstpodstawowywcity31">
    <w:name w:val="Tekst podstawowy wcięty 31"/>
    <w:basedOn w:val="Normalny"/>
    <w:rsid w:val="00EC5A6A"/>
    <w:pPr>
      <w:suppressAutoHyphens/>
      <w:spacing w:after="120" w:line="240" w:lineRule="auto"/>
      <w:ind w:left="567" w:firstLine="0"/>
    </w:pPr>
    <w:rPr>
      <w:rFonts w:ascii="Times New Roman" w:hAnsi="Times New Roman"/>
      <w:sz w:val="24"/>
      <w:lang w:eastAsia="ar-SA"/>
    </w:rPr>
  </w:style>
  <w:style w:type="paragraph" w:customStyle="1" w:styleId="Tekstpodstawowy22">
    <w:name w:val="Tekst podstawowy 22"/>
    <w:basedOn w:val="Normalny"/>
    <w:rsid w:val="00EC5A6A"/>
    <w:pPr>
      <w:pageBreakBefore/>
      <w:suppressAutoHyphens/>
      <w:spacing w:before="240" w:after="240" w:line="240" w:lineRule="auto"/>
      <w:ind w:firstLine="0"/>
      <w:jc w:val="center"/>
    </w:pPr>
    <w:rPr>
      <w:rFonts w:ascii="Times New Roman" w:hAnsi="Times New Roman"/>
      <w:b/>
      <w:sz w:val="26"/>
      <w:szCs w:val="26"/>
      <w:lang w:eastAsia="ar-SA"/>
    </w:rPr>
  </w:style>
  <w:style w:type="paragraph" w:customStyle="1" w:styleId="Zwykytekst2">
    <w:name w:val="Zwykły tekst2"/>
    <w:basedOn w:val="Normalny"/>
    <w:rsid w:val="00EC5A6A"/>
    <w:pPr>
      <w:suppressAutoHyphens/>
      <w:spacing w:line="240" w:lineRule="auto"/>
      <w:ind w:firstLine="0"/>
      <w:jc w:val="left"/>
    </w:pPr>
    <w:rPr>
      <w:rFonts w:ascii="Courier New" w:hAnsi="Courier New"/>
      <w:sz w:val="24"/>
      <w:lang w:eastAsia="ar-SA"/>
    </w:rPr>
  </w:style>
  <w:style w:type="character" w:customStyle="1" w:styleId="CharacterStyle1">
    <w:name w:val="Character Style 1"/>
    <w:uiPriority w:val="99"/>
    <w:rsid w:val="00EC5A6A"/>
    <w:rPr>
      <w:sz w:val="24"/>
    </w:rPr>
  </w:style>
  <w:style w:type="table" w:customStyle="1" w:styleId="Tabela-Siatka10">
    <w:name w:val="Tabela - Siatka1"/>
    <w:basedOn w:val="Standardowy"/>
    <w:next w:val="Tabela-Siatka"/>
    <w:uiPriority w:val="59"/>
    <w:rsid w:val="00EC5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unhideWhenUsed/>
    <w:rsid w:val="00EC5A6A"/>
    <w:pPr>
      <w:suppressAutoHyphens/>
      <w:spacing w:line="240" w:lineRule="auto"/>
      <w:ind w:left="566" w:hanging="283"/>
      <w:contextualSpacing/>
      <w:jc w:val="left"/>
    </w:pPr>
    <w:rPr>
      <w:rFonts w:ascii="Times New Roman" w:hAnsi="Times New Roman"/>
      <w:sz w:val="24"/>
      <w:lang w:eastAsia="ar-SA"/>
    </w:rPr>
  </w:style>
  <w:style w:type="paragraph" w:styleId="Lista3">
    <w:name w:val="List 3"/>
    <w:basedOn w:val="Normalny"/>
    <w:uiPriority w:val="99"/>
    <w:unhideWhenUsed/>
    <w:rsid w:val="00EC5A6A"/>
    <w:pPr>
      <w:suppressAutoHyphens/>
      <w:spacing w:line="240" w:lineRule="auto"/>
      <w:ind w:left="849" w:hanging="283"/>
      <w:contextualSpacing/>
      <w:jc w:val="left"/>
    </w:pPr>
    <w:rPr>
      <w:rFonts w:ascii="Times New Roman" w:hAnsi="Times New Roman"/>
      <w:sz w:val="24"/>
      <w:lang w:eastAsia="ar-SA"/>
    </w:rPr>
  </w:style>
  <w:style w:type="paragraph" w:styleId="Lista4">
    <w:name w:val="List 4"/>
    <w:basedOn w:val="Normalny"/>
    <w:uiPriority w:val="99"/>
    <w:unhideWhenUsed/>
    <w:rsid w:val="00EC5A6A"/>
    <w:pPr>
      <w:suppressAutoHyphens/>
      <w:spacing w:line="240" w:lineRule="auto"/>
      <w:ind w:left="1132" w:hanging="283"/>
      <w:contextualSpacing/>
      <w:jc w:val="left"/>
    </w:pPr>
    <w:rPr>
      <w:rFonts w:ascii="Times New Roman" w:hAnsi="Times New Roman"/>
      <w:sz w:val="24"/>
      <w:lang w:eastAsia="ar-SA"/>
    </w:rPr>
  </w:style>
  <w:style w:type="paragraph" w:styleId="Listapunktowana2">
    <w:name w:val="List Bullet 2"/>
    <w:basedOn w:val="Normalny"/>
    <w:uiPriority w:val="99"/>
    <w:unhideWhenUsed/>
    <w:rsid w:val="00EC5A6A"/>
    <w:pPr>
      <w:numPr>
        <w:numId w:val="7"/>
      </w:numPr>
      <w:suppressAutoHyphens/>
      <w:spacing w:line="240" w:lineRule="auto"/>
      <w:contextualSpacing/>
      <w:jc w:val="left"/>
    </w:pPr>
    <w:rPr>
      <w:rFonts w:ascii="Times New Roman" w:hAnsi="Times New Roman"/>
      <w:sz w:val="24"/>
      <w:lang w:eastAsia="ar-SA"/>
    </w:rPr>
  </w:style>
  <w:style w:type="paragraph" w:styleId="Lista-kontynuacja">
    <w:name w:val="List Continue"/>
    <w:basedOn w:val="Normalny"/>
    <w:uiPriority w:val="99"/>
    <w:unhideWhenUsed/>
    <w:rsid w:val="00EC5A6A"/>
    <w:pPr>
      <w:suppressAutoHyphens/>
      <w:spacing w:after="120" w:line="240" w:lineRule="auto"/>
      <w:ind w:left="283" w:firstLine="0"/>
      <w:contextualSpacing/>
      <w:jc w:val="left"/>
    </w:pPr>
    <w:rPr>
      <w:rFonts w:ascii="Times New Roman" w:hAnsi="Times New Roman"/>
      <w:sz w:val="24"/>
      <w:lang w:eastAsia="ar-SA"/>
    </w:rPr>
  </w:style>
  <w:style w:type="paragraph" w:styleId="Tytu">
    <w:name w:val="Title"/>
    <w:basedOn w:val="Normalny"/>
    <w:next w:val="Normalny"/>
    <w:link w:val="TytuZnak"/>
    <w:uiPriority w:val="10"/>
    <w:qFormat/>
    <w:rsid w:val="00EC5A6A"/>
    <w:pPr>
      <w:suppressAutoHyphens/>
      <w:spacing w:line="240" w:lineRule="auto"/>
      <w:ind w:firstLine="0"/>
      <w:contextualSpacing/>
      <w:jc w:val="left"/>
    </w:pPr>
    <w:rPr>
      <w:rFonts w:asciiTheme="majorHAnsi" w:eastAsiaTheme="majorEastAsia" w:hAnsiTheme="majorHAnsi" w:cstheme="majorBidi"/>
      <w:spacing w:val="-10"/>
      <w:kern w:val="28"/>
      <w:sz w:val="56"/>
      <w:szCs w:val="56"/>
      <w:lang w:eastAsia="ar-SA"/>
    </w:rPr>
  </w:style>
  <w:style w:type="character" w:customStyle="1" w:styleId="TytuZnak">
    <w:name w:val="Tytuł Znak"/>
    <w:basedOn w:val="Domylnaczcionkaakapitu"/>
    <w:link w:val="Tytu"/>
    <w:uiPriority w:val="10"/>
    <w:rsid w:val="00EC5A6A"/>
    <w:rPr>
      <w:rFonts w:asciiTheme="majorHAnsi" w:eastAsiaTheme="majorEastAsia" w:hAnsiTheme="majorHAnsi" w:cstheme="majorBidi"/>
      <w:spacing w:val="-10"/>
      <w:kern w:val="28"/>
      <w:sz w:val="56"/>
      <w:szCs w:val="56"/>
      <w:lang w:eastAsia="ar-SA"/>
    </w:rPr>
  </w:style>
  <w:style w:type="paragraph" w:styleId="Tekstpodstawowyzwciciem2">
    <w:name w:val="Body Text First Indent 2"/>
    <w:basedOn w:val="Tekstpodstawowywcity"/>
    <w:link w:val="Tekstpodstawowyzwciciem2Znak"/>
    <w:uiPriority w:val="99"/>
    <w:unhideWhenUsed/>
    <w:rsid w:val="00EC5A6A"/>
    <w:pPr>
      <w:suppressAutoHyphens/>
      <w:spacing w:line="240" w:lineRule="auto"/>
      <w:ind w:left="360" w:firstLine="360"/>
      <w:jc w:val="left"/>
    </w:pPr>
    <w:rPr>
      <w:rFonts w:ascii="Times New Roman" w:hAnsi="Times New Roman"/>
      <w:sz w:val="24"/>
      <w:lang w:eastAsia="ar-SA"/>
    </w:rPr>
  </w:style>
  <w:style w:type="character" w:customStyle="1" w:styleId="TekstpodstawowywcityZnak">
    <w:name w:val="Tekst podstawowy wcięty Znak"/>
    <w:basedOn w:val="Domylnaczcionkaakapitu"/>
    <w:link w:val="Tekstpodstawowywcity"/>
    <w:rsid w:val="00EC5A6A"/>
    <w:rPr>
      <w:rFonts w:ascii="Tahoma" w:hAnsi="Tahoma"/>
      <w:sz w:val="22"/>
      <w:szCs w:val="24"/>
    </w:rPr>
  </w:style>
  <w:style w:type="character" w:customStyle="1" w:styleId="Tekstpodstawowyzwciciem2Znak">
    <w:name w:val="Tekst podstawowy z wcięciem 2 Znak"/>
    <w:basedOn w:val="TekstpodstawowywcityZnak"/>
    <w:link w:val="Tekstpodstawowyzwciciem2"/>
    <w:uiPriority w:val="99"/>
    <w:rsid w:val="00EC5A6A"/>
    <w:rPr>
      <w:rFonts w:ascii="Tahoma" w:hAnsi="Tahoma"/>
      <w:sz w:val="24"/>
      <w:szCs w:val="24"/>
      <w:lang w:eastAsia="ar-SA"/>
    </w:rPr>
  </w:style>
  <w:style w:type="character" w:customStyle="1" w:styleId="Nagwek4Znak">
    <w:name w:val="Nagłówek 4 Znak"/>
    <w:basedOn w:val="Domylnaczcionkaakapitu"/>
    <w:link w:val="Nagwek4"/>
    <w:rsid w:val="001F1E69"/>
    <w:rPr>
      <w:rFonts w:ascii="Arial" w:hAnsi="Arial"/>
      <w:b/>
      <w:sz w:val="24"/>
    </w:rPr>
  </w:style>
  <w:style w:type="character" w:customStyle="1" w:styleId="Nagwek5Znak">
    <w:name w:val="Nagłówek 5 Znak"/>
    <w:basedOn w:val="Domylnaczcionkaakapitu"/>
    <w:link w:val="Nagwek5"/>
    <w:rsid w:val="001F1E69"/>
    <w:rPr>
      <w:rFonts w:ascii="Arial" w:hAnsi="Arial"/>
      <w:sz w:val="22"/>
    </w:rPr>
  </w:style>
  <w:style w:type="character" w:customStyle="1" w:styleId="Nagwek6Znak">
    <w:name w:val="Nagłówek 6 Znak"/>
    <w:basedOn w:val="Domylnaczcionkaakapitu"/>
    <w:link w:val="Nagwek6"/>
    <w:rsid w:val="001F1E69"/>
    <w:rPr>
      <w:i/>
      <w:sz w:val="22"/>
    </w:rPr>
  </w:style>
  <w:style w:type="character" w:customStyle="1" w:styleId="TekstprzypisukocowegoZnak1">
    <w:name w:val="Tekst przypisu końcowego Znak1"/>
    <w:basedOn w:val="Domylnaczcionkaakapitu"/>
    <w:semiHidden/>
    <w:rsid w:val="001F1E69"/>
    <w:rPr>
      <w:lang w:eastAsia="ar-SA"/>
    </w:rPr>
  </w:style>
  <w:style w:type="character" w:customStyle="1" w:styleId="TekstdymkaZnak1">
    <w:name w:val="Tekst dymka Znak1"/>
    <w:basedOn w:val="Domylnaczcionkaakapitu"/>
    <w:rsid w:val="001F1E69"/>
    <w:rPr>
      <w:rFonts w:ascii="Tahoma" w:hAnsi="Tahoma" w:cs="Tahoma"/>
      <w:sz w:val="16"/>
      <w:szCs w:val="16"/>
      <w:lang w:eastAsia="ar-SA"/>
    </w:rPr>
  </w:style>
  <w:style w:type="character" w:styleId="Tekstzastpczy">
    <w:name w:val="Placeholder Text"/>
    <w:basedOn w:val="Domylnaczcionkaakapitu"/>
    <w:uiPriority w:val="99"/>
    <w:semiHidden/>
    <w:rsid w:val="00B26D48"/>
    <w:rPr>
      <w:color w:val="808080"/>
    </w:rPr>
  </w:style>
  <w:style w:type="table" w:customStyle="1" w:styleId="Tabela-Siatka2">
    <w:name w:val="Tabela - Siatka2"/>
    <w:basedOn w:val="Standardowy"/>
    <w:next w:val="Tabela-Siatka"/>
    <w:uiPriority w:val="39"/>
    <w:rsid w:val="000C51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0C51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2D5F09"/>
    <w:rPr>
      <w:color w:val="605E5C"/>
      <w:shd w:val="clear" w:color="auto" w:fill="E1DFDD"/>
    </w:rPr>
  </w:style>
  <w:style w:type="character" w:customStyle="1" w:styleId="Nierozpoznanawzmianka2">
    <w:name w:val="Nierozpoznana wzmianka2"/>
    <w:basedOn w:val="Domylnaczcionkaakapitu"/>
    <w:uiPriority w:val="99"/>
    <w:semiHidden/>
    <w:unhideWhenUsed/>
    <w:rsid w:val="005C2756"/>
    <w:rPr>
      <w:color w:val="605E5C"/>
      <w:shd w:val="clear" w:color="auto" w:fill="E1DFDD"/>
    </w:rPr>
  </w:style>
  <w:style w:type="paragraph" w:customStyle="1" w:styleId="gmail-msolistparagraph">
    <w:name w:val="gmail-msolistparagraph"/>
    <w:basedOn w:val="Normalny"/>
    <w:rsid w:val="009A040A"/>
    <w:pPr>
      <w:spacing w:before="100" w:beforeAutospacing="1" w:after="100" w:afterAutospacing="1" w:line="240" w:lineRule="auto"/>
      <w:ind w:firstLine="0"/>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339">
      <w:bodyDiv w:val="1"/>
      <w:marLeft w:val="0"/>
      <w:marRight w:val="0"/>
      <w:marTop w:val="0"/>
      <w:marBottom w:val="0"/>
      <w:divBdr>
        <w:top w:val="none" w:sz="0" w:space="0" w:color="auto"/>
        <w:left w:val="none" w:sz="0" w:space="0" w:color="auto"/>
        <w:bottom w:val="none" w:sz="0" w:space="0" w:color="auto"/>
        <w:right w:val="none" w:sz="0" w:space="0" w:color="auto"/>
      </w:divBdr>
      <w:divsChild>
        <w:div w:id="334771874">
          <w:marLeft w:val="0"/>
          <w:marRight w:val="0"/>
          <w:marTop w:val="0"/>
          <w:marBottom w:val="0"/>
          <w:divBdr>
            <w:top w:val="none" w:sz="0" w:space="0" w:color="auto"/>
            <w:left w:val="none" w:sz="0" w:space="0" w:color="auto"/>
            <w:bottom w:val="none" w:sz="0" w:space="0" w:color="auto"/>
            <w:right w:val="none" w:sz="0" w:space="0" w:color="auto"/>
          </w:divBdr>
        </w:div>
      </w:divsChild>
    </w:div>
    <w:div w:id="67190921">
      <w:bodyDiv w:val="1"/>
      <w:marLeft w:val="0"/>
      <w:marRight w:val="0"/>
      <w:marTop w:val="0"/>
      <w:marBottom w:val="0"/>
      <w:divBdr>
        <w:top w:val="none" w:sz="0" w:space="0" w:color="auto"/>
        <w:left w:val="none" w:sz="0" w:space="0" w:color="auto"/>
        <w:bottom w:val="none" w:sz="0" w:space="0" w:color="auto"/>
        <w:right w:val="none" w:sz="0" w:space="0" w:color="auto"/>
      </w:divBdr>
    </w:div>
    <w:div w:id="71053999">
      <w:bodyDiv w:val="1"/>
      <w:marLeft w:val="0"/>
      <w:marRight w:val="0"/>
      <w:marTop w:val="0"/>
      <w:marBottom w:val="0"/>
      <w:divBdr>
        <w:top w:val="none" w:sz="0" w:space="0" w:color="auto"/>
        <w:left w:val="none" w:sz="0" w:space="0" w:color="auto"/>
        <w:bottom w:val="none" w:sz="0" w:space="0" w:color="auto"/>
        <w:right w:val="none" w:sz="0" w:space="0" w:color="auto"/>
      </w:divBdr>
    </w:div>
    <w:div w:id="97873460">
      <w:bodyDiv w:val="1"/>
      <w:marLeft w:val="0"/>
      <w:marRight w:val="0"/>
      <w:marTop w:val="0"/>
      <w:marBottom w:val="0"/>
      <w:divBdr>
        <w:top w:val="none" w:sz="0" w:space="0" w:color="auto"/>
        <w:left w:val="none" w:sz="0" w:space="0" w:color="auto"/>
        <w:bottom w:val="none" w:sz="0" w:space="0" w:color="auto"/>
        <w:right w:val="none" w:sz="0" w:space="0" w:color="auto"/>
      </w:divBdr>
    </w:div>
    <w:div w:id="109520553">
      <w:bodyDiv w:val="1"/>
      <w:marLeft w:val="0"/>
      <w:marRight w:val="0"/>
      <w:marTop w:val="0"/>
      <w:marBottom w:val="0"/>
      <w:divBdr>
        <w:top w:val="none" w:sz="0" w:space="0" w:color="auto"/>
        <w:left w:val="none" w:sz="0" w:space="0" w:color="auto"/>
        <w:bottom w:val="none" w:sz="0" w:space="0" w:color="auto"/>
        <w:right w:val="none" w:sz="0" w:space="0" w:color="auto"/>
      </w:divBdr>
    </w:div>
    <w:div w:id="125514529">
      <w:bodyDiv w:val="1"/>
      <w:marLeft w:val="0"/>
      <w:marRight w:val="0"/>
      <w:marTop w:val="0"/>
      <w:marBottom w:val="0"/>
      <w:divBdr>
        <w:top w:val="none" w:sz="0" w:space="0" w:color="auto"/>
        <w:left w:val="none" w:sz="0" w:space="0" w:color="auto"/>
        <w:bottom w:val="none" w:sz="0" w:space="0" w:color="auto"/>
        <w:right w:val="none" w:sz="0" w:space="0" w:color="auto"/>
      </w:divBdr>
    </w:div>
    <w:div w:id="157886376">
      <w:bodyDiv w:val="1"/>
      <w:marLeft w:val="0"/>
      <w:marRight w:val="0"/>
      <w:marTop w:val="0"/>
      <w:marBottom w:val="0"/>
      <w:divBdr>
        <w:top w:val="none" w:sz="0" w:space="0" w:color="auto"/>
        <w:left w:val="none" w:sz="0" w:space="0" w:color="auto"/>
        <w:bottom w:val="none" w:sz="0" w:space="0" w:color="auto"/>
        <w:right w:val="none" w:sz="0" w:space="0" w:color="auto"/>
      </w:divBdr>
      <w:divsChild>
        <w:div w:id="1667857927">
          <w:marLeft w:val="0"/>
          <w:marRight w:val="0"/>
          <w:marTop w:val="0"/>
          <w:marBottom w:val="0"/>
          <w:divBdr>
            <w:top w:val="none" w:sz="0" w:space="0" w:color="auto"/>
            <w:left w:val="none" w:sz="0" w:space="0" w:color="auto"/>
            <w:bottom w:val="none" w:sz="0" w:space="0" w:color="auto"/>
            <w:right w:val="none" w:sz="0" w:space="0" w:color="auto"/>
          </w:divBdr>
          <w:divsChild>
            <w:div w:id="200479641">
              <w:marLeft w:val="0"/>
              <w:marRight w:val="0"/>
              <w:marTop w:val="0"/>
              <w:marBottom w:val="0"/>
              <w:divBdr>
                <w:top w:val="none" w:sz="0" w:space="0" w:color="auto"/>
                <w:left w:val="none" w:sz="0" w:space="0" w:color="auto"/>
                <w:bottom w:val="none" w:sz="0" w:space="0" w:color="auto"/>
                <w:right w:val="none" w:sz="0" w:space="0" w:color="auto"/>
              </w:divBdr>
              <w:divsChild>
                <w:div w:id="1241328410">
                  <w:marLeft w:val="15"/>
                  <w:marRight w:val="15"/>
                  <w:marTop w:val="0"/>
                  <w:marBottom w:val="0"/>
                  <w:divBdr>
                    <w:top w:val="none" w:sz="0" w:space="0" w:color="auto"/>
                    <w:left w:val="none" w:sz="0" w:space="0" w:color="auto"/>
                    <w:bottom w:val="none" w:sz="0" w:space="0" w:color="auto"/>
                    <w:right w:val="none" w:sz="0" w:space="0" w:color="auto"/>
                  </w:divBdr>
                  <w:divsChild>
                    <w:div w:id="520707694">
                      <w:marLeft w:val="0"/>
                      <w:marRight w:val="0"/>
                      <w:marTop w:val="0"/>
                      <w:marBottom w:val="0"/>
                      <w:divBdr>
                        <w:top w:val="none" w:sz="0" w:space="0" w:color="auto"/>
                        <w:left w:val="none" w:sz="0" w:space="0" w:color="auto"/>
                        <w:bottom w:val="none" w:sz="0" w:space="0" w:color="auto"/>
                        <w:right w:val="none" w:sz="0" w:space="0" w:color="auto"/>
                      </w:divBdr>
                      <w:divsChild>
                        <w:div w:id="6616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64626">
      <w:bodyDiv w:val="1"/>
      <w:marLeft w:val="0"/>
      <w:marRight w:val="0"/>
      <w:marTop w:val="0"/>
      <w:marBottom w:val="0"/>
      <w:divBdr>
        <w:top w:val="none" w:sz="0" w:space="0" w:color="auto"/>
        <w:left w:val="none" w:sz="0" w:space="0" w:color="auto"/>
        <w:bottom w:val="none" w:sz="0" w:space="0" w:color="auto"/>
        <w:right w:val="none" w:sz="0" w:space="0" w:color="auto"/>
      </w:divBdr>
    </w:div>
    <w:div w:id="197352756">
      <w:bodyDiv w:val="1"/>
      <w:marLeft w:val="0"/>
      <w:marRight w:val="0"/>
      <w:marTop w:val="0"/>
      <w:marBottom w:val="0"/>
      <w:divBdr>
        <w:top w:val="none" w:sz="0" w:space="0" w:color="auto"/>
        <w:left w:val="none" w:sz="0" w:space="0" w:color="auto"/>
        <w:bottom w:val="none" w:sz="0" w:space="0" w:color="auto"/>
        <w:right w:val="none" w:sz="0" w:space="0" w:color="auto"/>
      </w:divBdr>
    </w:div>
    <w:div w:id="233323538">
      <w:bodyDiv w:val="1"/>
      <w:marLeft w:val="0"/>
      <w:marRight w:val="0"/>
      <w:marTop w:val="0"/>
      <w:marBottom w:val="0"/>
      <w:divBdr>
        <w:top w:val="none" w:sz="0" w:space="0" w:color="auto"/>
        <w:left w:val="none" w:sz="0" w:space="0" w:color="auto"/>
        <w:bottom w:val="none" w:sz="0" w:space="0" w:color="auto"/>
        <w:right w:val="none" w:sz="0" w:space="0" w:color="auto"/>
      </w:divBdr>
    </w:div>
    <w:div w:id="236281584">
      <w:bodyDiv w:val="1"/>
      <w:marLeft w:val="0"/>
      <w:marRight w:val="0"/>
      <w:marTop w:val="0"/>
      <w:marBottom w:val="0"/>
      <w:divBdr>
        <w:top w:val="none" w:sz="0" w:space="0" w:color="auto"/>
        <w:left w:val="none" w:sz="0" w:space="0" w:color="auto"/>
        <w:bottom w:val="none" w:sz="0" w:space="0" w:color="auto"/>
        <w:right w:val="none" w:sz="0" w:space="0" w:color="auto"/>
      </w:divBdr>
    </w:div>
    <w:div w:id="240066656">
      <w:bodyDiv w:val="1"/>
      <w:marLeft w:val="0"/>
      <w:marRight w:val="0"/>
      <w:marTop w:val="0"/>
      <w:marBottom w:val="0"/>
      <w:divBdr>
        <w:top w:val="none" w:sz="0" w:space="0" w:color="auto"/>
        <w:left w:val="none" w:sz="0" w:space="0" w:color="auto"/>
        <w:bottom w:val="none" w:sz="0" w:space="0" w:color="auto"/>
        <w:right w:val="none" w:sz="0" w:space="0" w:color="auto"/>
      </w:divBdr>
    </w:div>
    <w:div w:id="248782996">
      <w:bodyDiv w:val="1"/>
      <w:marLeft w:val="0"/>
      <w:marRight w:val="0"/>
      <w:marTop w:val="0"/>
      <w:marBottom w:val="0"/>
      <w:divBdr>
        <w:top w:val="none" w:sz="0" w:space="0" w:color="auto"/>
        <w:left w:val="none" w:sz="0" w:space="0" w:color="auto"/>
        <w:bottom w:val="none" w:sz="0" w:space="0" w:color="auto"/>
        <w:right w:val="none" w:sz="0" w:space="0" w:color="auto"/>
      </w:divBdr>
    </w:div>
    <w:div w:id="263853742">
      <w:bodyDiv w:val="1"/>
      <w:marLeft w:val="0"/>
      <w:marRight w:val="0"/>
      <w:marTop w:val="0"/>
      <w:marBottom w:val="0"/>
      <w:divBdr>
        <w:top w:val="none" w:sz="0" w:space="0" w:color="auto"/>
        <w:left w:val="none" w:sz="0" w:space="0" w:color="auto"/>
        <w:bottom w:val="none" w:sz="0" w:space="0" w:color="auto"/>
        <w:right w:val="none" w:sz="0" w:space="0" w:color="auto"/>
      </w:divBdr>
    </w:div>
    <w:div w:id="268123851">
      <w:bodyDiv w:val="1"/>
      <w:marLeft w:val="0"/>
      <w:marRight w:val="0"/>
      <w:marTop w:val="0"/>
      <w:marBottom w:val="0"/>
      <w:divBdr>
        <w:top w:val="none" w:sz="0" w:space="0" w:color="auto"/>
        <w:left w:val="none" w:sz="0" w:space="0" w:color="auto"/>
        <w:bottom w:val="none" w:sz="0" w:space="0" w:color="auto"/>
        <w:right w:val="none" w:sz="0" w:space="0" w:color="auto"/>
      </w:divBdr>
    </w:div>
    <w:div w:id="273943456">
      <w:bodyDiv w:val="1"/>
      <w:marLeft w:val="0"/>
      <w:marRight w:val="0"/>
      <w:marTop w:val="0"/>
      <w:marBottom w:val="0"/>
      <w:divBdr>
        <w:top w:val="none" w:sz="0" w:space="0" w:color="auto"/>
        <w:left w:val="none" w:sz="0" w:space="0" w:color="auto"/>
        <w:bottom w:val="none" w:sz="0" w:space="0" w:color="auto"/>
        <w:right w:val="none" w:sz="0" w:space="0" w:color="auto"/>
      </w:divBdr>
    </w:div>
    <w:div w:id="276958945">
      <w:bodyDiv w:val="1"/>
      <w:marLeft w:val="0"/>
      <w:marRight w:val="0"/>
      <w:marTop w:val="0"/>
      <w:marBottom w:val="0"/>
      <w:divBdr>
        <w:top w:val="none" w:sz="0" w:space="0" w:color="auto"/>
        <w:left w:val="none" w:sz="0" w:space="0" w:color="auto"/>
        <w:bottom w:val="none" w:sz="0" w:space="0" w:color="auto"/>
        <w:right w:val="none" w:sz="0" w:space="0" w:color="auto"/>
      </w:divBdr>
    </w:div>
    <w:div w:id="354114894">
      <w:bodyDiv w:val="1"/>
      <w:marLeft w:val="0"/>
      <w:marRight w:val="0"/>
      <w:marTop w:val="0"/>
      <w:marBottom w:val="0"/>
      <w:divBdr>
        <w:top w:val="none" w:sz="0" w:space="0" w:color="auto"/>
        <w:left w:val="none" w:sz="0" w:space="0" w:color="auto"/>
        <w:bottom w:val="none" w:sz="0" w:space="0" w:color="auto"/>
        <w:right w:val="none" w:sz="0" w:space="0" w:color="auto"/>
      </w:divBdr>
    </w:div>
    <w:div w:id="364257833">
      <w:bodyDiv w:val="1"/>
      <w:marLeft w:val="0"/>
      <w:marRight w:val="0"/>
      <w:marTop w:val="0"/>
      <w:marBottom w:val="0"/>
      <w:divBdr>
        <w:top w:val="none" w:sz="0" w:space="0" w:color="auto"/>
        <w:left w:val="none" w:sz="0" w:space="0" w:color="auto"/>
        <w:bottom w:val="none" w:sz="0" w:space="0" w:color="auto"/>
        <w:right w:val="none" w:sz="0" w:space="0" w:color="auto"/>
      </w:divBdr>
    </w:div>
    <w:div w:id="365758161">
      <w:bodyDiv w:val="1"/>
      <w:marLeft w:val="0"/>
      <w:marRight w:val="0"/>
      <w:marTop w:val="0"/>
      <w:marBottom w:val="0"/>
      <w:divBdr>
        <w:top w:val="none" w:sz="0" w:space="0" w:color="auto"/>
        <w:left w:val="none" w:sz="0" w:space="0" w:color="auto"/>
        <w:bottom w:val="none" w:sz="0" w:space="0" w:color="auto"/>
        <w:right w:val="none" w:sz="0" w:space="0" w:color="auto"/>
      </w:divBdr>
    </w:div>
    <w:div w:id="380247568">
      <w:bodyDiv w:val="1"/>
      <w:marLeft w:val="0"/>
      <w:marRight w:val="0"/>
      <w:marTop w:val="0"/>
      <w:marBottom w:val="0"/>
      <w:divBdr>
        <w:top w:val="none" w:sz="0" w:space="0" w:color="auto"/>
        <w:left w:val="none" w:sz="0" w:space="0" w:color="auto"/>
        <w:bottom w:val="none" w:sz="0" w:space="0" w:color="auto"/>
        <w:right w:val="none" w:sz="0" w:space="0" w:color="auto"/>
      </w:divBdr>
    </w:div>
    <w:div w:id="386338512">
      <w:bodyDiv w:val="1"/>
      <w:marLeft w:val="0"/>
      <w:marRight w:val="0"/>
      <w:marTop w:val="0"/>
      <w:marBottom w:val="0"/>
      <w:divBdr>
        <w:top w:val="none" w:sz="0" w:space="0" w:color="auto"/>
        <w:left w:val="none" w:sz="0" w:space="0" w:color="auto"/>
        <w:bottom w:val="none" w:sz="0" w:space="0" w:color="auto"/>
        <w:right w:val="none" w:sz="0" w:space="0" w:color="auto"/>
      </w:divBdr>
      <w:divsChild>
        <w:div w:id="447239012">
          <w:marLeft w:val="0"/>
          <w:marRight w:val="0"/>
          <w:marTop w:val="0"/>
          <w:marBottom w:val="0"/>
          <w:divBdr>
            <w:top w:val="none" w:sz="0" w:space="0" w:color="auto"/>
            <w:left w:val="none" w:sz="0" w:space="0" w:color="auto"/>
            <w:bottom w:val="none" w:sz="0" w:space="0" w:color="auto"/>
            <w:right w:val="none" w:sz="0" w:space="0" w:color="auto"/>
          </w:divBdr>
        </w:div>
      </w:divsChild>
    </w:div>
    <w:div w:id="409082676">
      <w:bodyDiv w:val="1"/>
      <w:marLeft w:val="0"/>
      <w:marRight w:val="0"/>
      <w:marTop w:val="0"/>
      <w:marBottom w:val="0"/>
      <w:divBdr>
        <w:top w:val="none" w:sz="0" w:space="0" w:color="auto"/>
        <w:left w:val="none" w:sz="0" w:space="0" w:color="auto"/>
        <w:bottom w:val="none" w:sz="0" w:space="0" w:color="auto"/>
        <w:right w:val="none" w:sz="0" w:space="0" w:color="auto"/>
      </w:divBdr>
    </w:div>
    <w:div w:id="427506433">
      <w:bodyDiv w:val="1"/>
      <w:marLeft w:val="0"/>
      <w:marRight w:val="0"/>
      <w:marTop w:val="0"/>
      <w:marBottom w:val="0"/>
      <w:divBdr>
        <w:top w:val="none" w:sz="0" w:space="0" w:color="auto"/>
        <w:left w:val="none" w:sz="0" w:space="0" w:color="auto"/>
        <w:bottom w:val="none" w:sz="0" w:space="0" w:color="auto"/>
        <w:right w:val="none" w:sz="0" w:space="0" w:color="auto"/>
      </w:divBdr>
      <w:divsChild>
        <w:div w:id="1325357236">
          <w:marLeft w:val="0"/>
          <w:marRight w:val="0"/>
          <w:marTop w:val="0"/>
          <w:marBottom w:val="0"/>
          <w:divBdr>
            <w:top w:val="none" w:sz="0" w:space="0" w:color="auto"/>
            <w:left w:val="none" w:sz="0" w:space="0" w:color="auto"/>
            <w:bottom w:val="none" w:sz="0" w:space="0" w:color="auto"/>
            <w:right w:val="none" w:sz="0" w:space="0" w:color="auto"/>
          </w:divBdr>
          <w:divsChild>
            <w:div w:id="388071375">
              <w:marLeft w:val="0"/>
              <w:marRight w:val="0"/>
              <w:marTop w:val="0"/>
              <w:marBottom w:val="0"/>
              <w:divBdr>
                <w:top w:val="none" w:sz="0" w:space="0" w:color="auto"/>
                <w:left w:val="none" w:sz="0" w:space="0" w:color="auto"/>
                <w:bottom w:val="none" w:sz="0" w:space="0" w:color="auto"/>
                <w:right w:val="none" w:sz="0" w:space="0" w:color="auto"/>
              </w:divBdr>
              <w:divsChild>
                <w:div w:id="166483861">
                  <w:marLeft w:val="15"/>
                  <w:marRight w:val="15"/>
                  <w:marTop w:val="0"/>
                  <w:marBottom w:val="0"/>
                  <w:divBdr>
                    <w:top w:val="none" w:sz="0" w:space="0" w:color="auto"/>
                    <w:left w:val="none" w:sz="0" w:space="0" w:color="auto"/>
                    <w:bottom w:val="none" w:sz="0" w:space="0" w:color="auto"/>
                    <w:right w:val="none" w:sz="0" w:space="0" w:color="auto"/>
                  </w:divBdr>
                  <w:divsChild>
                    <w:div w:id="249508050">
                      <w:marLeft w:val="0"/>
                      <w:marRight w:val="0"/>
                      <w:marTop w:val="0"/>
                      <w:marBottom w:val="0"/>
                      <w:divBdr>
                        <w:top w:val="none" w:sz="0" w:space="0" w:color="auto"/>
                        <w:left w:val="none" w:sz="0" w:space="0" w:color="auto"/>
                        <w:bottom w:val="none" w:sz="0" w:space="0" w:color="auto"/>
                        <w:right w:val="none" w:sz="0" w:space="0" w:color="auto"/>
                      </w:divBdr>
                      <w:divsChild>
                        <w:div w:id="1256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985429">
      <w:bodyDiv w:val="1"/>
      <w:marLeft w:val="0"/>
      <w:marRight w:val="0"/>
      <w:marTop w:val="0"/>
      <w:marBottom w:val="0"/>
      <w:divBdr>
        <w:top w:val="none" w:sz="0" w:space="0" w:color="auto"/>
        <w:left w:val="none" w:sz="0" w:space="0" w:color="auto"/>
        <w:bottom w:val="none" w:sz="0" w:space="0" w:color="auto"/>
        <w:right w:val="none" w:sz="0" w:space="0" w:color="auto"/>
      </w:divBdr>
    </w:div>
    <w:div w:id="441220718">
      <w:bodyDiv w:val="1"/>
      <w:marLeft w:val="0"/>
      <w:marRight w:val="0"/>
      <w:marTop w:val="0"/>
      <w:marBottom w:val="0"/>
      <w:divBdr>
        <w:top w:val="none" w:sz="0" w:space="0" w:color="auto"/>
        <w:left w:val="none" w:sz="0" w:space="0" w:color="auto"/>
        <w:bottom w:val="none" w:sz="0" w:space="0" w:color="auto"/>
        <w:right w:val="none" w:sz="0" w:space="0" w:color="auto"/>
      </w:divBdr>
    </w:div>
    <w:div w:id="456409174">
      <w:bodyDiv w:val="1"/>
      <w:marLeft w:val="0"/>
      <w:marRight w:val="0"/>
      <w:marTop w:val="0"/>
      <w:marBottom w:val="0"/>
      <w:divBdr>
        <w:top w:val="none" w:sz="0" w:space="0" w:color="auto"/>
        <w:left w:val="none" w:sz="0" w:space="0" w:color="auto"/>
        <w:bottom w:val="none" w:sz="0" w:space="0" w:color="auto"/>
        <w:right w:val="none" w:sz="0" w:space="0" w:color="auto"/>
      </w:divBdr>
    </w:div>
    <w:div w:id="475993415">
      <w:bodyDiv w:val="1"/>
      <w:marLeft w:val="0"/>
      <w:marRight w:val="0"/>
      <w:marTop w:val="0"/>
      <w:marBottom w:val="0"/>
      <w:divBdr>
        <w:top w:val="none" w:sz="0" w:space="0" w:color="auto"/>
        <w:left w:val="none" w:sz="0" w:space="0" w:color="auto"/>
        <w:bottom w:val="none" w:sz="0" w:space="0" w:color="auto"/>
        <w:right w:val="none" w:sz="0" w:space="0" w:color="auto"/>
      </w:divBdr>
    </w:div>
    <w:div w:id="478347550">
      <w:bodyDiv w:val="1"/>
      <w:marLeft w:val="0"/>
      <w:marRight w:val="0"/>
      <w:marTop w:val="0"/>
      <w:marBottom w:val="0"/>
      <w:divBdr>
        <w:top w:val="none" w:sz="0" w:space="0" w:color="auto"/>
        <w:left w:val="none" w:sz="0" w:space="0" w:color="auto"/>
        <w:bottom w:val="none" w:sz="0" w:space="0" w:color="auto"/>
        <w:right w:val="none" w:sz="0" w:space="0" w:color="auto"/>
      </w:divBdr>
    </w:div>
    <w:div w:id="478502001">
      <w:bodyDiv w:val="1"/>
      <w:marLeft w:val="0"/>
      <w:marRight w:val="0"/>
      <w:marTop w:val="0"/>
      <w:marBottom w:val="0"/>
      <w:divBdr>
        <w:top w:val="none" w:sz="0" w:space="0" w:color="auto"/>
        <w:left w:val="none" w:sz="0" w:space="0" w:color="auto"/>
        <w:bottom w:val="none" w:sz="0" w:space="0" w:color="auto"/>
        <w:right w:val="none" w:sz="0" w:space="0" w:color="auto"/>
      </w:divBdr>
    </w:div>
    <w:div w:id="485173253">
      <w:bodyDiv w:val="1"/>
      <w:marLeft w:val="0"/>
      <w:marRight w:val="0"/>
      <w:marTop w:val="0"/>
      <w:marBottom w:val="0"/>
      <w:divBdr>
        <w:top w:val="none" w:sz="0" w:space="0" w:color="auto"/>
        <w:left w:val="none" w:sz="0" w:space="0" w:color="auto"/>
        <w:bottom w:val="none" w:sz="0" w:space="0" w:color="auto"/>
        <w:right w:val="none" w:sz="0" w:space="0" w:color="auto"/>
      </w:divBdr>
    </w:div>
    <w:div w:id="492259399">
      <w:bodyDiv w:val="1"/>
      <w:marLeft w:val="0"/>
      <w:marRight w:val="0"/>
      <w:marTop w:val="0"/>
      <w:marBottom w:val="0"/>
      <w:divBdr>
        <w:top w:val="none" w:sz="0" w:space="0" w:color="auto"/>
        <w:left w:val="none" w:sz="0" w:space="0" w:color="auto"/>
        <w:bottom w:val="none" w:sz="0" w:space="0" w:color="auto"/>
        <w:right w:val="none" w:sz="0" w:space="0" w:color="auto"/>
      </w:divBdr>
    </w:div>
    <w:div w:id="500898439">
      <w:bodyDiv w:val="1"/>
      <w:marLeft w:val="0"/>
      <w:marRight w:val="0"/>
      <w:marTop w:val="0"/>
      <w:marBottom w:val="0"/>
      <w:divBdr>
        <w:top w:val="none" w:sz="0" w:space="0" w:color="auto"/>
        <w:left w:val="none" w:sz="0" w:space="0" w:color="auto"/>
        <w:bottom w:val="none" w:sz="0" w:space="0" w:color="auto"/>
        <w:right w:val="none" w:sz="0" w:space="0" w:color="auto"/>
      </w:divBdr>
    </w:div>
    <w:div w:id="514536425">
      <w:bodyDiv w:val="1"/>
      <w:marLeft w:val="0"/>
      <w:marRight w:val="0"/>
      <w:marTop w:val="0"/>
      <w:marBottom w:val="0"/>
      <w:divBdr>
        <w:top w:val="none" w:sz="0" w:space="0" w:color="auto"/>
        <w:left w:val="none" w:sz="0" w:space="0" w:color="auto"/>
        <w:bottom w:val="none" w:sz="0" w:space="0" w:color="auto"/>
        <w:right w:val="none" w:sz="0" w:space="0" w:color="auto"/>
      </w:divBdr>
    </w:div>
    <w:div w:id="533036106">
      <w:bodyDiv w:val="1"/>
      <w:marLeft w:val="0"/>
      <w:marRight w:val="0"/>
      <w:marTop w:val="0"/>
      <w:marBottom w:val="0"/>
      <w:divBdr>
        <w:top w:val="none" w:sz="0" w:space="0" w:color="auto"/>
        <w:left w:val="none" w:sz="0" w:space="0" w:color="auto"/>
        <w:bottom w:val="none" w:sz="0" w:space="0" w:color="auto"/>
        <w:right w:val="none" w:sz="0" w:space="0" w:color="auto"/>
      </w:divBdr>
    </w:div>
    <w:div w:id="541526620">
      <w:bodyDiv w:val="1"/>
      <w:marLeft w:val="0"/>
      <w:marRight w:val="0"/>
      <w:marTop w:val="0"/>
      <w:marBottom w:val="0"/>
      <w:divBdr>
        <w:top w:val="none" w:sz="0" w:space="0" w:color="auto"/>
        <w:left w:val="none" w:sz="0" w:space="0" w:color="auto"/>
        <w:bottom w:val="none" w:sz="0" w:space="0" w:color="auto"/>
        <w:right w:val="none" w:sz="0" w:space="0" w:color="auto"/>
      </w:divBdr>
    </w:div>
    <w:div w:id="562107636">
      <w:bodyDiv w:val="1"/>
      <w:marLeft w:val="0"/>
      <w:marRight w:val="0"/>
      <w:marTop w:val="0"/>
      <w:marBottom w:val="0"/>
      <w:divBdr>
        <w:top w:val="none" w:sz="0" w:space="0" w:color="auto"/>
        <w:left w:val="none" w:sz="0" w:space="0" w:color="auto"/>
        <w:bottom w:val="none" w:sz="0" w:space="0" w:color="auto"/>
        <w:right w:val="none" w:sz="0" w:space="0" w:color="auto"/>
      </w:divBdr>
    </w:div>
    <w:div w:id="569997263">
      <w:bodyDiv w:val="1"/>
      <w:marLeft w:val="0"/>
      <w:marRight w:val="0"/>
      <w:marTop w:val="0"/>
      <w:marBottom w:val="0"/>
      <w:divBdr>
        <w:top w:val="none" w:sz="0" w:space="0" w:color="auto"/>
        <w:left w:val="none" w:sz="0" w:space="0" w:color="auto"/>
        <w:bottom w:val="none" w:sz="0" w:space="0" w:color="auto"/>
        <w:right w:val="none" w:sz="0" w:space="0" w:color="auto"/>
      </w:divBdr>
    </w:div>
    <w:div w:id="573856730">
      <w:bodyDiv w:val="1"/>
      <w:marLeft w:val="0"/>
      <w:marRight w:val="0"/>
      <w:marTop w:val="0"/>
      <w:marBottom w:val="0"/>
      <w:divBdr>
        <w:top w:val="none" w:sz="0" w:space="0" w:color="auto"/>
        <w:left w:val="none" w:sz="0" w:space="0" w:color="auto"/>
        <w:bottom w:val="none" w:sz="0" w:space="0" w:color="auto"/>
        <w:right w:val="none" w:sz="0" w:space="0" w:color="auto"/>
      </w:divBdr>
    </w:div>
    <w:div w:id="692388931">
      <w:bodyDiv w:val="1"/>
      <w:marLeft w:val="0"/>
      <w:marRight w:val="0"/>
      <w:marTop w:val="0"/>
      <w:marBottom w:val="0"/>
      <w:divBdr>
        <w:top w:val="none" w:sz="0" w:space="0" w:color="auto"/>
        <w:left w:val="none" w:sz="0" w:space="0" w:color="auto"/>
        <w:bottom w:val="none" w:sz="0" w:space="0" w:color="auto"/>
        <w:right w:val="none" w:sz="0" w:space="0" w:color="auto"/>
      </w:divBdr>
    </w:div>
    <w:div w:id="717972994">
      <w:bodyDiv w:val="1"/>
      <w:marLeft w:val="0"/>
      <w:marRight w:val="0"/>
      <w:marTop w:val="0"/>
      <w:marBottom w:val="0"/>
      <w:divBdr>
        <w:top w:val="none" w:sz="0" w:space="0" w:color="auto"/>
        <w:left w:val="none" w:sz="0" w:space="0" w:color="auto"/>
        <w:bottom w:val="none" w:sz="0" w:space="0" w:color="auto"/>
        <w:right w:val="none" w:sz="0" w:space="0" w:color="auto"/>
      </w:divBdr>
    </w:div>
    <w:div w:id="725252496">
      <w:bodyDiv w:val="1"/>
      <w:marLeft w:val="0"/>
      <w:marRight w:val="0"/>
      <w:marTop w:val="0"/>
      <w:marBottom w:val="0"/>
      <w:divBdr>
        <w:top w:val="none" w:sz="0" w:space="0" w:color="auto"/>
        <w:left w:val="none" w:sz="0" w:space="0" w:color="auto"/>
        <w:bottom w:val="none" w:sz="0" w:space="0" w:color="auto"/>
        <w:right w:val="none" w:sz="0" w:space="0" w:color="auto"/>
      </w:divBdr>
    </w:div>
    <w:div w:id="766273758">
      <w:bodyDiv w:val="1"/>
      <w:marLeft w:val="0"/>
      <w:marRight w:val="0"/>
      <w:marTop w:val="0"/>
      <w:marBottom w:val="0"/>
      <w:divBdr>
        <w:top w:val="none" w:sz="0" w:space="0" w:color="auto"/>
        <w:left w:val="none" w:sz="0" w:space="0" w:color="auto"/>
        <w:bottom w:val="none" w:sz="0" w:space="0" w:color="auto"/>
        <w:right w:val="none" w:sz="0" w:space="0" w:color="auto"/>
      </w:divBdr>
    </w:div>
    <w:div w:id="770398463">
      <w:bodyDiv w:val="1"/>
      <w:marLeft w:val="0"/>
      <w:marRight w:val="0"/>
      <w:marTop w:val="0"/>
      <w:marBottom w:val="0"/>
      <w:divBdr>
        <w:top w:val="none" w:sz="0" w:space="0" w:color="auto"/>
        <w:left w:val="none" w:sz="0" w:space="0" w:color="auto"/>
        <w:bottom w:val="none" w:sz="0" w:space="0" w:color="auto"/>
        <w:right w:val="none" w:sz="0" w:space="0" w:color="auto"/>
      </w:divBdr>
    </w:div>
    <w:div w:id="794711348">
      <w:bodyDiv w:val="1"/>
      <w:marLeft w:val="0"/>
      <w:marRight w:val="0"/>
      <w:marTop w:val="0"/>
      <w:marBottom w:val="0"/>
      <w:divBdr>
        <w:top w:val="none" w:sz="0" w:space="0" w:color="auto"/>
        <w:left w:val="none" w:sz="0" w:space="0" w:color="auto"/>
        <w:bottom w:val="none" w:sz="0" w:space="0" w:color="auto"/>
        <w:right w:val="none" w:sz="0" w:space="0" w:color="auto"/>
      </w:divBdr>
    </w:div>
    <w:div w:id="829908263">
      <w:bodyDiv w:val="1"/>
      <w:marLeft w:val="0"/>
      <w:marRight w:val="0"/>
      <w:marTop w:val="0"/>
      <w:marBottom w:val="0"/>
      <w:divBdr>
        <w:top w:val="none" w:sz="0" w:space="0" w:color="auto"/>
        <w:left w:val="none" w:sz="0" w:space="0" w:color="auto"/>
        <w:bottom w:val="none" w:sz="0" w:space="0" w:color="auto"/>
        <w:right w:val="none" w:sz="0" w:space="0" w:color="auto"/>
      </w:divBdr>
    </w:div>
    <w:div w:id="830408710">
      <w:bodyDiv w:val="1"/>
      <w:marLeft w:val="0"/>
      <w:marRight w:val="0"/>
      <w:marTop w:val="0"/>
      <w:marBottom w:val="0"/>
      <w:divBdr>
        <w:top w:val="none" w:sz="0" w:space="0" w:color="auto"/>
        <w:left w:val="none" w:sz="0" w:space="0" w:color="auto"/>
        <w:bottom w:val="none" w:sz="0" w:space="0" w:color="auto"/>
        <w:right w:val="none" w:sz="0" w:space="0" w:color="auto"/>
      </w:divBdr>
    </w:div>
    <w:div w:id="884102695">
      <w:bodyDiv w:val="1"/>
      <w:marLeft w:val="0"/>
      <w:marRight w:val="0"/>
      <w:marTop w:val="0"/>
      <w:marBottom w:val="0"/>
      <w:divBdr>
        <w:top w:val="none" w:sz="0" w:space="0" w:color="auto"/>
        <w:left w:val="none" w:sz="0" w:space="0" w:color="auto"/>
        <w:bottom w:val="none" w:sz="0" w:space="0" w:color="auto"/>
        <w:right w:val="none" w:sz="0" w:space="0" w:color="auto"/>
      </w:divBdr>
    </w:div>
    <w:div w:id="898130750">
      <w:bodyDiv w:val="1"/>
      <w:marLeft w:val="0"/>
      <w:marRight w:val="0"/>
      <w:marTop w:val="0"/>
      <w:marBottom w:val="0"/>
      <w:divBdr>
        <w:top w:val="none" w:sz="0" w:space="0" w:color="auto"/>
        <w:left w:val="none" w:sz="0" w:space="0" w:color="auto"/>
        <w:bottom w:val="none" w:sz="0" w:space="0" w:color="auto"/>
        <w:right w:val="none" w:sz="0" w:space="0" w:color="auto"/>
      </w:divBdr>
    </w:div>
    <w:div w:id="933392717">
      <w:bodyDiv w:val="1"/>
      <w:marLeft w:val="0"/>
      <w:marRight w:val="0"/>
      <w:marTop w:val="0"/>
      <w:marBottom w:val="0"/>
      <w:divBdr>
        <w:top w:val="none" w:sz="0" w:space="0" w:color="auto"/>
        <w:left w:val="none" w:sz="0" w:space="0" w:color="auto"/>
        <w:bottom w:val="none" w:sz="0" w:space="0" w:color="auto"/>
        <w:right w:val="none" w:sz="0" w:space="0" w:color="auto"/>
      </w:divBdr>
      <w:divsChild>
        <w:div w:id="430273976">
          <w:marLeft w:val="0"/>
          <w:marRight w:val="0"/>
          <w:marTop w:val="0"/>
          <w:marBottom w:val="0"/>
          <w:divBdr>
            <w:top w:val="none" w:sz="0" w:space="0" w:color="auto"/>
            <w:left w:val="none" w:sz="0" w:space="0" w:color="auto"/>
            <w:bottom w:val="none" w:sz="0" w:space="0" w:color="auto"/>
            <w:right w:val="none" w:sz="0" w:space="0" w:color="auto"/>
          </w:divBdr>
          <w:divsChild>
            <w:div w:id="235821700">
              <w:marLeft w:val="0"/>
              <w:marRight w:val="0"/>
              <w:marTop w:val="0"/>
              <w:marBottom w:val="0"/>
              <w:divBdr>
                <w:top w:val="none" w:sz="0" w:space="0" w:color="auto"/>
                <w:left w:val="none" w:sz="0" w:space="0" w:color="auto"/>
                <w:bottom w:val="none" w:sz="0" w:space="0" w:color="auto"/>
                <w:right w:val="none" w:sz="0" w:space="0" w:color="auto"/>
              </w:divBdr>
              <w:divsChild>
                <w:div w:id="703292693">
                  <w:marLeft w:val="0"/>
                  <w:marRight w:val="0"/>
                  <w:marTop w:val="0"/>
                  <w:marBottom w:val="0"/>
                  <w:divBdr>
                    <w:top w:val="none" w:sz="0" w:space="0" w:color="auto"/>
                    <w:left w:val="none" w:sz="0" w:space="0" w:color="auto"/>
                    <w:bottom w:val="none" w:sz="0" w:space="0" w:color="auto"/>
                    <w:right w:val="none" w:sz="0" w:space="0" w:color="auto"/>
                  </w:divBdr>
                  <w:divsChild>
                    <w:div w:id="1322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35394">
          <w:marLeft w:val="0"/>
          <w:marRight w:val="0"/>
          <w:marTop w:val="0"/>
          <w:marBottom w:val="0"/>
          <w:divBdr>
            <w:top w:val="none" w:sz="0" w:space="0" w:color="auto"/>
            <w:left w:val="none" w:sz="0" w:space="0" w:color="auto"/>
            <w:bottom w:val="none" w:sz="0" w:space="0" w:color="auto"/>
            <w:right w:val="none" w:sz="0" w:space="0" w:color="auto"/>
          </w:divBdr>
          <w:divsChild>
            <w:div w:id="1518733428">
              <w:marLeft w:val="0"/>
              <w:marRight w:val="0"/>
              <w:marTop w:val="0"/>
              <w:marBottom w:val="0"/>
              <w:divBdr>
                <w:top w:val="none" w:sz="0" w:space="0" w:color="auto"/>
                <w:left w:val="none" w:sz="0" w:space="0" w:color="auto"/>
                <w:bottom w:val="none" w:sz="0" w:space="0" w:color="auto"/>
                <w:right w:val="none" w:sz="0" w:space="0" w:color="auto"/>
              </w:divBdr>
              <w:divsChild>
                <w:div w:id="343633533">
                  <w:marLeft w:val="0"/>
                  <w:marRight w:val="0"/>
                  <w:marTop w:val="0"/>
                  <w:marBottom w:val="0"/>
                  <w:divBdr>
                    <w:top w:val="none" w:sz="0" w:space="0" w:color="auto"/>
                    <w:left w:val="none" w:sz="0" w:space="0" w:color="auto"/>
                    <w:bottom w:val="none" w:sz="0" w:space="0" w:color="auto"/>
                    <w:right w:val="none" w:sz="0" w:space="0" w:color="auto"/>
                  </w:divBdr>
                  <w:divsChild>
                    <w:div w:id="1590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8061">
          <w:marLeft w:val="0"/>
          <w:marRight w:val="0"/>
          <w:marTop w:val="0"/>
          <w:marBottom w:val="0"/>
          <w:divBdr>
            <w:top w:val="none" w:sz="0" w:space="0" w:color="auto"/>
            <w:left w:val="none" w:sz="0" w:space="0" w:color="auto"/>
            <w:bottom w:val="none" w:sz="0" w:space="0" w:color="auto"/>
            <w:right w:val="none" w:sz="0" w:space="0" w:color="auto"/>
          </w:divBdr>
          <w:divsChild>
            <w:div w:id="753625044">
              <w:marLeft w:val="0"/>
              <w:marRight w:val="0"/>
              <w:marTop w:val="0"/>
              <w:marBottom w:val="0"/>
              <w:divBdr>
                <w:top w:val="none" w:sz="0" w:space="0" w:color="auto"/>
                <w:left w:val="none" w:sz="0" w:space="0" w:color="auto"/>
                <w:bottom w:val="none" w:sz="0" w:space="0" w:color="auto"/>
                <w:right w:val="none" w:sz="0" w:space="0" w:color="auto"/>
              </w:divBdr>
              <w:divsChild>
                <w:div w:id="1356925680">
                  <w:marLeft w:val="0"/>
                  <w:marRight w:val="0"/>
                  <w:marTop w:val="0"/>
                  <w:marBottom w:val="0"/>
                  <w:divBdr>
                    <w:top w:val="none" w:sz="0" w:space="0" w:color="auto"/>
                    <w:left w:val="none" w:sz="0" w:space="0" w:color="auto"/>
                    <w:bottom w:val="none" w:sz="0" w:space="0" w:color="auto"/>
                    <w:right w:val="none" w:sz="0" w:space="0" w:color="auto"/>
                  </w:divBdr>
                  <w:divsChild>
                    <w:div w:id="5593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98559">
      <w:bodyDiv w:val="1"/>
      <w:marLeft w:val="0"/>
      <w:marRight w:val="0"/>
      <w:marTop w:val="0"/>
      <w:marBottom w:val="0"/>
      <w:divBdr>
        <w:top w:val="none" w:sz="0" w:space="0" w:color="auto"/>
        <w:left w:val="none" w:sz="0" w:space="0" w:color="auto"/>
        <w:bottom w:val="none" w:sz="0" w:space="0" w:color="auto"/>
        <w:right w:val="none" w:sz="0" w:space="0" w:color="auto"/>
      </w:divBdr>
    </w:div>
    <w:div w:id="970402121">
      <w:bodyDiv w:val="1"/>
      <w:marLeft w:val="0"/>
      <w:marRight w:val="0"/>
      <w:marTop w:val="0"/>
      <w:marBottom w:val="0"/>
      <w:divBdr>
        <w:top w:val="none" w:sz="0" w:space="0" w:color="auto"/>
        <w:left w:val="none" w:sz="0" w:space="0" w:color="auto"/>
        <w:bottom w:val="none" w:sz="0" w:space="0" w:color="auto"/>
        <w:right w:val="none" w:sz="0" w:space="0" w:color="auto"/>
      </w:divBdr>
    </w:div>
    <w:div w:id="1016884564">
      <w:bodyDiv w:val="1"/>
      <w:marLeft w:val="0"/>
      <w:marRight w:val="0"/>
      <w:marTop w:val="0"/>
      <w:marBottom w:val="0"/>
      <w:divBdr>
        <w:top w:val="none" w:sz="0" w:space="0" w:color="auto"/>
        <w:left w:val="none" w:sz="0" w:space="0" w:color="auto"/>
        <w:bottom w:val="none" w:sz="0" w:space="0" w:color="auto"/>
        <w:right w:val="none" w:sz="0" w:space="0" w:color="auto"/>
      </w:divBdr>
    </w:div>
    <w:div w:id="1039088613">
      <w:bodyDiv w:val="1"/>
      <w:marLeft w:val="0"/>
      <w:marRight w:val="0"/>
      <w:marTop w:val="0"/>
      <w:marBottom w:val="0"/>
      <w:divBdr>
        <w:top w:val="none" w:sz="0" w:space="0" w:color="auto"/>
        <w:left w:val="none" w:sz="0" w:space="0" w:color="auto"/>
        <w:bottom w:val="none" w:sz="0" w:space="0" w:color="auto"/>
        <w:right w:val="none" w:sz="0" w:space="0" w:color="auto"/>
      </w:divBdr>
      <w:divsChild>
        <w:div w:id="690111585">
          <w:marLeft w:val="0"/>
          <w:marRight w:val="0"/>
          <w:marTop w:val="0"/>
          <w:marBottom w:val="0"/>
          <w:divBdr>
            <w:top w:val="none" w:sz="0" w:space="0" w:color="auto"/>
            <w:left w:val="none" w:sz="0" w:space="0" w:color="auto"/>
            <w:bottom w:val="none" w:sz="0" w:space="0" w:color="auto"/>
            <w:right w:val="none" w:sz="0" w:space="0" w:color="auto"/>
          </w:divBdr>
        </w:div>
        <w:div w:id="1245912815">
          <w:marLeft w:val="0"/>
          <w:marRight w:val="0"/>
          <w:marTop w:val="0"/>
          <w:marBottom w:val="0"/>
          <w:divBdr>
            <w:top w:val="none" w:sz="0" w:space="0" w:color="auto"/>
            <w:left w:val="none" w:sz="0" w:space="0" w:color="auto"/>
            <w:bottom w:val="none" w:sz="0" w:space="0" w:color="auto"/>
            <w:right w:val="none" w:sz="0" w:space="0" w:color="auto"/>
          </w:divBdr>
        </w:div>
        <w:div w:id="957175588">
          <w:marLeft w:val="0"/>
          <w:marRight w:val="0"/>
          <w:marTop w:val="0"/>
          <w:marBottom w:val="0"/>
          <w:divBdr>
            <w:top w:val="none" w:sz="0" w:space="0" w:color="auto"/>
            <w:left w:val="none" w:sz="0" w:space="0" w:color="auto"/>
            <w:bottom w:val="none" w:sz="0" w:space="0" w:color="auto"/>
            <w:right w:val="none" w:sz="0" w:space="0" w:color="auto"/>
          </w:divBdr>
        </w:div>
        <w:div w:id="388726217">
          <w:marLeft w:val="0"/>
          <w:marRight w:val="0"/>
          <w:marTop w:val="0"/>
          <w:marBottom w:val="0"/>
          <w:divBdr>
            <w:top w:val="none" w:sz="0" w:space="0" w:color="auto"/>
            <w:left w:val="none" w:sz="0" w:space="0" w:color="auto"/>
            <w:bottom w:val="none" w:sz="0" w:space="0" w:color="auto"/>
            <w:right w:val="none" w:sz="0" w:space="0" w:color="auto"/>
          </w:divBdr>
        </w:div>
        <w:div w:id="605887972">
          <w:marLeft w:val="0"/>
          <w:marRight w:val="0"/>
          <w:marTop w:val="0"/>
          <w:marBottom w:val="0"/>
          <w:divBdr>
            <w:top w:val="none" w:sz="0" w:space="0" w:color="auto"/>
            <w:left w:val="none" w:sz="0" w:space="0" w:color="auto"/>
            <w:bottom w:val="none" w:sz="0" w:space="0" w:color="auto"/>
            <w:right w:val="none" w:sz="0" w:space="0" w:color="auto"/>
          </w:divBdr>
        </w:div>
        <w:div w:id="1174611331">
          <w:marLeft w:val="0"/>
          <w:marRight w:val="0"/>
          <w:marTop w:val="0"/>
          <w:marBottom w:val="0"/>
          <w:divBdr>
            <w:top w:val="none" w:sz="0" w:space="0" w:color="auto"/>
            <w:left w:val="none" w:sz="0" w:space="0" w:color="auto"/>
            <w:bottom w:val="none" w:sz="0" w:space="0" w:color="auto"/>
            <w:right w:val="none" w:sz="0" w:space="0" w:color="auto"/>
          </w:divBdr>
        </w:div>
        <w:div w:id="692269675">
          <w:marLeft w:val="0"/>
          <w:marRight w:val="0"/>
          <w:marTop w:val="0"/>
          <w:marBottom w:val="0"/>
          <w:divBdr>
            <w:top w:val="none" w:sz="0" w:space="0" w:color="auto"/>
            <w:left w:val="none" w:sz="0" w:space="0" w:color="auto"/>
            <w:bottom w:val="none" w:sz="0" w:space="0" w:color="auto"/>
            <w:right w:val="none" w:sz="0" w:space="0" w:color="auto"/>
          </w:divBdr>
        </w:div>
        <w:div w:id="1003361575">
          <w:marLeft w:val="0"/>
          <w:marRight w:val="0"/>
          <w:marTop w:val="0"/>
          <w:marBottom w:val="0"/>
          <w:divBdr>
            <w:top w:val="none" w:sz="0" w:space="0" w:color="auto"/>
            <w:left w:val="none" w:sz="0" w:space="0" w:color="auto"/>
            <w:bottom w:val="none" w:sz="0" w:space="0" w:color="auto"/>
            <w:right w:val="none" w:sz="0" w:space="0" w:color="auto"/>
          </w:divBdr>
        </w:div>
        <w:div w:id="2108650301">
          <w:marLeft w:val="0"/>
          <w:marRight w:val="0"/>
          <w:marTop w:val="0"/>
          <w:marBottom w:val="0"/>
          <w:divBdr>
            <w:top w:val="none" w:sz="0" w:space="0" w:color="auto"/>
            <w:left w:val="none" w:sz="0" w:space="0" w:color="auto"/>
            <w:bottom w:val="none" w:sz="0" w:space="0" w:color="auto"/>
            <w:right w:val="none" w:sz="0" w:space="0" w:color="auto"/>
          </w:divBdr>
        </w:div>
        <w:div w:id="646545186">
          <w:marLeft w:val="0"/>
          <w:marRight w:val="0"/>
          <w:marTop w:val="0"/>
          <w:marBottom w:val="0"/>
          <w:divBdr>
            <w:top w:val="none" w:sz="0" w:space="0" w:color="auto"/>
            <w:left w:val="none" w:sz="0" w:space="0" w:color="auto"/>
            <w:bottom w:val="none" w:sz="0" w:space="0" w:color="auto"/>
            <w:right w:val="none" w:sz="0" w:space="0" w:color="auto"/>
          </w:divBdr>
        </w:div>
        <w:div w:id="1798648045">
          <w:marLeft w:val="0"/>
          <w:marRight w:val="0"/>
          <w:marTop w:val="0"/>
          <w:marBottom w:val="0"/>
          <w:divBdr>
            <w:top w:val="none" w:sz="0" w:space="0" w:color="auto"/>
            <w:left w:val="none" w:sz="0" w:space="0" w:color="auto"/>
            <w:bottom w:val="none" w:sz="0" w:space="0" w:color="auto"/>
            <w:right w:val="none" w:sz="0" w:space="0" w:color="auto"/>
          </w:divBdr>
          <w:divsChild>
            <w:div w:id="1679890585">
              <w:marLeft w:val="0"/>
              <w:marRight w:val="0"/>
              <w:marTop w:val="0"/>
              <w:marBottom w:val="0"/>
              <w:divBdr>
                <w:top w:val="none" w:sz="0" w:space="0" w:color="auto"/>
                <w:left w:val="none" w:sz="0" w:space="0" w:color="auto"/>
                <w:bottom w:val="none" w:sz="0" w:space="0" w:color="auto"/>
                <w:right w:val="none" w:sz="0" w:space="0" w:color="auto"/>
              </w:divBdr>
            </w:div>
            <w:div w:id="989213212">
              <w:marLeft w:val="0"/>
              <w:marRight w:val="0"/>
              <w:marTop w:val="0"/>
              <w:marBottom w:val="0"/>
              <w:divBdr>
                <w:top w:val="none" w:sz="0" w:space="0" w:color="auto"/>
                <w:left w:val="none" w:sz="0" w:space="0" w:color="auto"/>
                <w:bottom w:val="none" w:sz="0" w:space="0" w:color="auto"/>
                <w:right w:val="none" w:sz="0" w:space="0" w:color="auto"/>
              </w:divBdr>
              <w:divsChild>
                <w:div w:id="11431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7928">
          <w:marLeft w:val="0"/>
          <w:marRight w:val="0"/>
          <w:marTop w:val="0"/>
          <w:marBottom w:val="0"/>
          <w:divBdr>
            <w:top w:val="none" w:sz="0" w:space="0" w:color="auto"/>
            <w:left w:val="none" w:sz="0" w:space="0" w:color="auto"/>
            <w:bottom w:val="none" w:sz="0" w:space="0" w:color="auto"/>
            <w:right w:val="none" w:sz="0" w:space="0" w:color="auto"/>
          </w:divBdr>
        </w:div>
        <w:div w:id="2089224799">
          <w:marLeft w:val="0"/>
          <w:marRight w:val="0"/>
          <w:marTop w:val="0"/>
          <w:marBottom w:val="0"/>
          <w:divBdr>
            <w:top w:val="none" w:sz="0" w:space="0" w:color="auto"/>
            <w:left w:val="none" w:sz="0" w:space="0" w:color="auto"/>
            <w:bottom w:val="none" w:sz="0" w:space="0" w:color="auto"/>
            <w:right w:val="none" w:sz="0" w:space="0" w:color="auto"/>
          </w:divBdr>
        </w:div>
        <w:div w:id="1939095688">
          <w:marLeft w:val="0"/>
          <w:marRight w:val="0"/>
          <w:marTop w:val="0"/>
          <w:marBottom w:val="0"/>
          <w:divBdr>
            <w:top w:val="none" w:sz="0" w:space="0" w:color="auto"/>
            <w:left w:val="none" w:sz="0" w:space="0" w:color="auto"/>
            <w:bottom w:val="none" w:sz="0" w:space="0" w:color="auto"/>
            <w:right w:val="none" w:sz="0" w:space="0" w:color="auto"/>
          </w:divBdr>
        </w:div>
        <w:div w:id="786433875">
          <w:marLeft w:val="0"/>
          <w:marRight w:val="0"/>
          <w:marTop w:val="0"/>
          <w:marBottom w:val="0"/>
          <w:divBdr>
            <w:top w:val="none" w:sz="0" w:space="0" w:color="auto"/>
            <w:left w:val="none" w:sz="0" w:space="0" w:color="auto"/>
            <w:bottom w:val="none" w:sz="0" w:space="0" w:color="auto"/>
            <w:right w:val="none" w:sz="0" w:space="0" w:color="auto"/>
          </w:divBdr>
        </w:div>
        <w:div w:id="204218321">
          <w:marLeft w:val="0"/>
          <w:marRight w:val="0"/>
          <w:marTop w:val="0"/>
          <w:marBottom w:val="0"/>
          <w:divBdr>
            <w:top w:val="none" w:sz="0" w:space="0" w:color="auto"/>
            <w:left w:val="none" w:sz="0" w:space="0" w:color="auto"/>
            <w:bottom w:val="none" w:sz="0" w:space="0" w:color="auto"/>
            <w:right w:val="none" w:sz="0" w:space="0" w:color="auto"/>
          </w:divBdr>
        </w:div>
        <w:div w:id="459881166">
          <w:marLeft w:val="0"/>
          <w:marRight w:val="0"/>
          <w:marTop w:val="0"/>
          <w:marBottom w:val="0"/>
          <w:divBdr>
            <w:top w:val="none" w:sz="0" w:space="0" w:color="auto"/>
            <w:left w:val="none" w:sz="0" w:space="0" w:color="auto"/>
            <w:bottom w:val="none" w:sz="0" w:space="0" w:color="auto"/>
            <w:right w:val="none" w:sz="0" w:space="0" w:color="auto"/>
          </w:divBdr>
        </w:div>
        <w:div w:id="232205003">
          <w:marLeft w:val="0"/>
          <w:marRight w:val="0"/>
          <w:marTop w:val="0"/>
          <w:marBottom w:val="0"/>
          <w:divBdr>
            <w:top w:val="none" w:sz="0" w:space="0" w:color="auto"/>
            <w:left w:val="none" w:sz="0" w:space="0" w:color="auto"/>
            <w:bottom w:val="none" w:sz="0" w:space="0" w:color="auto"/>
            <w:right w:val="none" w:sz="0" w:space="0" w:color="auto"/>
          </w:divBdr>
        </w:div>
        <w:div w:id="1212809580">
          <w:marLeft w:val="0"/>
          <w:marRight w:val="0"/>
          <w:marTop w:val="0"/>
          <w:marBottom w:val="0"/>
          <w:divBdr>
            <w:top w:val="none" w:sz="0" w:space="0" w:color="auto"/>
            <w:left w:val="none" w:sz="0" w:space="0" w:color="auto"/>
            <w:bottom w:val="none" w:sz="0" w:space="0" w:color="auto"/>
            <w:right w:val="none" w:sz="0" w:space="0" w:color="auto"/>
          </w:divBdr>
        </w:div>
        <w:div w:id="476075451">
          <w:marLeft w:val="0"/>
          <w:marRight w:val="0"/>
          <w:marTop w:val="0"/>
          <w:marBottom w:val="0"/>
          <w:divBdr>
            <w:top w:val="none" w:sz="0" w:space="0" w:color="auto"/>
            <w:left w:val="none" w:sz="0" w:space="0" w:color="auto"/>
            <w:bottom w:val="none" w:sz="0" w:space="0" w:color="auto"/>
            <w:right w:val="none" w:sz="0" w:space="0" w:color="auto"/>
          </w:divBdr>
        </w:div>
        <w:div w:id="417413244">
          <w:marLeft w:val="0"/>
          <w:marRight w:val="0"/>
          <w:marTop w:val="0"/>
          <w:marBottom w:val="0"/>
          <w:divBdr>
            <w:top w:val="none" w:sz="0" w:space="0" w:color="auto"/>
            <w:left w:val="none" w:sz="0" w:space="0" w:color="auto"/>
            <w:bottom w:val="none" w:sz="0" w:space="0" w:color="auto"/>
            <w:right w:val="none" w:sz="0" w:space="0" w:color="auto"/>
          </w:divBdr>
        </w:div>
        <w:div w:id="14308471">
          <w:marLeft w:val="0"/>
          <w:marRight w:val="0"/>
          <w:marTop w:val="0"/>
          <w:marBottom w:val="0"/>
          <w:divBdr>
            <w:top w:val="none" w:sz="0" w:space="0" w:color="auto"/>
            <w:left w:val="none" w:sz="0" w:space="0" w:color="auto"/>
            <w:bottom w:val="none" w:sz="0" w:space="0" w:color="auto"/>
            <w:right w:val="none" w:sz="0" w:space="0" w:color="auto"/>
          </w:divBdr>
        </w:div>
        <w:div w:id="1915116470">
          <w:marLeft w:val="0"/>
          <w:marRight w:val="0"/>
          <w:marTop w:val="0"/>
          <w:marBottom w:val="0"/>
          <w:divBdr>
            <w:top w:val="none" w:sz="0" w:space="0" w:color="auto"/>
            <w:left w:val="none" w:sz="0" w:space="0" w:color="auto"/>
            <w:bottom w:val="none" w:sz="0" w:space="0" w:color="auto"/>
            <w:right w:val="none" w:sz="0" w:space="0" w:color="auto"/>
          </w:divBdr>
        </w:div>
        <w:div w:id="2134670306">
          <w:marLeft w:val="0"/>
          <w:marRight w:val="0"/>
          <w:marTop w:val="0"/>
          <w:marBottom w:val="0"/>
          <w:divBdr>
            <w:top w:val="none" w:sz="0" w:space="0" w:color="auto"/>
            <w:left w:val="none" w:sz="0" w:space="0" w:color="auto"/>
            <w:bottom w:val="none" w:sz="0" w:space="0" w:color="auto"/>
            <w:right w:val="none" w:sz="0" w:space="0" w:color="auto"/>
          </w:divBdr>
        </w:div>
      </w:divsChild>
    </w:div>
    <w:div w:id="1066491689">
      <w:bodyDiv w:val="1"/>
      <w:marLeft w:val="0"/>
      <w:marRight w:val="0"/>
      <w:marTop w:val="0"/>
      <w:marBottom w:val="0"/>
      <w:divBdr>
        <w:top w:val="none" w:sz="0" w:space="0" w:color="auto"/>
        <w:left w:val="none" w:sz="0" w:space="0" w:color="auto"/>
        <w:bottom w:val="none" w:sz="0" w:space="0" w:color="auto"/>
        <w:right w:val="none" w:sz="0" w:space="0" w:color="auto"/>
      </w:divBdr>
    </w:div>
    <w:div w:id="1078019707">
      <w:bodyDiv w:val="1"/>
      <w:marLeft w:val="0"/>
      <w:marRight w:val="0"/>
      <w:marTop w:val="0"/>
      <w:marBottom w:val="0"/>
      <w:divBdr>
        <w:top w:val="none" w:sz="0" w:space="0" w:color="auto"/>
        <w:left w:val="none" w:sz="0" w:space="0" w:color="auto"/>
        <w:bottom w:val="none" w:sz="0" w:space="0" w:color="auto"/>
        <w:right w:val="none" w:sz="0" w:space="0" w:color="auto"/>
      </w:divBdr>
    </w:div>
    <w:div w:id="1083793254">
      <w:bodyDiv w:val="1"/>
      <w:marLeft w:val="0"/>
      <w:marRight w:val="0"/>
      <w:marTop w:val="0"/>
      <w:marBottom w:val="0"/>
      <w:divBdr>
        <w:top w:val="none" w:sz="0" w:space="0" w:color="auto"/>
        <w:left w:val="none" w:sz="0" w:space="0" w:color="auto"/>
        <w:bottom w:val="none" w:sz="0" w:space="0" w:color="auto"/>
        <w:right w:val="none" w:sz="0" w:space="0" w:color="auto"/>
      </w:divBdr>
    </w:div>
    <w:div w:id="1101490333">
      <w:bodyDiv w:val="1"/>
      <w:marLeft w:val="0"/>
      <w:marRight w:val="0"/>
      <w:marTop w:val="0"/>
      <w:marBottom w:val="0"/>
      <w:divBdr>
        <w:top w:val="none" w:sz="0" w:space="0" w:color="auto"/>
        <w:left w:val="none" w:sz="0" w:space="0" w:color="auto"/>
        <w:bottom w:val="none" w:sz="0" w:space="0" w:color="auto"/>
        <w:right w:val="none" w:sz="0" w:space="0" w:color="auto"/>
      </w:divBdr>
    </w:div>
    <w:div w:id="1150556139">
      <w:bodyDiv w:val="1"/>
      <w:marLeft w:val="0"/>
      <w:marRight w:val="0"/>
      <w:marTop w:val="0"/>
      <w:marBottom w:val="0"/>
      <w:divBdr>
        <w:top w:val="none" w:sz="0" w:space="0" w:color="auto"/>
        <w:left w:val="none" w:sz="0" w:space="0" w:color="auto"/>
        <w:bottom w:val="none" w:sz="0" w:space="0" w:color="auto"/>
        <w:right w:val="none" w:sz="0" w:space="0" w:color="auto"/>
      </w:divBdr>
      <w:divsChild>
        <w:div w:id="165286079">
          <w:marLeft w:val="0"/>
          <w:marRight w:val="0"/>
          <w:marTop w:val="0"/>
          <w:marBottom w:val="0"/>
          <w:divBdr>
            <w:top w:val="none" w:sz="0" w:space="0" w:color="auto"/>
            <w:left w:val="none" w:sz="0" w:space="0" w:color="auto"/>
            <w:bottom w:val="none" w:sz="0" w:space="0" w:color="auto"/>
            <w:right w:val="none" w:sz="0" w:space="0" w:color="auto"/>
          </w:divBdr>
        </w:div>
        <w:div w:id="207301672">
          <w:marLeft w:val="0"/>
          <w:marRight w:val="0"/>
          <w:marTop w:val="0"/>
          <w:marBottom w:val="0"/>
          <w:divBdr>
            <w:top w:val="none" w:sz="0" w:space="0" w:color="auto"/>
            <w:left w:val="none" w:sz="0" w:space="0" w:color="auto"/>
            <w:bottom w:val="none" w:sz="0" w:space="0" w:color="auto"/>
            <w:right w:val="none" w:sz="0" w:space="0" w:color="auto"/>
          </w:divBdr>
          <w:divsChild>
            <w:div w:id="269507240">
              <w:marLeft w:val="0"/>
              <w:marRight w:val="0"/>
              <w:marTop w:val="0"/>
              <w:marBottom w:val="0"/>
              <w:divBdr>
                <w:top w:val="none" w:sz="0" w:space="0" w:color="auto"/>
                <w:left w:val="none" w:sz="0" w:space="0" w:color="auto"/>
                <w:bottom w:val="none" w:sz="0" w:space="0" w:color="auto"/>
                <w:right w:val="none" w:sz="0" w:space="0" w:color="auto"/>
              </w:divBdr>
              <w:divsChild>
                <w:div w:id="1759986823">
                  <w:marLeft w:val="0"/>
                  <w:marRight w:val="0"/>
                  <w:marTop w:val="0"/>
                  <w:marBottom w:val="0"/>
                  <w:divBdr>
                    <w:top w:val="none" w:sz="0" w:space="0" w:color="auto"/>
                    <w:left w:val="none" w:sz="0" w:space="0" w:color="auto"/>
                    <w:bottom w:val="none" w:sz="0" w:space="0" w:color="auto"/>
                    <w:right w:val="none" w:sz="0" w:space="0" w:color="auto"/>
                  </w:divBdr>
                  <w:divsChild>
                    <w:div w:id="1130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6340">
          <w:marLeft w:val="0"/>
          <w:marRight w:val="0"/>
          <w:marTop w:val="0"/>
          <w:marBottom w:val="0"/>
          <w:divBdr>
            <w:top w:val="none" w:sz="0" w:space="0" w:color="auto"/>
            <w:left w:val="none" w:sz="0" w:space="0" w:color="auto"/>
            <w:bottom w:val="none" w:sz="0" w:space="0" w:color="auto"/>
            <w:right w:val="none" w:sz="0" w:space="0" w:color="auto"/>
          </w:divBdr>
        </w:div>
        <w:div w:id="741637409">
          <w:marLeft w:val="0"/>
          <w:marRight w:val="0"/>
          <w:marTop w:val="0"/>
          <w:marBottom w:val="0"/>
          <w:divBdr>
            <w:top w:val="none" w:sz="0" w:space="0" w:color="auto"/>
            <w:left w:val="none" w:sz="0" w:space="0" w:color="auto"/>
            <w:bottom w:val="none" w:sz="0" w:space="0" w:color="auto"/>
            <w:right w:val="none" w:sz="0" w:space="0" w:color="auto"/>
          </w:divBdr>
          <w:divsChild>
            <w:div w:id="1960718110">
              <w:marLeft w:val="0"/>
              <w:marRight w:val="0"/>
              <w:marTop w:val="0"/>
              <w:marBottom w:val="0"/>
              <w:divBdr>
                <w:top w:val="none" w:sz="0" w:space="0" w:color="auto"/>
                <w:left w:val="none" w:sz="0" w:space="0" w:color="auto"/>
                <w:bottom w:val="none" w:sz="0" w:space="0" w:color="auto"/>
                <w:right w:val="none" w:sz="0" w:space="0" w:color="auto"/>
              </w:divBdr>
            </w:div>
          </w:divsChild>
        </w:div>
        <w:div w:id="1075399092">
          <w:marLeft w:val="0"/>
          <w:marRight w:val="0"/>
          <w:marTop w:val="0"/>
          <w:marBottom w:val="0"/>
          <w:divBdr>
            <w:top w:val="none" w:sz="0" w:space="0" w:color="auto"/>
            <w:left w:val="none" w:sz="0" w:space="0" w:color="auto"/>
            <w:bottom w:val="none" w:sz="0" w:space="0" w:color="auto"/>
            <w:right w:val="none" w:sz="0" w:space="0" w:color="auto"/>
          </w:divBdr>
          <w:divsChild>
            <w:div w:id="2024504894">
              <w:marLeft w:val="0"/>
              <w:marRight w:val="0"/>
              <w:marTop w:val="0"/>
              <w:marBottom w:val="0"/>
              <w:divBdr>
                <w:top w:val="none" w:sz="0" w:space="0" w:color="auto"/>
                <w:left w:val="none" w:sz="0" w:space="0" w:color="auto"/>
                <w:bottom w:val="none" w:sz="0" w:space="0" w:color="auto"/>
                <w:right w:val="none" w:sz="0" w:space="0" w:color="auto"/>
              </w:divBdr>
              <w:divsChild>
                <w:div w:id="21218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1089">
          <w:marLeft w:val="0"/>
          <w:marRight w:val="0"/>
          <w:marTop w:val="0"/>
          <w:marBottom w:val="0"/>
          <w:divBdr>
            <w:top w:val="none" w:sz="0" w:space="0" w:color="auto"/>
            <w:left w:val="none" w:sz="0" w:space="0" w:color="auto"/>
            <w:bottom w:val="none" w:sz="0" w:space="0" w:color="auto"/>
            <w:right w:val="none" w:sz="0" w:space="0" w:color="auto"/>
          </w:divBdr>
        </w:div>
        <w:div w:id="1539195086">
          <w:marLeft w:val="0"/>
          <w:marRight w:val="0"/>
          <w:marTop w:val="0"/>
          <w:marBottom w:val="0"/>
          <w:divBdr>
            <w:top w:val="none" w:sz="0" w:space="0" w:color="auto"/>
            <w:left w:val="none" w:sz="0" w:space="0" w:color="auto"/>
            <w:bottom w:val="none" w:sz="0" w:space="0" w:color="auto"/>
            <w:right w:val="none" w:sz="0" w:space="0" w:color="auto"/>
          </w:divBdr>
          <w:divsChild>
            <w:div w:id="2063671077">
              <w:marLeft w:val="0"/>
              <w:marRight w:val="0"/>
              <w:marTop w:val="0"/>
              <w:marBottom w:val="0"/>
              <w:divBdr>
                <w:top w:val="none" w:sz="0" w:space="0" w:color="auto"/>
                <w:left w:val="none" w:sz="0" w:space="0" w:color="auto"/>
                <w:bottom w:val="none" w:sz="0" w:space="0" w:color="auto"/>
                <w:right w:val="none" w:sz="0" w:space="0" w:color="auto"/>
              </w:divBdr>
              <w:divsChild>
                <w:div w:id="1895193333">
                  <w:marLeft w:val="0"/>
                  <w:marRight w:val="0"/>
                  <w:marTop w:val="0"/>
                  <w:marBottom w:val="0"/>
                  <w:divBdr>
                    <w:top w:val="none" w:sz="0" w:space="0" w:color="auto"/>
                    <w:left w:val="none" w:sz="0" w:space="0" w:color="auto"/>
                    <w:bottom w:val="none" w:sz="0" w:space="0" w:color="auto"/>
                    <w:right w:val="none" w:sz="0" w:space="0" w:color="auto"/>
                  </w:divBdr>
                  <w:divsChild>
                    <w:div w:id="1913461962">
                      <w:marLeft w:val="0"/>
                      <w:marRight w:val="0"/>
                      <w:marTop w:val="0"/>
                      <w:marBottom w:val="0"/>
                      <w:divBdr>
                        <w:top w:val="none" w:sz="0" w:space="0" w:color="auto"/>
                        <w:left w:val="none" w:sz="0" w:space="0" w:color="auto"/>
                        <w:bottom w:val="none" w:sz="0" w:space="0" w:color="auto"/>
                        <w:right w:val="none" w:sz="0" w:space="0" w:color="auto"/>
                      </w:divBdr>
                      <w:divsChild>
                        <w:div w:id="1291939203">
                          <w:marLeft w:val="0"/>
                          <w:marRight w:val="0"/>
                          <w:marTop w:val="0"/>
                          <w:marBottom w:val="0"/>
                          <w:divBdr>
                            <w:top w:val="none" w:sz="0" w:space="0" w:color="auto"/>
                            <w:left w:val="none" w:sz="0" w:space="0" w:color="auto"/>
                            <w:bottom w:val="none" w:sz="0" w:space="0" w:color="auto"/>
                            <w:right w:val="none" w:sz="0" w:space="0" w:color="auto"/>
                          </w:divBdr>
                          <w:divsChild>
                            <w:div w:id="118182710">
                              <w:marLeft w:val="0"/>
                              <w:marRight w:val="0"/>
                              <w:marTop w:val="0"/>
                              <w:marBottom w:val="0"/>
                              <w:divBdr>
                                <w:top w:val="none" w:sz="0" w:space="0" w:color="auto"/>
                                <w:left w:val="none" w:sz="0" w:space="0" w:color="auto"/>
                                <w:bottom w:val="none" w:sz="0" w:space="0" w:color="auto"/>
                                <w:right w:val="none" w:sz="0" w:space="0" w:color="auto"/>
                              </w:divBdr>
                              <w:divsChild>
                                <w:div w:id="1903827273">
                                  <w:marLeft w:val="0"/>
                                  <w:marRight w:val="0"/>
                                  <w:marTop w:val="0"/>
                                  <w:marBottom w:val="0"/>
                                  <w:divBdr>
                                    <w:top w:val="none" w:sz="0" w:space="0" w:color="auto"/>
                                    <w:left w:val="none" w:sz="0" w:space="0" w:color="auto"/>
                                    <w:bottom w:val="none" w:sz="0" w:space="0" w:color="auto"/>
                                    <w:right w:val="none" w:sz="0" w:space="0" w:color="auto"/>
                                  </w:divBdr>
                                  <w:divsChild>
                                    <w:div w:id="1545673816">
                                      <w:marLeft w:val="0"/>
                                      <w:marRight w:val="0"/>
                                      <w:marTop w:val="0"/>
                                      <w:marBottom w:val="0"/>
                                      <w:divBdr>
                                        <w:top w:val="none" w:sz="0" w:space="0" w:color="auto"/>
                                        <w:left w:val="none" w:sz="0" w:space="0" w:color="auto"/>
                                        <w:bottom w:val="none" w:sz="0" w:space="0" w:color="auto"/>
                                        <w:right w:val="none" w:sz="0" w:space="0" w:color="auto"/>
                                      </w:divBdr>
                                      <w:divsChild>
                                        <w:div w:id="683558155">
                                          <w:marLeft w:val="0"/>
                                          <w:marRight w:val="0"/>
                                          <w:marTop w:val="0"/>
                                          <w:marBottom w:val="0"/>
                                          <w:divBdr>
                                            <w:top w:val="none" w:sz="0" w:space="0" w:color="auto"/>
                                            <w:left w:val="none" w:sz="0" w:space="0" w:color="auto"/>
                                            <w:bottom w:val="none" w:sz="0" w:space="0" w:color="auto"/>
                                            <w:right w:val="none" w:sz="0" w:space="0" w:color="auto"/>
                                          </w:divBdr>
                                          <w:divsChild>
                                            <w:div w:id="1167133834">
                                              <w:marLeft w:val="0"/>
                                              <w:marRight w:val="0"/>
                                              <w:marTop w:val="0"/>
                                              <w:marBottom w:val="0"/>
                                              <w:divBdr>
                                                <w:top w:val="none" w:sz="0" w:space="0" w:color="auto"/>
                                                <w:left w:val="none" w:sz="0" w:space="0" w:color="auto"/>
                                                <w:bottom w:val="none" w:sz="0" w:space="0" w:color="auto"/>
                                                <w:right w:val="none" w:sz="0" w:space="0" w:color="auto"/>
                                              </w:divBdr>
                                              <w:divsChild>
                                                <w:div w:id="329987551">
                                                  <w:marLeft w:val="0"/>
                                                  <w:marRight w:val="0"/>
                                                  <w:marTop w:val="0"/>
                                                  <w:marBottom w:val="0"/>
                                                  <w:divBdr>
                                                    <w:top w:val="none" w:sz="0" w:space="0" w:color="auto"/>
                                                    <w:left w:val="none" w:sz="0" w:space="0" w:color="auto"/>
                                                    <w:bottom w:val="none" w:sz="0" w:space="0" w:color="auto"/>
                                                    <w:right w:val="none" w:sz="0" w:space="0" w:color="auto"/>
                                                  </w:divBdr>
                                                  <w:divsChild>
                                                    <w:div w:id="14632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13046">
          <w:marLeft w:val="0"/>
          <w:marRight w:val="0"/>
          <w:marTop w:val="0"/>
          <w:marBottom w:val="0"/>
          <w:divBdr>
            <w:top w:val="none" w:sz="0" w:space="0" w:color="auto"/>
            <w:left w:val="none" w:sz="0" w:space="0" w:color="auto"/>
            <w:bottom w:val="none" w:sz="0" w:space="0" w:color="auto"/>
            <w:right w:val="none" w:sz="0" w:space="0" w:color="auto"/>
          </w:divBdr>
          <w:divsChild>
            <w:div w:id="523132874">
              <w:marLeft w:val="0"/>
              <w:marRight w:val="0"/>
              <w:marTop w:val="0"/>
              <w:marBottom w:val="0"/>
              <w:divBdr>
                <w:top w:val="none" w:sz="0" w:space="0" w:color="auto"/>
                <w:left w:val="none" w:sz="0" w:space="0" w:color="auto"/>
                <w:bottom w:val="none" w:sz="0" w:space="0" w:color="auto"/>
                <w:right w:val="none" w:sz="0" w:space="0" w:color="auto"/>
              </w:divBdr>
              <w:divsChild>
                <w:div w:id="11526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67978">
          <w:marLeft w:val="0"/>
          <w:marRight w:val="0"/>
          <w:marTop w:val="0"/>
          <w:marBottom w:val="0"/>
          <w:divBdr>
            <w:top w:val="none" w:sz="0" w:space="0" w:color="auto"/>
            <w:left w:val="none" w:sz="0" w:space="0" w:color="auto"/>
            <w:bottom w:val="none" w:sz="0" w:space="0" w:color="auto"/>
            <w:right w:val="none" w:sz="0" w:space="0" w:color="auto"/>
          </w:divBdr>
        </w:div>
      </w:divsChild>
    </w:div>
    <w:div w:id="1152869633">
      <w:bodyDiv w:val="1"/>
      <w:marLeft w:val="0"/>
      <w:marRight w:val="0"/>
      <w:marTop w:val="0"/>
      <w:marBottom w:val="0"/>
      <w:divBdr>
        <w:top w:val="none" w:sz="0" w:space="0" w:color="auto"/>
        <w:left w:val="none" w:sz="0" w:space="0" w:color="auto"/>
        <w:bottom w:val="none" w:sz="0" w:space="0" w:color="auto"/>
        <w:right w:val="none" w:sz="0" w:space="0" w:color="auto"/>
      </w:divBdr>
    </w:div>
    <w:div w:id="1160191617">
      <w:bodyDiv w:val="1"/>
      <w:marLeft w:val="0"/>
      <w:marRight w:val="0"/>
      <w:marTop w:val="0"/>
      <w:marBottom w:val="0"/>
      <w:divBdr>
        <w:top w:val="none" w:sz="0" w:space="0" w:color="auto"/>
        <w:left w:val="none" w:sz="0" w:space="0" w:color="auto"/>
        <w:bottom w:val="none" w:sz="0" w:space="0" w:color="auto"/>
        <w:right w:val="none" w:sz="0" w:space="0" w:color="auto"/>
      </w:divBdr>
    </w:div>
    <w:div w:id="1165242003">
      <w:bodyDiv w:val="1"/>
      <w:marLeft w:val="0"/>
      <w:marRight w:val="0"/>
      <w:marTop w:val="0"/>
      <w:marBottom w:val="0"/>
      <w:divBdr>
        <w:top w:val="none" w:sz="0" w:space="0" w:color="auto"/>
        <w:left w:val="none" w:sz="0" w:space="0" w:color="auto"/>
        <w:bottom w:val="none" w:sz="0" w:space="0" w:color="auto"/>
        <w:right w:val="none" w:sz="0" w:space="0" w:color="auto"/>
      </w:divBdr>
    </w:div>
    <w:div w:id="1185289211">
      <w:bodyDiv w:val="1"/>
      <w:marLeft w:val="0"/>
      <w:marRight w:val="0"/>
      <w:marTop w:val="0"/>
      <w:marBottom w:val="0"/>
      <w:divBdr>
        <w:top w:val="none" w:sz="0" w:space="0" w:color="auto"/>
        <w:left w:val="none" w:sz="0" w:space="0" w:color="auto"/>
        <w:bottom w:val="none" w:sz="0" w:space="0" w:color="auto"/>
        <w:right w:val="none" w:sz="0" w:space="0" w:color="auto"/>
      </w:divBdr>
    </w:div>
    <w:div w:id="1188368657">
      <w:bodyDiv w:val="1"/>
      <w:marLeft w:val="0"/>
      <w:marRight w:val="0"/>
      <w:marTop w:val="0"/>
      <w:marBottom w:val="0"/>
      <w:divBdr>
        <w:top w:val="none" w:sz="0" w:space="0" w:color="auto"/>
        <w:left w:val="none" w:sz="0" w:space="0" w:color="auto"/>
        <w:bottom w:val="none" w:sz="0" w:space="0" w:color="auto"/>
        <w:right w:val="none" w:sz="0" w:space="0" w:color="auto"/>
      </w:divBdr>
    </w:div>
    <w:div w:id="1212376230">
      <w:bodyDiv w:val="1"/>
      <w:marLeft w:val="0"/>
      <w:marRight w:val="0"/>
      <w:marTop w:val="0"/>
      <w:marBottom w:val="0"/>
      <w:divBdr>
        <w:top w:val="none" w:sz="0" w:space="0" w:color="auto"/>
        <w:left w:val="none" w:sz="0" w:space="0" w:color="auto"/>
        <w:bottom w:val="none" w:sz="0" w:space="0" w:color="auto"/>
        <w:right w:val="none" w:sz="0" w:space="0" w:color="auto"/>
      </w:divBdr>
      <w:divsChild>
        <w:div w:id="1533348373">
          <w:marLeft w:val="0"/>
          <w:marRight w:val="0"/>
          <w:marTop w:val="0"/>
          <w:marBottom w:val="0"/>
          <w:divBdr>
            <w:top w:val="none" w:sz="0" w:space="0" w:color="auto"/>
            <w:left w:val="none" w:sz="0" w:space="0" w:color="auto"/>
            <w:bottom w:val="none" w:sz="0" w:space="0" w:color="auto"/>
            <w:right w:val="none" w:sz="0" w:space="0" w:color="auto"/>
          </w:divBdr>
        </w:div>
        <w:div w:id="1093280415">
          <w:marLeft w:val="0"/>
          <w:marRight w:val="0"/>
          <w:marTop w:val="0"/>
          <w:marBottom w:val="0"/>
          <w:divBdr>
            <w:top w:val="none" w:sz="0" w:space="0" w:color="auto"/>
            <w:left w:val="none" w:sz="0" w:space="0" w:color="auto"/>
            <w:bottom w:val="none" w:sz="0" w:space="0" w:color="auto"/>
            <w:right w:val="none" w:sz="0" w:space="0" w:color="auto"/>
          </w:divBdr>
        </w:div>
        <w:div w:id="1137185147">
          <w:marLeft w:val="0"/>
          <w:marRight w:val="0"/>
          <w:marTop w:val="0"/>
          <w:marBottom w:val="0"/>
          <w:divBdr>
            <w:top w:val="none" w:sz="0" w:space="0" w:color="auto"/>
            <w:left w:val="none" w:sz="0" w:space="0" w:color="auto"/>
            <w:bottom w:val="none" w:sz="0" w:space="0" w:color="auto"/>
            <w:right w:val="none" w:sz="0" w:space="0" w:color="auto"/>
          </w:divBdr>
        </w:div>
        <w:div w:id="484131020">
          <w:marLeft w:val="0"/>
          <w:marRight w:val="0"/>
          <w:marTop w:val="0"/>
          <w:marBottom w:val="0"/>
          <w:divBdr>
            <w:top w:val="none" w:sz="0" w:space="0" w:color="auto"/>
            <w:left w:val="none" w:sz="0" w:space="0" w:color="auto"/>
            <w:bottom w:val="none" w:sz="0" w:space="0" w:color="auto"/>
            <w:right w:val="none" w:sz="0" w:space="0" w:color="auto"/>
          </w:divBdr>
        </w:div>
        <w:div w:id="1605308020">
          <w:marLeft w:val="0"/>
          <w:marRight w:val="0"/>
          <w:marTop w:val="0"/>
          <w:marBottom w:val="0"/>
          <w:divBdr>
            <w:top w:val="none" w:sz="0" w:space="0" w:color="auto"/>
            <w:left w:val="none" w:sz="0" w:space="0" w:color="auto"/>
            <w:bottom w:val="none" w:sz="0" w:space="0" w:color="auto"/>
            <w:right w:val="none" w:sz="0" w:space="0" w:color="auto"/>
          </w:divBdr>
        </w:div>
        <w:div w:id="132069737">
          <w:marLeft w:val="0"/>
          <w:marRight w:val="0"/>
          <w:marTop w:val="0"/>
          <w:marBottom w:val="0"/>
          <w:divBdr>
            <w:top w:val="none" w:sz="0" w:space="0" w:color="auto"/>
            <w:left w:val="none" w:sz="0" w:space="0" w:color="auto"/>
            <w:bottom w:val="none" w:sz="0" w:space="0" w:color="auto"/>
            <w:right w:val="none" w:sz="0" w:space="0" w:color="auto"/>
          </w:divBdr>
        </w:div>
        <w:div w:id="434329759">
          <w:marLeft w:val="0"/>
          <w:marRight w:val="0"/>
          <w:marTop w:val="0"/>
          <w:marBottom w:val="0"/>
          <w:divBdr>
            <w:top w:val="none" w:sz="0" w:space="0" w:color="auto"/>
            <w:left w:val="none" w:sz="0" w:space="0" w:color="auto"/>
            <w:bottom w:val="none" w:sz="0" w:space="0" w:color="auto"/>
            <w:right w:val="none" w:sz="0" w:space="0" w:color="auto"/>
          </w:divBdr>
        </w:div>
        <w:div w:id="1563905768">
          <w:marLeft w:val="0"/>
          <w:marRight w:val="0"/>
          <w:marTop w:val="0"/>
          <w:marBottom w:val="0"/>
          <w:divBdr>
            <w:top w:val="none" w:sz="0" w:space="0" w:color="auto"/>
            <w:left w:val="none" w:sz="0" w:space="0" w:color="auto"/>
            <w:bottom w:val="none" w:sz="0" w:space="0" w:color="auto"/>
            <w:right w:val="none" w:sz="0" w:space="0" w:color="auto"/>
          </w:divBdr>
        </w:div>
        <w:div w:id="1209681556">
          <w:marLeft w:val="0"/>
          <w:marRight w:val="0"/>
          <w:marTop w:val="0"/>
          <w:marBottom w:val="0"/>
          <w:divBdr>
            <w:top w:val="none" w:sz="0" w:space="0" w:color="auto"/>
            <w:left w:val="none" w:sz="0" w:space="0" w:color="auto"/>
            <w:bottom w:val="none" w:sz="0" w:space="0" w:color="auto"/>
            <w:right w:val="none" w:sz="0" w:space="0" w:color="auto"/>
          </w:divBdr>
        </w:div>
        <w:div w:id="743919223">
          <w:marLeft w:val="0"/>
          <w:marRight w:val="0"/>
          <w:marTop w:val="0"/>
          <w:marBottom w:val="0"/>
          <w:divBdr>
            <w:top w:val="none" w:sz="0" w:space="0" w:color="auto"/>
            <w:left w:val="none" w:sz="0" w:space="0" w:color="auto"/>
            <w:bottom w:val="none" w:sz="0" w:space="0" w:color="auto"/>
            <w:right w:val="none" w:sz="0" w:space="0" w:color="auto"/>
          </w:divBdr>
        </w:div>
        <w:div w:id="1369795676">
          <w:marLeft w:val="0"/>
          <w:marRight w:val="0"/>
          <w:marTop w:val="0"/>
          <w:marBottom w:val="0"/>
          <w:divBdr>
            <w:top w:val="none" w:sz="0" w:space="0" w:color="auto"/>
            <w:left w:val="none" w:sz="0" w:space="0" w:color="auto"/>
            <w:bottom w:val="none" w:sz="0" w:space="0" w:color="auto"/>
            <w:right w:val="none" w:sz="0" w:space="0" w:color="auto"/>
          </w:divBdr>
        </w:div>
        <w:div w:id="648632034">
          <w:marLeft w:val="0"/>
          <w:marRight w:val="0"/>
          <w:marTop w:val="0"/>
          <w:marBottom w:val="0"/>
          <w:divBdr>
            <w:top w:val="none" w:sz="0" w:space="0" w:color="auto"/>
            <w:left w:val="none" w:sz="0" w:space="0" w:color="auto"/>
            <w:bottom w:val="none" w:sz="0" w:space="0" w:color="auto"/>
            <w:right w:val="none" w:sz="0" w:space="0" w:color="auto"/>
          </w:divBdr>
        </w:div>
        <w:div w:id="1293633952">
          <w:marLeft w:val="0"/>
          <w:marRight w:val="0"/>
          <w:marTop w:val="0"/>
          <w:marBottom w:val="0"/>
          <w:divBdr>
            <w:top w:val="none" w:sz="0" w:space="0" w:color="auto"/>
            <w:left w:val="none" w:sz="0" w:space="0" w:color="auto"/>
            <w:bottom w:val="none" w:sz="0" w:space="0" w:color="auto"/>
            <w:right w:val="none" w:sz="0" w:space="0" w:color="auto"/>
          </w:divBdr>
        </w:div>
        <w:div w:id="609776802">
          <w:marLeft w:val="0"/>
          <w:marRight w:val="0"/>
          <w:marTop w:val="0"/>
          <w:marBottom w:val="0"/>
          <w:divBdr>
            <w:top w:val="none" w:sz="0" w:space="0" w:color="auto"/>
            <w:left w:val="none" w:sz="0" w:space="0" w:color="auto"/>
            <w:bottom w:val="none" w:sz="0" w:space="0" w:color="auto"/>
            <w:right w:val="none" w:sz="0" w:space="0" w:color="auto"/>
          </w:divBdr>
        </w:div>
        <w:div w:id="259683108">
          <w:marLeft w:val="0"/>
          <w:marRight w:val="0"/>
          <w:marTop w:val="0"/>
          <w:marBottom w:val="0"/>
          <w:divBdr>
            <w:top w:val="none" w:sz="0" w:space="0" w:color="auto"/>
            <w:left w:val="none" w:sz="0" w:space="0" w:color="auto"/>
            <w:bottom w:val="none" w:sz="0" w:space="0" w:color="auto"/>
            <w:right w:val="none" w:sz="0" w:space="0" w:color="auto"/>
          </w:divBdr>
        </w:div>
      </w:divsChild>
    </w:div>
    <w:div w:id="1254362608">
      <w:bodyDiv w:val="1"/>
      <w:marLeft w:val="0"/>
      <w:marRight w:val="0"/>
      <w:marTop w:val="0"/>
      <w:marBottom w:val="0"/>
      <w:divBdr>
        <w:top w:val="none" w:sz="0" w:space="0" w:color="auto"/>
        <w:left w:val="none" w:sz="0" w:space="0" w:color="auto"/>
        <w:bottom w:val="none" w:sz="0" w:space="0" w:color="auto"/>
        <w:right w:val="none" w:sz="0" w:space="0" w:color="auto"/>
      </w:divBdr>
      <w:divsChild>
        <w:div w:id="984435926">
          <w:marLeft w:val="0"/>
          <w:marRight w:val="0"/>
          <w:marTop w:val="0"/>
          <w:marBottom w:val="0"/>
          <w:divBdr>
            <w:top w:val="none" w:sz="0" w:space="0" w:color="auto"/>
            <w:left w:val="none" w:sz="0" w:space="0" w:color="auto"/>
            <w:bottom w:val="none" w:sz="0" w:space="0" w:color="auto"/>
            <w:right w:val="none" w:sz="0" w:space="0" w:color="auto"/>
          </w:divBdr>
          <w:divsChild>
            <w:div w:id="1201280083">
              <w:marLeft w:val="0"/>
              <w:marRight w:val="0"/>
              <w:marTop w:val="0"/>
              <w:marBottom w:val="0"/>
              <w:divBdr>
                <w:top w:val="none" w:sz="0" w:space="0" w:color="auto"/>
                <w:left w:val="none" w:sz="0" w:space="0" w:color="auto"/>
                <w:bottom w:val="none" w:sz="0" w:space="0" w:color="auto"/>
                <w:right w:val="none" w:sz="0" w:space="0" w:color="auto"/>
              </w:divBdr>
              <w:divsChild>
                <w:div w:id="1048408878">
                  <w:marLeft w:val="15"/>
                  <w:marRight w:val="15"/>
                  <w:marTop w:val="0"/>
                  <w:marBottom w:val="0"/>
                  <w:divBdr>
                    <w:top w:val="none" w:sz="0" w:space="0" w:color="auto"/>
                    <w:left w:val="none" w:sz="0" w:space="0" w:color="auto"/>
                    <w:bottom w:val="none" w:sz="0" w:space="0" w:color="auto"/>
                    <w:right w:val="none" w:sz="0" w:space="0" w:color="auto"/>
                  </w:divBdr>
                  <w:divsChild>
                    <w:div w:id="448283134">
                      <w:marLeft w:val="0"/>
                      <w:marRight w:val="0"/>
                      <w:marTop w:val="0"/>
                      <w:marBottom w:val="0"/>
                      <w:divBdr>
                        <w:top w:val="none" w:sz="0" w:space="0" w:color="auto"/>
                        <w:left w:val="none" w:sz="0" w:space="0" w:color="auto"/>
                        <w:bottom w:val="none" w:sz="0" w:space="0" w:color="auto"/>
                        <w:right w:val="none" w:sz="0" w:space="0" w:color="auto"/>
                      </w:divBdr>
                      <w:divsChild>
                        <w:div w:id="6735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428019">
      <w:bodyDiv w:val="1"/>
      <w:marLeft w:val="0"/>
      <w:marRight w:val="0"/>
      <w:marTop w:val="0"/>
      <w:marBottom w:val="0"/>
      <w:divBdr>
        <w:top w:val="none" w:sz="0" w:space="0" w:color="auto"/>
        <w:left w:val="none" w:sz="0" w:space="0" w:color="auto"/>
        <w:bottom w:val="none" w:sz="0" w:space="0" w:color="auto"/>
        <w:right w:val="none" w:sz="0" w:space="0" w:color="auto"/>
      </w:divBdr>
    </w:div>
    <w:div w:id="1299414133">
      <w:bodyDiv w:val="1"/>
      <w:marLeft w:val="0"/>
      <w:marRight w:val="0"/>
      <w:marTop w:val="0"/>
      <w:marBottom w:val="0"/>
      <w:divBdr>
        <w:top w:val="none" w:sz="0" w:space="0" w:color="auto"/>
        <w:left w:val="none" w:sz="0" w:space="0" w:color="auto"/>
        <w:bottom w:val="none" w:sz="0" w:space="0" w:color="auto"/>
        <w:right w:val="none" w:sz="0" w:space="0" w:color="auto"/>
      </w:divBdr>
    </w:div>
    <w:div w:id="1303651707">
      <w:bodyDiv w:val="1"/>
      <w:marLeft w:val="0"/>
      <w:marRight w:val="0"/>
      <w:marTop w:val="0"/>
      <w:marBottom w:val="0"/>
      <w:divBdr>
        <w:top w:val="none" w:sz="0" w:space="0" w:color="auto"/>
        <w:left w:val="none" w:sz="0" w:space="0" w:color="auto"/>
        <w:bottom w:val="none" w:sz="0" w:space="0" w:color="auto"/>
        <w:right w:val="none" w:sz="0" w:space="0" w:color="auto"/>
      </w:divBdr>
    </w:div>
    <w:div w:id="1326397124">
      <w:bodyDiv w:val="1"/>
      <w:marLeft w:val="0"/>
      <w:marRight w:val="0"/>
      <w:marTop w:val="0"/>
      <w:marBottom w:val="0"/>
      <w:divBdr>
        <w:top w:val="none" w:sz="0" w:space="0" w:color="auto"/>
        <w:left w:val="none" w:sz="0" w:space="0" w:color="auto"/>
        <w:bottom w:val="none" w:sz="0" w:space="0" w:color="auto"/>
        <w:right w:val="none" w:sz="0" w:space="0" w:color="auto"/>
      </w:divBdr>
      <w:divsChild>
        <w:div w:id="1789810491">
          <w:marLeft w:val="0"/>
          <w:marRight w:val="0"/>
          <w:marTop w:val="0"/>
          <w:marBottom w:val="0"/>
          <w:divBdr>
            <w:top w:val="none" w:sz="0" w:space="0" w:color="auto"/>
            <w:left w:val="none" w:sz="0" w:space="0" w:color="auto"/>
            <w:bottom w:val="none" w:sz="0" w:space="0" w:color="auto"/>
            <w:right w:val="none" w:sz="0" w:space="0" w:color="auto"/>
          </w:divBdr>
        </w:div>
        <w:div w:id="260191269">
          <w:marLeft w:val="0"/>
          <w:marRight w:val="0"/>
          <w:marTop w:val="0"/>
          <w:marBottom w:val="0"/>
          <w:divBdr>
            <w:top w:val="none" w:sz="0" w:space="0" w:color="auto"/>
            <w:left w:val="none" w:sz="0" w:space="0" w:color="auto"/>
            <w:bottom w:val="none" w:sz="0" w:space="0" w:color="auto"/>
            <w:right w:val="none" w:sz="0" w:space="0" w:color="auto"/>
          </w:divBdr>
        </w:div>
        <w:div w:id="91514577">
          <w:marLeft w:val="0"/>
          <w:marRight w:val="0"/>
          <w:marTop w:val="0"/>
          <w:marBottom w:val="0"/>
          <w:divBdr>
            <w:top w:val="none" w:sz="0" w:space="0" w:color="auto"/>
            <w:left w:val="none" w:sz="0" w:space="0" w:color="auto"/>
            <w:bottom w:val="none" w:sz="0" w:space="0" w:color="auto"/>
            <w:right w:val="none" w:sz="0" w:space="0" w:color="auto"/>
          </w:divBdr>
        </w:div>
        <w:div w:id="2088187310">
          <w:marLeft w:val="0"/>
          <w:marRight w:val="0"/>
          <w:marTop w:val="0"/>
          <w:marBottom w:val="0"/>
          <w:divBdr>
            <w:top w:val="none" w:sz="0" w:space="0" w:color="auto"/>
            <w:left w:val="none" w:sz="0" w:space="0" w:color="auto"/>
            <w:bottom w:val="none" w:sz="0" w:space="0" w:color="auto"/>
            <w:right w:val="none" w:sz="0" w:space="0" w:color="auto"/>
          </w:divBdr>
        </w:div>
        <w:div w:id="1979997112">
          <w:marLeft w:val="0"/>
          <w:marRight w:val="0"/>
          <w:marTop w:val="0"/>
          <w:marBottom w:val="0"/>
          <w:divBdr>
            <w:top w:val="none" w:sz="0" w:space="0" w:color="auto"/>
            <w:left w:val="none" w:sz="0" w:space="0" w:color="auto"/>
            <w:bottom w:val="none" w:sz="0" w:space="0" w:color="auto"/>
            <w:right w:val="none" w:sz="0" w:space="0" w:color="auto"/>
          </w:divBdr>
        </w:div>
        <w:div w:id="1390305319">
          <w:marLeft w:val="0"/>
          <w:marRight w:val="0"/>
          <w:marTop w:val="0"/>
          <w:marBottom w:val="0"/>
          <w:divBdr>
            <w:top w:val="none" w:sz="0" w:space="0" w:color="auto"/>
            <w:left w:val="none" w:sz="0" w:space="0" w:color="auto"/>
            <w:bottom w:val="none" w:sz="0" w:space="0" w:color="auto"/>
            <w:right w:val="none" w:sz="0" w:space="0" w:color="auto"/>
          </w:divBdr>
        </w:div>
        <w:div w:id="1678845342">
          <w:marLeft w:val="0"/>
          <w:marRight w:val="0"/>
          <w:marTop w:val="0"/>
          <w:marBottom w:val="0"/>
          <w:divBdr>
            <w:top w:val="none" w:sz="0" w:space="0" w:color="auto"/>
            <w:left w:val="none" w:sz="0" w:space="0" w:color="auto"/>
            <w:bottom w:val="none" w:sz="0" w:space="0" w:color="auto"/>
            <w:right w:val="none" w:sz="0" w:space="0" w:color="auto"/>
          </w:divBdr>
        </w:div>
        <w:div w:id="1116872544">
          <w:marLeft w:val="0"/>
          <w:marRight w:val="0"/>
          <w:marTop w:val="0"/>
          <w:marBottom w:val="0"/>
          <w:divBdr>
            <w:top w:val="none" w:sz="0" w:space="0" w:color="auto"/>
            <w:left w:val="none" w:sz="0" w:space="0" w:color="auto"/>
            <w:bottom w:val="none" w:sz="0" w:space="0" w:color="auto"/>
            <w:right w:val="none" w:sz="0" w:space="0" w:color="auto"/>
          </w:divBdr>
        </w:div>
        <w:div w:id="1125537001">
          <w:marLeft w:val="0"/>
          <w:marRight w:val="0"/>
          <w:marTop w:val="0"/>
          <w:marBottom w:val="0"/>
          <w:divBdr>
            <w:top w:val="none" w:sz="0" w:space="0" w:color="auto"/>
            <w:left w:val="none" w:sz="0" w:space="0" w:color="auto"/>
            <w:bottom w:val="none" w:sz="0" w:space="0" w:color="auto"/>
            <w:right w:val="none" w:sz="0" w:space="0" w:color="auto"/>
          </w:divBdr>
        </w:div>
        <w:div w:id="393434128">
          <w:marLeft w:val="0"/>
          <w:marRight w:val="0"/>
          <w:marTop w:val="0"/>
          <w:marBottom w:val="0"/>
          <w:divBdr>
            <w:top w:val="none" w:sz="0" w:space="0" w:color="auto"/>
            <w:left w:val="none" w:sz="0" w:space="0" w:color="auto"/>
            <w:bottom w:val="none" w:sz="0" w:space="0" w:color="auto"/>
            <w:right w:val="none" w:sz="0" w:space="0" w:color="auto"/>
          </w:divBdr>
        </w:div>
        <w:div w:id="2128044414">
          <w:marLeft w:val="0"/>
          <w:marRight w:val="0"/>
          <w:marTop w:val="0"/>
          <w:marBottom w:val="0"/>
          <w:divBdr>
            <w:top w:val="none" w:sz="0" w:space="0" w:color="auto"/>
            <w:left w:val="none" w:sz="0" w:space="0" w:color="auto"/>
            <w:bottom w:val="none" w:sz="0" w:space="0" w:color="auto"/>
            <w:right w:val="none" w:sz="0" w:space="0" w:color="auto"/>
          </w:divBdr>
        </w:div>
        <w:div w:id="1351833641">
          <w:marLeft w:val="0"/>
          <w:marRight w:val="0"/>
          <w:marTop w:val="0"/>
          <w:marBottom w:val="0"/>
          <w:divBdr>
            <w:top w:val="none" w:sz="0" w:space="0" w:color="auto"/>
            <w:left w:val="none" w:sz="0" w:space="0" w:color="auto"/>
            <w:bottom w:val="none" w:sz="0" w:space="0" w:color="auto"/>
            <w:right w:val="none" w:sz="0" w:space="0" w:color="auto"/>
          </w:divBdr>
        </w:div>
        <w:div w:id="1079911442">
          <w:marLeft w:val="0"/>
          <w:marRight w:val="0"/>
          <w:marTop w:val="0"/>
          <w:marBottom w:val="0"/>
          <w:divBdr>
            <w:top w:val="none" w:sz="0" w:space="0" w:color="auto"/>
            <w:left w:val="none" w:sz="0" w:space="0" w:color="auto"/>
            <w:bottom w:val="none" w:sz="0" w:space="0" w:color="auto"/>
            <w:right w:val="none" w:sz="0" w:space="0" w:color="auto"/>
          </w:divBdr>
        </w:div>
        <w:div w:id="1204946200">
          <w:marLeft w:val="0"/>
          <w:marRight w:val="0"/>
          <w:marTop w:val="0"/>
          <w:marBottom w:val="0"/>
          <w:divBdr>
            <w:top w:val="none" w:sz="0" w:space="0" w:color="auto"/>
            <w:left w:val="none" w:sz="0" w:space="0" w:color="auto"/>
            <w:bottom w:val="none" w:sz="0" w:space="0" w:color="auto"/>
            <w:right w:val="none" w:sz="0" w:space="0" w:color="auto"/>
          </w:divBdr>
        </w:div>
        <w:div w:id="1751535410">
          <w:marLeft w:val="0"/>
          <w:marRight w:val="0"/>
          <w:marTop w:val="0"/>
          <w:marBottom w:val="0"/>
          <w:divBdr>
            <w:top w:val="none" w:sz="0" w:space="0" w:color="auto"/>
            <w:left w:val="none" w:sz="0" w:space="0" w:color="auto"/>
            <w:bottom w:val="none" w:sz="0" w:space="0" w:color="auto"/>
            <w:right w:val="none" w:sz="0" w:space="0" w:color="auto"/>
          </w:divBdr>
        </w:div>
        <w:div w:id="1077941560">
          <w:marLeft w:val="0"/>
          <w:marRight w:val="0"/>
          <w:marTop w:val="0"/>
          <w:marBottom w:val="0"/>
          <w:divBdr>
            <w:top w:val="none" w:sz="0" w:space="0" w:color="auto"/>
            <w:left w:val="none" w:sz="0" w:space="0" w:color="auto"/>
            <w:bottom w:val="none" w:sz="0" w:space="0" w:color="auto"/>
            <w:right w:val="none" w:sz="0" w:space="0" w:color="auto"/>
          </w:divBdr>
        </w:div>
        <w:div w:id="70854282">
          <w:marLeft w:val="0"/>
          <w:marRight w:val="0"/>
          <w:marTop w:val="0"/>
          <w:marBottom w:val="0"/>
          <w:divBdr>
            <w:top w:val="none" w:sz="0" w:space="0" w:color="auto"/>
            <w:left w:val="none" w:sz="0" w:space="0" w:color="auto"/>
            <w:bottom w:val="none" w:sz="0" w:space="0" w:color="auto"/>
            <w:right w:val="none" w:sz="0" w:space="0" w:color="auto"/>
          </w:divBdr>
        </w:div>
        <w:div w:id="495804887">
          <w:marLeft w:val="0"/>
          <w:marRight w:val="0"/>
          <w:marTop w:val="0"/>
          <w:marBottom w:val="0"/>
          <w:divBdr>
            <w:top w:val="none" w:sz="0" w:space="0" w:color="auto"/>
            <w:left w:val="none" w:sz="0" w:space="0" w:color="auto"/>
            <w:bottom w:val="none" w:sz="0" w:space="0" w:color="auto"/>
            <w:right w:val="none" w:sz="0" w:space="0" w:color="auto"/>
          </w:divBdr>
        </w:div>
        <w:div w:id="242230367">
          <w:marLeft w:val="0"/>
          <w:marRight w:val="0"/>
          <w:marTop w:val="0"/>
          <w:marBottom w:val="0"/>
          <w:divBdr>
            <w:top w:val="none" w:sz="0" w:space="0" w:color="auto"/>
            <w:left w:val="none" w:sz="0" w:space="0" w:color="auto"/>
            <w:bottom w:val="none" w:sz="0" w:space="0" w:color="auto"/>
            <w:right w:val="none" w:sz="0" w:space="0" w:color="auto"/>
          </w:divBdr>
        </w:div>
        <w:div w:id="2080639489">
          <w:marLeft w:val="0"/>
          <w:marRight w:val="0"/>
          <w:marTop w:val="30"/>
          <w:marBottom w:val="0"/>
          <w:divBdr>
            <w:top w:val="none" w:sz="0" w:space="0" w:color="auto"/>
            <w:left w:val="none" w:sz="0" w:space="0" w:color="auto"/>
            <w:bottom w:val="none" w:sz="0" w:space="0" w:color="auto"/>
            <w:right w:val="none" w:sz="0" w:space="0" w:color="auto"/>
          </w:divBdr>
          <w:divsChild>
            <w:div w:id="17290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0849">
      <w:bodyDiv w:val="1"/>
      <w:marLeft w:val="0"/>
      <w:marRight w:val="0"/>
      <w:marTop w:val="0"/>
      <w:marBottom w:val="0"/>
      <w:divBdr>
        <w:top w:val="none" w:sz="0" w:space="0" w:color="auto"/>
        <w:left w:val="none" w:sz="0" w:space="0" w:color="auto"/>
        <w:bottom w:val="none" w:sz="0" w:space="0" w:color="auto"/>
        <w:right w:val="none" w:sz="0" w:space="0" w:color="auto"/>
      </w:divBdr>
    </w:div>
    <w:div w:id="1347440911">
      <w:bodyDiv w:val="1"/>
      <w:marLeft w:val="0"/>
      <w:marRight w:val="0"/>
      <w:marTop w:val="0"/>
      <w:marBottom w:val="0"/>
      <w:divBdr>
        <w:top w:val="none" w:sz="0" w:space="0" w:color="auto"/>
        <w:left w:val="none" w:sz="0" w:space="0" w:color="auto"/>
        <w:bottom w:val="none" w:sz="0" w:space="0" w:color="auto"/>
        <w:right w:val="none" w:sz="0" w:space="0" w:color="auto"/>
      </w:divBdr>
    </w:div>
    <w:div w:id="1405101693">
      <w:bodyDiv w:val="1"/>
      <w:marLeft w:val="0"/>
      <w:marRight w:val="0"/>
      <w:marTop w:val="0"/>
      <w:marBottom w:val="0"/>
      <w:divBdr>
        <w:top w:val="none" w:sz="0" w:space="0" w:color="auto"/>
        <w:left w:val="none" w:sz="0" w:space="0" w:color="auto"/>
        <w:bottom w:val="none" w:sz="0" w:space="0" w:color="auto"/>
        <w:right w:val="none" w:sz="0" w:space="0" w:color="auto"/>
      </w:divBdr>
      <w:divsChild>
        <w:div w:id="157499422">
          <w:marLeft w:val="0"/>
          <w:marRight w:val="0"/>
          <w:marTop w:val="0"/>
          <w:marBottom w:val="0"/>
          <w:divBdr>
            <w:top w:val="none" w:sz="0" w:space="0" w:color="auto"/>
            <w:left w:val="none" w:sz="0" w:space="0" w:color="auto"/>
            <w:bottom w:val="none" w:sz="0" w:space="0" w:color="auto"/>
            <w:right w:val="none" w:sz="0" w:space="0" w:color="auto"/>
          </w:divBdr>
        </w:div>
        <w:div w:id="1449544768">
          <w:marLeft w:val="0"/>
          <w:marRight w:val="0"/>
          <w:marTop w:val="0"/>
          <w:marBottom w:val="0"/>
          <w:divBdr>
            <w:top w:val="none" w:sz="0" w:space="0" w:color="auto"/>
            <w:left w:val="none" w:sz="0" w:space="0" w:color="auto"/>
            <w:bottom w:val="none" w:sz="0" w:space="0" w:color="auto"/>
            <w:right w:val="none" w:sz="0" w:space="0" w:color="auto"/>
          </w:divBdr>
        </w:div>
        <w:div w:id="1327441320">
          <w:marLeft w:val="0"/>
          <w:marRight w:val="0"/>
          <w:marTop w:val="0"/>
          <w:marBottom w:val="0"/>
          <w:divBdr>
            <w:top w:val="none" w:sz="0" w:space="0" w:color="auto"/>
            <w:left w:val="none" w:sz="0" w:space="0" w:color="auto"/>
            <w:bottom w:val="none" w:sz="0" w:space="0" w:color="auto"/>
            <w:right w:val="none" w:sz="0" w:space="0" w:color="auto"/>
          </w:divBdr>
        </w:div>
        <w:div w:id="966549297">
          <w:marLeft w:val="0"/>
          <w:marRight w:val="0"/>
          <w:marTop w:val="0"/>
          <w:marBottom w:val="0"/>
          <w:divBdr>
            <w:top w:val="none" w:sz="0" w:space="0" w:color="auto"/>
            <w:left w:val="none" w:sz="0" w:space="0" w:color="auto"/>
            <w:bottom w:val="none" w:sz="0" w:space="0" w:color="auto"/>
            <w:right w:val="none" w:sz="0" w:space="0" w:color="auto"/>
          </w:divBdr>
        </w:div>
        <w:div w:id="79299054">
          <w:marLeft w:val="0"/>
          <w:marRight w:val="0"/>
          <w:marTop w:val="0"/>
          <w:marBottom w:val="0"/>
          <w:divBdr>
            <w:top w:val="none" w:sz="0" w:space="0" w:color="auto"/>
            <w:left w:val="none" w:sz="0" w:space="0" w:color="auto"/>
            <w:bottom w:val="none" w:sz="0" w:space="0" w:color="auto"/>
            <w:right w:val="none" w:sz="0" w:space="0" w:color="auto"/>
          </w:divBdr>
        </w:div>
        <w:div w:id="436759565">
          <w:marLeft w:val="0"/>
          <w:marRight w:val="0"/>
          <w:marTop w:val="0"/>
          <w:marBottom w:val="0"/>
          <w:divBdr>
            <w:top w:val="none" w:sz="0" w:space="0" w:color="auto"/>
            <w:left w:val="none" w:sz="0" w:space="0" w:color="auto"/>
            <w:bottom w:val="none" w:sz="0" w:space="0" w:color="auto"/>
            <w:right w:val="none" w:sz="0" w:space="0" w:color="auto"/>
          </w:divBdr>
        </w:div>
        <w:div w:id="1327706188">
          <w:marLeft w:val="0"/>
          <w:marRight w:val="0"/>
          <w:marTop w:val="0"/>
          <w:marBottom w:val="0"/>
          <w:divBdr>
            <w:top w:val="none" w:sz="0" w:space="0" w:color="auto"/>
            <w:left w:val="none" w:sz="0" w:space="0" w:color="auto"/>
            <w:bottom w:val="none" w:sz="0" w:space="0" w:color="auto"/>
            <w:right w:val="none" w:sz="0" w:space="0" w:color="auto"/>
          </w:divBdr>
        </w:div>
        <w:div w:id="1839151103">
          <w:marLeft w:val="0"/>
          <w:marRight w:val="0"/>
          <w:marTop w:val="0"/>
          <w:marBottom w:val="0"/>
          <w:divBdr>
            <w:top w:val="none" w:sz="0" w:space="0" w:color="auto"/>
            <w:left w:val="none" w:sz="0" w:space="0" w:color="auto"/>
            <w:bottom w:val="none" w:sz="0" w:space="0" w:color="auto"/>
            <w:right w:val="none" w:sz="0" w:space="0" w:color="auto"/>
          </w:divBdr>
        </w:div>
        <w:div w:id="1566338840">
          <w:marLeft w:val="0"/>
          <w:marRight w:val="0"/>
          <w:marTop w:val="0"/>
          <w:marBottom w:val="0"/>
          <w:divBdr>
            <w:top w:val="none" w:sz="0" w:space="0" w:color="auto"/>
            <w:left w:val="none" w:sz="0" w:space="0" w:color="auto"/>
            <w:bottom w:val="none" w:sz="0" w:space="0" w:color="auto"/>
            <w:right w:val="none" w:sz="0" w:space="0" w:color="auto"/>
          </w:divBdr>
        </w:div>
        <w:div w:id="507717041">
          <w:marLeft w:val="0"/>
          <w:marRight w:val="0"/>
          <w:marTop w:val="0"/>
          <w:marBottom w:val="0"/>
          <w:divBdr>
            <w:top w:val="none" w:sz="0" w:space="0" w:color="auto"/>
            <w:left w:val="none" w:sz="0" w:space="0" w:color="auto"/>
            <w:bottom w:val="none" w:sz="0" w:space="0" w:color="auto"/>
            <w:right w:val="none" w:sz="0" w:space="0" w:color="auto"/>
          </w:divBdr>
        </w:div>
        <w:div w:id="14498362">
          <w:marLeft w:val="0"/>
          <w:marRight w:val="0"/>
          <w:marTop w:val="0"/>
          <w:marBottom w:val="0"/>
          <w:divBdr>
            <w:top w:val="none" w:sz="0" w:space="0" w:color="auto"/>
            <w:left w:val="none" w:sz="0" w:space="0" w:color="auto"/>
            <w:bottom w:val="none" w:sz="0" w:space="0" w:color="auto"/>
            <w:right w:val="none" w:sz="0" w:space="0" w:color="auto"/>
          </w:divBdr>
        </w:div>
        <w:div w:id="1726293999">
          <w:marLeft w:val="0"/>
          <w:marRight w:val="0"/>
          <w:marTop w:val="0"/>
          <w:marBottom w:val="0"/>
          <w:divBdr>
            <w:top w:val="none" w:sz="0" w:space="0" w:color="auto"/>
            <w:left w:val="none" w:sz="0" w:space="0" w:color="auto"/>
            <w:bottom w:val="none" w:sz="0" w:space="0" w:color="auto"/>
            <w:right w:val="none" w:sz="0" w:space="0" w:color="auto"/>
          </w:divBdr>
        </w:div>
        <w:div w:id="474834232">
          <w:marLeft w:val="0"/>
          <w:marRight w:val="0"/>
          <w:marTop w:val="0"/>
          <w:marBottom w:val="0"/>
          <w:divBdr>
            <w:top w:val="none" w:sz="0" w:space="0" w:color="auto"/>
            <w:left w:val="none" w:sz="0" w:space="0" w:color="auto"/>
            <w:bottom w:val="none" w:sz="0" w:space="0" w:color="auto"/>
            <w:right w:val="none" w:sz="0" w:space="0" w:color="auto"/>
          </w:divBdr>
        </w:div>
        <w:div w:id="1163741157">
          <w:marLeft w:val="0"/>
          <w:marRight w:val="0"/>
          <w:marTop w:val="0"/>
          <w:marBottom w:val="0"/>
          <w:divBdr>
            <w:top w:val="none" w:sz="0" w:space="0" w:color="auto"/>
            <w:left w:val="none" w:sz="0" w:space="0" w:color="auto"/>
            <w:bottom w:val="none" w:sz="0" w:space="0" w:color="auto"/>
            <w:right w:val="none" w:sz="0" w:space="0" w:color="auto"/>
          </w:divBdr>
        </w:div>
        <w:div w:id="1240673449">
          <w:marLeft w:val="0"/>
          <w:marRight w:val="0"/>
          <w:marTop w:val="0"/>
          <w:marBottom w:val="0"/>
          <w:divBdr>
            <w:top w:val="none" w:sz="0" w:space="0" w:color="auto"/>
            <w:left w:val="none" w:sz="0" w:space="0" w:color="auto"/>
            <w:bottom w:val="none" w:sz="0" w:space="0" w:color="auto"/>
            <w:right w:val="none" w:sz="0" w:space="0" w:color="auto"/>
          </w:divBdr>
        </w:div>
        <w:div w:id="1802992672">
          <w:marLeft w:val="0"/>
          <w:marRight w:val="0"/>
          <w:marTop w:val="0"/>
          <w:marBottom w:val="0"/>
          <w:divBdr>
            <w:top w:val="none" w:sz="0" w:space="0" w:color="auto"/>
            <w:left w:val="none" w:sz="0" w:space="0" w:color="auto"/>
            <w:bottom w:val="none" w:sz="0" w:space="0" w:color="auto"/>
            <w:right w:val="none" w:sz="0" w:space="0" w:color="auto"/>
          </w:divBdr>
        </w:div>
        <w:div w:id="169369521">
          <w:marLeft w:val="0"/>
          <w:marRight w:val="0"/>
          <w:marTop w:val="0"/>
          <w:marBottom w:val="0"/>
          <w:divBdr>
            <w:top w:val="none" w:sz="0" w:space="0" w:color="auto"/>
            <w:left w:val="none" w:sz="0" w:space="0" w:color="auto"/>
            <w:bottom w:val="none" w:sz="0" w:space="0" w:color="auto"/>
            <w:right w:val="none" w:sz="0" w:space="0" w:color="auto"/>
          </w:divBdr>
        </w:div>
        <w:div w:id="497187263">
          <w:marLeft w:val="0"/>
          <w:marRight w:val="0"/>
          <w:marTop w:val="0"/>
          <w:marBottom w:val="0"/>
          <w:divBdr>
            <w:top w:val="none" w:sz="0" w:space="0" w:color="auto"/>
            <w:left w:val="none" w:sz="0" w:space="0" w:color="auto"/>
            <w:bottom w:val="none" w:sz="0" w:space="0" w:color="auto"/>
            <w:right w:val="none" w:sz="0" w:space="0" w:color="auto"/>
          </w:divBdr>
        </w:div>
        <w:div w:id="1299065872">
          <w:marLeft w:val="0"/>
          <w:marRight w:val="0"/>
          <w:marTop w:val="0"/>
          <w:marBottom w:val="0"/>
          <w:divBdr>
            <w:top w:val="none" w:sz="0" w:space="0" w:color="auto"/>
            <w:left w:val="none" w:sz="0" w:space="0" w:color="auto"/>
            <w:bottom w:val="none" w:sz="0" w:space="0" w:color="auto"/>
            <w:right w:val="none" w:sz="0" w:space="0" w:color="auto"/>
          </w:divBdr>
        </w:div>
        <w:div w:id="2116553967">
          <w:marLeft w:val="0"/>
          <w:marRight w:val="0"/>
          <w:marTop w:val="0"/>
          <w:marBottom w:val="0"/>
          <w:divBdr>
            <w:top w:val="none" w:sz="0" w:space="0" w:color="auto"/>
            <w:left w:val="none" w:sz="0" w:space="0" w:color="auto"/>
            <w:bottom w:val="none" w:sz="0" w:space="0" w:color="auto"/>
            <w:right w:val="none" w:sz="0" w:space="0" w:color="auto"/>
          </w:divBdr>
        </w:div>
        <w:div w:id="1136989207">
          <w:marLeft w:val="0"/>
          <w:marRight w:val="0"/>
          <w:marTop w:val="0"/>
          <w:marBottom w:val="0"/>
          <w:divBdr>
            <w:top w:val="none" w:sz="0" w:space="0" w:color="auto"/>
            <w:left w:val="none" w:sz="0" w:space="0" w:color="auto"/>
            <w:bottom w:val="none" w:sz="0" w:space="0" w:color="auto"/>
            <w:right w:val="none" w:sz="0" w:space="0" w:color="auto"/>
          </w:divBdr>
        </w:div>
        <w:div w:id="1110205051">
          <w:marLeft w:val="0"/>
          <w:marRight w:val="0"/>
          <w:marTop w:val="0"/>
          <w:marBottom w:val="0"/>
          <w:divBdr>
            <w:top w:val="none" w:sz="0" w:space="0" w:color="auto"/>
            <w:left w:val="none" w:sz="0" w:space="0" w:color="auto"/>
            <w:bottom w:val="none" w:sz="0" w:space="0" w:color="auto"/>
            <w:right w:val="none" w:sz="0" w:space="0" w:color="auto"/>
          </w:divBdr>
        </w:div>
        <w:div w:id="979192069">
          <w:marLeft w:val="0"/>
          <w:marRight w:val="0"/>
          <w:marTop w:val="0"/>
          <w:marBottom w:val="0"/>
          <w:divBdr>
            <w:top w:val="none" w:sz="0" w:space="0" w:color="auto"/>
            <w:left w:val="none" w:sz="0" w:space="0" w:color="auto"/>
            <w:bottom w:val="none" w:sz="0" w:space="0" w:color="auto"/>
            <w:right w:val="none" w:sz="0" w:space="0" w:color="auto"/>
          </w:divBdr>
        </w:div>
      </w:divsChild>
    </w:div>
    <w:div w:id="1444424689">
      <w:bodyDiv w:val="1"/>
      <w:marLeft w:val="0"/>
      <w:marRight w:val="0"/>
      <w:marTop w:val="0"/>
      <w:marBottom w:val="0"/>
      <w:divBdr>
        <w:top w:val="none" w:sz="0" w:space="0" w:color="auto"/>
        <w:left w:val="none" w:sz="0" w:space="0" w:color="auto"/>
        <w:bottom w:val="none" w:sz="0" w:space="0" w:color="auto"/>
        <w:right w:val="none" w:sz="0" w:space="0" w:color="auto"/>
      </w:divBdr>
    </w:div>
    <w:div w:id="1476331471">
      <w:bodyDiv w:val="1"/>
      <w:marLeft w:val="0"/>
      <w:marRight w:val="0"/>
      <w:marTop w:val="0"/>
      <w:marBottom w:val="0"/>
      <w:divBdr>
        <w:top w:val="none" w:sz="0" w:space="0" w:color="auto"/>
        <w:left w:val="none" w:sz="0" w:space="0" w:color="auto"/>
        <w:bottom w:val="none" w:sz="0" w:space="0" w:color="auto"/>
        <w:right w:val="none" w:sz="0" w:space="0" w:color="auto"/>
      </w:divBdr>
    </w:div>
    <w:div w:id="1505627934">
      <w:bodyDiv w:val="1"/>
      <w:marLeft w:val="0"/>
      <w:marRight w:val="0"/>
      <w:marTop w:val="0"/>
      <w:marBottom w:val="0"/>
      <w:divBdr>
        <w:top w:val="none" w:sz="0" w:space="0" w:color="auto"/>
        <w:left w:val="none" w:sz="0" w:space="0" w:color="auto"/>
        <w:bottom w:val="none" w:sz="0" w:space="0" w:color="auto"/>
        <w:right w:val="none" w:sz="0" w:space="0" w:color="auto"/>
      </w:divBdr>
    </w:div>
    <w:div w:id="1537503896">
      <w:bodyDiv w:val="1"/>
      <w:marLeft w:val="0"/>
      <w:marRight w:val="0"/>
      <w:marTop w:val="0"/>
      <w:marBottom w:val="0"/>
      <w:divBdr>
        <w:top w:val="none" w:sz="0" w:space="0" w:color="auto"/>
        <w:left w:val="none" w:sz="0" w:space="0" w:color="auto"/>
        <w:bottom w:val="none" w:sz="0" w:space="0" w:color="auto"/>
        <w:right w:val="none" w:sz="0" w:space="0" w:color="auto"/>
      </w:divBdr>
    </w:div>
    <w:div w:id="1556623871">
      <w:bodyDiv w:val="1"/>
      <w:marLeft w:val="0"/>
      <w:marRight w:val="0"/>
      <w:marTop w:val="0"/>
      <w:marBottom w:val="0"/>
      <w:divBdr>
        <w:top w:val="none" w:sz="0" w:space="0" w:color="auto"/>
        <w:left w:val="none" w:sz="0" w:space="0" w:color="auto"/>
        <w:bottom w:val="none" w:sz="0" w:space="0" w:color="auto"/>
        <w:right w:val="none" w:sz="0" w:space="0" w:color="auto"/>
      </w:divBdr>
    </w:div>
    <w:div w:id="1561818673">
      <w:bodyDiv w:val="1"/>
      <w:marLeft w:val="0"/>
      <w:marRight w:val="0"/>
      <w:marTop w:val="0"/>
      <w:marBottom w:val="0"/>
      <w:divBdr>
        <w:top w:val="none" w:sz="0" w:space="0" w:color="auto"/>
        <w:left w:val="none" w:sz="0" w:space="0" w:color="auto"/>
        <w:bottom w:val="none" w:sz="0" w:space="0" w:color="auto"/>
        <w:right w:val="none" w:sz="0" w:space="0" w:color="auto"/>
      </w:divBdr>
    </w:div>
    <w:div w:id="1566331314">
      <w:bodyDiv w:val="1"/>
      <w:marLeft w:val="0"/>
      <w:marRight w:val="0"/>
      <w:marTop w:val="0"/>
      <w:marBottom w:val="0"/>
      <w:divBdr>
        <w:top w:val="none" w:sz="0" w:space="0" w:color="auto"/>
        <w:left w:val="none" w:sz="0" w:space="0" w:color="auto"/>
        <w:bottom w:val="none" w:sz="0" w:space="0" w:color="auto"/>
        <w:right w:val="none" w:sz="0" w:space="0" w:color="auto"/>
      </w:divBdr>
    </w:div>
    <w:div w:id="1580409230">
      <w:bodyDiv w:val="1"/>
      <w:marLeft w:val="0"/>
      <w:marRight w:val="0"/>
      <w:marTop w:val="0"/>
      <w:marBottom w:val="0"/>
      <w:divBdr>
        <w:top w:val="none" w:sz="0" w:space="0" w:color="auto"/>
        <w:left w:val="none" w:sz="0" w:space="0" w:color="auto"/>
        <w:bottom w:val="none" w:sz="0" w:space="0" w:color="auto"/>
        <w:right w:val="none" w:sz="0" w:space="0" w:color="auto"/>
      </w:divBdr>
    </w:div>
    <w:div w:id="1598054080">
      <w:bodyDiv w:val="1"/>
      <w:marLeft w:val="0"/>
      <w:marRight w:val="0"/>
      <w:marTop w:val="0"/>
      <w:marBottom w:val="0"/>
      <w:divBdr>
        <w:top w:val="none" w:sz="0" w:space="0" w:color="auto"/>
        <w:left w:val="none" w:sz="0" w:space="0" w:color="auto"/>
        <w:bottom w:val="none" w:sz="0" w:space="0" w:color="auto"/>
        <w:right w:val="none" w:sz="0" w:space="0" w:color="auto"/>
      </w:divBdr>
    </w:div>
    <w:div w:id="1628509719">
      <w:bodyDiv w:val="1"/>
      <w:marLeft w:val="0"/>
      <w:marRight w:val="0"/>
      <w:marTop w:val="0"/>
      <w:marBottom w:val="0"/>
      <w:divBdr>
        <w:top w:val="none" w:sz="0" w:space="0" w:color="auto"/>
        <w:left w:val="none" w:sz="0" w:space="0" w:color="auto"/>
        <w:bottom w:val="none" w:sz="0" w:space="0" w:color="auto"/>
        <w:right w:val="none" w:sz="0" w:space="0" w:color="auto"/>
      </w:divBdr>
    </w:div>
    <w:div w:id="1637299403">
      <w:bodyDiv w:val="1"/>
      <w:marLeft w:val="0"/>
      <w:marRight w:val="0"/>
      <w:marTop w:val="0"/>
      <w:marBottom w:val="0"/>
      <w:divBdr>
        <w:top w:val="none" w:sz="0" w:space="0" w:color="auto"/>
        <w:left w:val="none" w:sz="0" w:space="0" w:color="auto"/>
        <w:bottom w:val="none" w:sz="0" w:space="0" w:color="auto"/>
        <w:right w:val="none" w:sz="0" w:space="0" w:color="auto"/>
      </w:divBdr>
    </w:div>
    <w:div w:id="1644770590">
      <w:bodyDiv w:val="1"/>
      <w:marLeft w:val="0"/>
      <w:marRight w:val="0"/>
      <w:marTop w:val="0"/>
      <w:marBottom w:val="0"/>
      <w:divBdr>
        <w:top w:val="none" w:sz="0" w:space="0" w:color="auto"/>
        <w:left w:val="none" w:sz="0" w:space="0" w:color="auto"/>
        <w:bottom w:val="none" w:sz="0" w:space="0" w:color="auto"/>
        <w:right w:val="none" w:sz="0" w:space="0" w:color="auto"/>
      </w:divBdr>
    </w:div>
    <w:div w:id="1654286855">
      <w:bodyDiv w:val="1"/>
      <w:marLeft w:val="0"/>
      <w:marRight w:val="0"/>
      <w:marTop w:val="0"/>
      <w:marBottom w:val="0"/>
      <w:divBdr>
        <w:top w:val="none" w:sz="0" w:space="0" w:color="auto"/>
        <w:left w:val="none" w:sz="0" w:space="0" w:color="auto"/>
        <w:bottom w:val="none" w:sz="0" w:space="0" w:color="auto"/>
        <w:right w:val="none" w:sz="0" w:space="0" w:color="auto"/>
      </w:divBdr>
    </w:div>
    <w:div w:id="1663389782">
      <w:bodyDiv w:val="1"/>
      <w:marLeft w:val="0"/>
      <w:marRight w:val="0"/>
      <w:marTop w:val="0"/>
      <w:marBottom w:val="0"/>
      <w:divBdr>
        <w:top w:val="none" w:sz="0" w:space="0" w:color="auto"/>
        <w:left w:val="none" w:sz="0" w:space="0" w:color="auto"/>
        <w:bottom w:val="none" w:sz="0" w:space="0" w:color="auto"/>
        <w:right w:val="none" w:sz="0" w:space="0" w:color="auto"/>
      </w:divBdr>
    </w:div>
    <w:div w:id="1668089308">
      <w:bodyDiv w:val="1"/>
      <w:marLeft w:val="0"/>
      <w:marRight w:val="0"/>
      <w:marTop w:val="0"/>
      <w:marBottom w:val="0"/>
      <w:divBdr>
        <w:top w:val="none" w:sz="0" w:space="0" w:color="auto"/>
        <w:left w:val="none" w:sz="0" w:space="0" w:color="auto"/>
        <w:bottom w:val="none" w:sz="0" w:space="0" w:color="auto"/>
        <w:right w:val="none" w:sz="0" w:space="0" w:color="auto"/>
      </w:divBdr>
    </w:div>
    <w:div w:id="1669017710">
      <w:bodyDiv w:val="1"/>
      <w:marLeft w:val="0"/>
      <w:marRight w:val="0"/>
      <w:marTop w:val="0"/>
      <w:marBottom w:val="0"/>
      <w:divBdr>
        <w:top w:val="none" w:sz="0" w:space="0" w:color="auto"/>
        <w:left w:val="none" w:sz="0" w:space="0" w:color="auto"/>
        <w:bottom w:val="none" w:sz="0" w:space="0" w:color="auto"/>
        <w:right w:val="none" w:sz="0" w:space="0" w:color="auto"/>
      </w:divBdr>
    </w:div>
    <w:div w:id="1714110438">
      <w:bodyDiv w:val="1"/>
      <w:marLeft w:val="0"/>
      <w:marRight w:val="0"/>
      <w:marTop w:val="0"/>
      <w:marBottom w:val="0"/>
      <w:divBdr>
        <w:top w:val="none" w:sz="0" w:space="0" w:color="auto"/>
        <w:left w:val="none" w:sz="0" w:space="0" w:color="auto"/>
        <w:bottom w:val="none" w:sz="0" w:space="0" w:color="auto"/>
        <w:right w:val="none" w:sz="0" w:space="0" w:color="auto"/>
      </w:divBdr>
    </w:div>
    <w:div w:id="1768454687">
      <w:bodyDiv w:val="1"/>
      <w:marLeft w:val="0"/>
      <w:marRight w:val="0"/>
      <w:marTop w:val="0"/>
      <w:marBottom w:val="0"/>
      <w:divBdr>
        <w:top w:val="none" w:sz="0" w:space="0" w:color="auto"/>
        <w:left w:val="none" w:sz="0" w:space="0" w:color="auto"/>
        <w:bottom w:val="none" w:sz="0" w:space="0" w:color="auto"/>
        <w:right w:val="none" w:sz="0" w:space="0" w:color="auto"/>
      </w:divBdr>
    </w:div>
    <w:div w:id="1817841116">
      <w:bodyDiv w:val="1"/>
      <w:marLeft w:val="0"/>
      <w:marRight w:val="0"/>
      <w:marTop w:val="0"/>
      <w:marBottom w:val="0"/>
      <w:divBdr>
        <w:top w:val="none" w:sz="0" w:space="0" w:color="auto"/>
        <w:left w:val="none" w:sz="0" w:space="0" w:color="auto"/>
        <w:bottom w:val="none" w:sz="0" w:space="0" w:color="auto"/>
        <w:right w:val="none" w:sz="0" w:space="0" w:color="auto"/>
      </w:divBdr>
    </w:div>
    <w:div w:id="1884319606">
      <w:bodyDiv w:val="1"/>
      <w:marLeft w:val="0"/>
      <w:marRight w:val="0"/>
      <w:marTop w:val="0"/>
      <w:marBottom w:val="0"/>
      <w:divBdr>
        <w:top w:val="none" w:sz="0" w:space="0" w:color="auto"/>
        <w:left w:val="none" w:sz="0" w:space="0" w:color="auto"/>
        <w:bottom w:val="none" w:sz="0" w:space="0" w:color="auto"/>
        <w:right w:val="none" w:sz="0" w:space="0" w:color="auto"/>
      </w:divBdr>
    </w:div>
    <w:div w:id="1886140502">
      <w:bodyDiv w:val="1"/>
      <w:marLeft w:val="0"/>
      <w:marRight w:val="0"/>
      <w:marTop w:val="0"/>
      <w:marBottom w:val="0"/>
      <w:divBdr>
        <w:top w:val="none" w:sz="0" w:space="0" w:color="auto"/>
        <w:left w:val="none" w:sz="0" w:space="0" w:color="auto"/>
        <w:bottom w:val="none" w:sz="0" w:space="0" w:color="auto"/>
        <w:right w:val="none" w:sz="0" w:space="0" w:color="auto"/>
      </w:divBdr>
    </w:div>
    <w:div w:id="1909342442">
      <w:bodyDiv w:val="1"/>
      <w:marLeft w:val="0"/>
      <w:marRight w:val="0"/>
      <w:marTop w:val="0"/>
      <w:marBottom w:val="0"/>
      <w:divBdr>
        <w:top w:val="none" w:sz="0" w:space="0" w:color="auto"/>
        <w:left w:val="none" w:sz="0" w:space="0" w:color="auto"/>
        <w:bottom w:val="none" w:sz="0" w:space="0" w:color="auto"/>
        <w:right w:val="none" w:sz="0" w:space="0" w:color="auto"/>
      </w:divBdr>
    </w:div>
    <w:div w:id="1912278158">
      <w:bodyDiv w:val="1"/>
      <w:marLeft w:val="0"/>
      <w:marRight w:val="0"/>
      <w:marTop w:val="0"/>
      <w:marBottom w:val="0"/>
      <w:divBdr>
        <w:top w:val="none" w:sz="0" w:space="0" w:color="auto"/>
        <w:left w:val="none" w:sz="0" w:space="0" w:color="auto"/>
        <w:bottom w:val="none" w:sz="0" w:space="0" w:color="auto"/>
        <w:right w:val="none" w:sz="0" w:space="0" w:color="auto"/>
      </w:divBdr>
    </w:div>
    <w:div w:id="1917587470">
      <w:bodyDiv w:val="1"/>
      <w:marLeft w:val="0"/>
      <w:marRight w:val="0"/>
      <w:marTop w:val="0"/>
      <w:marBottom w:val="0"/>
      <w:divBdr>
        <w:top w:val="none" w:sz="0" w:space="0" w:color="auto"/>
        <w:left w:val="none" w:sz="0" w:space="0" w:color="auto"/>
        <w:bottom w:val="none" w:sz="0" w:space="0" w:color="auto"/>
        <w:right w:val="none" w:sz="0" w:space="0" w:color="auto"/>
      </w:divBdr>
      <w:divsChild>
        <w:div w:id="1396664974">
          <w:marLeft w:val="0"/>
          <w:marRight w:val="0"/>
          <w:marTop w:val="0"/>
          <w:marBottom w:val="0"/>
          <w:divBdr>
            <w:top w:val="none" w:sz="0" w:space="0" w:color="auto"/>
            <w:left w:val="none" w:sz="0" w:space="0" w:color="auto"/>
            <w:bottom w:val="none" w:sz="0" w:space="0" w:color="auto"/>
            <w:right w:val="none" w:sz="0" w:space="0" w:color="auto"/>
          </w:divBdr>
          <w:divsChild>
            <w:div w:id="771707315">
              <w:marLeft w:val="0"/>
              <w:marRight w:val="0"/>
              <w:marTop w:val="0"/>
              <w:marBottom w:val="0"/>
              <w:divBdr>
                <w:top w:val="none" w:sz="0" w:space="0" w:color="auto"/>
                <w:left w:val="none" w:sz="0" w:space="0" w:color="auto"/>
                <w:bottom w:val="none" w:sz="0" w:space="0" w:color="auto"/>
                <w:right w:val="none" w:sz="0" w:space="0" w:color="auto"/>
              </w:divBdr>
              <w:divsChild>
                <w:div w:id="288053345">
                  <w:marLeft w:val="15"/>
                  <w:marRight w:val="15"/>
                  <w:marTop w:val="0"/>
                  <w:marBottom w:val="0"/>
                  <w:divBdr>
                    <w:top w:val="none" w:sz="0" w:space="0" w:color="auto"/>
                    <w:left w:val="none" w:sz="0" w:space="0" w:color="auto"/>
                    <w:bottom w:val="none" w:sz="0" w:space="0" w:color="auto"/>
                    <w:right w:val="none" w:sz="0" w:space="0" w:color="auto"/>
                  </w:divBdr>
                  <w:divsChild>
                    <w:div w:id="410003065">
                      <w:marLeft w:val="0"/>
                      <w:marRight w:val="0"/>
                      <w:marTop w:val="0"/>
                      <w:marBottom w:val="0"/>
                      <w:divBdr>
                        <w:top w:val="none" w:sz="0" w:space="0" w:color="auto"/>
                        <w:left w:val="none" w:sz="0" w:space="0" w:color="auto"/>
                        <w:bottom w:val="none" w:sz="0" w:space="0" w:color="auto"/>
                        <w:right w:val="none" w:sz="0" w:space="0" w:color="auto"/>
                      </w:divBdr>
                      <w:divsChild>
                        <w:div w:id="8829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557767">
      <w:bodyDiv w:val="1"/>
      <w:marLeft w:val="0"/>
      <w:marRight w:val="0"/>
      <w:marTop w:val="0"/>
      <w:marBottom w:val="0"/>
      <w:divBdr>
        <w:top w:val="none" w:sz="0" w:space="0" w:color="auto"/>
        <w:left w:val="none" w:sz="0" w:space="0" w:color="auto"/>
        <w:bottom w:val="none" w:sz="0" w:space="0" w:color="auto"/>
        <w:right w:val="none" w:sz="0" w:space="0" w:color="auto"/>
      </w:divBdr>
    </w:div>
    <w:div w:id="1933931914">
      <w:bodyDiv w:val="1"/>
      <w:marLeft w:val="0"/>
      <w:marRight w:val="0"/>
      <w:marTop w:val="0"/>
      <w:marBottom w:val="0"/>
      <w:divBdr>
        <w:top w:val="none" w:sz="0" w:space="0" w:color="auto"/>
        <w:left w:val="none" w:sz="0" w:space="0" w:color="auto"/>
        <w:bottom w:val="none" w:sz="0" w:space="0" w:color="auto"/>
        <w:right w:val="none" w:sz="0" w:space="0" w:color="auto"/>
      </w:divBdr>
    </w:div>
    <w:div w:id="1946763013">
      <w:bodyDiv w:val="1"/>
      <w:marLeft w:val="0"/>
      <w:marRight w:val="0"/>
      <w:marTop w:val="0"/>
      <w:marBottom w:val="0"/>
      <w:divBdr>
        <w:top w:val="none" w:sz="0" w:space="0" w:color="auto"/>
        <w:left w:val="none" w:sz="0" w:space="0" w:color="auto"/>
        <w:bottom w:val="none" w:sz="0" w:space="0" w:color="auto"/>
        <w:right w:val="none" w:sz="0" w:space="0" w:color="auto"/>
      </w:divBdr>
    </w:div>
    <w:div w:id="1970937608">
      <w:bodyDiv w:val="1"/>
      <w:marLeft w:val="0"/>
      <w:marRight w:val="0"/>
      <w:marTop w:val="0"/>
      <w:marBottom w:val="0"/>
      <w:divBdr>
        <w:top w:val="none" w:sz="0" w:space="0" w:color="auto"/>
        <w:left w:val="none" w:sz="0" w:space="0" w:color="auto"/>
        <w:bottom w:val="none" w:sz="0" w:space="0" w:color="auto"/>
        <w:right w:val="none" w:sz="0" w:space="0" w:color="auto"/>
      </w:divBdr>
    </w:div>
    <w:div w:id="1973098143">
      <w:bodyDiv w:val="1"/>
      <w:marLeft w:val="0"/>
      <w:marRight w:val="0"/>
      <w:marTop w:val="0"/>
      <w:marBottom w:val="0"/>
      <w:divBdr>
        <w:top w:val="none" w:sz="0" w:space="0" w:color="auto"/>
        <w:left w:val="none" w:sz="0" w:space="0" w:color="auto"/>
        <w:bottom w:val="none" w:sz="0" w:space="0" w:color="auto"/>
        <w:right w:val="none" w:sz="0" w:space="0" w:color="auto"/>
      </w:divBdr>
    </w:div>
    <w:div w:id="2017538861">
      <w:bodyDiv w:val="1"/>
      <w:marLeft w:val="0"/>
      <w:marRight w:val="0"/>
      <w:marTop w:val="0"/>
      <w:marBottom w:val="0"/>
      <w:divBdr>
        <w:top w:val="none" w:sz="0" w:space="0" w:color="auto"/>
        <w:left w:val="none" w:sz="0" w:space="0" w:color="auto"/>
        <w:bottom w:val="none" w:sz="0" w:space="0" w:color="auto"/>
        <w:right w:val="none" w:sz="0" w:space="0" w:color="auto"/>
      </w:divBdr>
    </w:div>
    <w:div w:id="2039307804">
      <w:bodyDiv w:val="1"/>
      <w:marLeft w:val="0"/>
      <w:marRight w:val="0"/>
      <w:marTop w:val="0"/>
      <w:marBottom w:val="0"/>
      <w:divBdr>
        <w:top w:val="none" w:sz="0" w:space="0" w:color="auto"/>
        <w:left w:val="none" w:sz="0" w:space="0" w:color="auto"/>
        <w:bottom w:val="none" w:sz="0" w:space="0" w:color="auto"/>
        <w:right w:val="none" w:sz="0" w:space="0" w:color="auto"/>
      </w:divBdr>
    </w:div>
    <w:div w:id="2079210259">
      <w:bodyDiv w:val="1"/>
      <w:marLeft w:val="0"/>
      <w:marRight w:val="0"/>
      <w:marTop w:val="0"/>
      <w:marBottom w:val="0"/>
      <w:divBdr>
        <w:top w:val="none" w:sz="0" w:space="0" w:color="auto"/>
        <w:left w:val="none" w:sz="0" w:space="0" w:color="auto"/>
        <w:bottom w:val="none" w:sz="0" w:space="0" w:color="auto"/>
        <w:right w:val="none" w:sz="0" w:space="0" w:color="auto"/>
      </w:divBdr>
    </w:div>
    <w:div w:id="2079817206">
      <w:bodyDiv w:val="1"/>
      <w:marLeft w:val="0"/>
      <w:marRight w:val="0"/>
      <w:marTop w:val="0"/>
      <w:marBottom w:val="0"/>
      <w:divBdr>
        <w:top w:val="none" w:sz="0" w:space="0" w:color="auto"/>
        <w:left w:val="none" w:sz="0" w:space="0" w:color="auto"/>
        <w:bottom w:val="none" w:sz="0" w:space="0" w:color="auto"/>
        <w:right w:val="none" w:sz="0" w:space="0" w:color="auto"/>
      </w:divBdr>
    </w:div>
    <w:div w:id="2123959601">
      <w:bodyDiv w:val="1"/>
      <w:marLeft w:val="0"/>
      <w:marRight w:val="0"/>
      <w:marTop w:val="0"/>
      <w:marBottom w:val="0"/>
      <w:divBdr>
        <w:top w:val="none" w:sz="0" w:space="0" w:color="auto"/>
        <w:left w:val="none" w:sz="0" w:space="0" w:color="auto"/>
        <w:bottom w:val="none" w:sz="0" w:space="0" w:color="auto"/>
        <w:right w:val="none" w:sz="0" w:space="0" w:color="auto"/>
      </w:divBdr>
    </w:div>
    <w:div w:id="21279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F616F-555F-4483-BB72-9C004AC9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119</Pages>
  <Words>38604</Words>
  <Characters>231628</Characters>
  <Application>Microsoft Office Word</Application>
  <DocSecurity>0</DocSecurity>
  <Lines>1930</Lines>
  <Paragraphs>539</Paragraphs>
  <ScaleCrop>false</ScaleCrop>
  <HeadingPairs>
    <vt:vector size="2" baseType="variant">
      <vt:variant>
        <vt:lpstr>Tytuł</vt:lpstr>
      </vt:variant>
      <vt:variant>
        <vt:i4>1</vt:i4>
      </vt:variant>
    </vt:vector>
  </HeadingPairs>
  <TitlesOfParts>
    <vt:vector size="1" baseType="lpstr">
      <vt:lpstr>Autorzy:</vt:lpstr>
    </vt:vector>
  </TitlesOfParts>
  <Company>Hewlett-Packard Company</Company>
  <LinksUpToDate>false</LinksUpToDate>
  <CharactersWithSpaces>269693</CharactersWithSpaces>
  <SharedDoc>false</SharedDoc>
  <HLinks>
    <vt:vector size="696" baseType="variant">
      <vt:variant>
        <vt:i4>1179696</vt:i4>
      </vt:variant>
      <vt:variant>
        <vt:i4>854</vt:i4>
      </vt:variant>
      <vt:variant>
        <vt:i4>0</vt:i4>
      </vt:variant>
      <vt:variant>
        <vt:i4>5</vt:i4>
      </vt:variant>
      <vt:variant>
        <vt:lpwstr/>
      </vt:variant>
      <vt:variant>
        <vt:lpwstr>_Toc335658380</vt:lpwstr>
      </vt:variant>
      <vt:variant>
        <vt:i4>1900592</vt:i4>
      </vt:variant>
      <vt:variant>
        <vt:i4>848</vt:i4>
      </vt:variant>
      <vt:variant>
        <vt:i4>0</vt:i4>
      </vt:variant>
      <vt:variant>
        <vt:i4>5</vt:i4>
      </vt:variant>
      <vt:variant>
        <vt:lpwstr/>
      </vt:variant>
      <vt:variant>
        <vt:lpwstr>_Toc335658379</vt:lpwstr>
      </vt:variant>
      <vt:variant>
        <vt:i4>1900592</vt:i4>
      </vt:variant>
      <vt:variant>
        <vt:i4>842</vt:i4>
      </vt:variant>
      <vt:variant>
        <vt:i4>0</vt:i4>
      </vt:variant>
      <vt:variant>
        <vt:i4>5</vt:i4>
      </vt:variant>
      <vt:variant>
        <vt:lpwstr/>
      </vt:variant>
      <vt:variant>
        <vt:lpwstr>_Toc335658378</vt:lpwstr>
      </vt:variant>
      <vt:variant>
        <vt:i4>1900592</vt:i4>
      </vt:variant>
      <vt:variant>
        <vt:i4>836</vt:i4>
      </vt:variant>
      <vt:variant>
        <vt:i4>0</vt:i4>
      </vt:variant>
      <vt:variant>
        <vt:i4>5</vt:i4>
      </vt:variant>
      <vt:variant>
        <vt:lpwstr/>
      </vt:variant>
      <vt:variant>
        <vt:lpwstr>_Toc335658377</vt:lpwstr>
      </vt:variant>
      <vt:variant>
        <vt:i4>1900592</vt:i4>
      </vt:variant>
      <vt:variant>
        <vt:i4>830</vt:i4>
      </vt:variant>
      <vt:variant>
        <vt:i4>0</vt:i4>
      </vt:variant>
      <vt:variant>
        <vt:i4>5</vt:i4>
      </vt:variant>
      <vt:variant>
        <vt:lpwstr/>
      </vt:variant>
      <vt:variant>
        <vt:lpwstr>_Toc335658376</vt:lpwstr>
      </vt:variant>
      <vt:variant>
        <vt:i4>1900592</vt:i4>
      </vt:variant>
      <vt:variant>
        <vt:i4>824</vt:i4>
      </vt:variant>
      <vt:variant>
        <vt:i4>0</vt:i4>
      </vt:variant>
      <vt:variant>
        <vt:i4>5</vt:i4>
      </vt:variant>
      <vt:variant>
        <vt:lpwstr/>
      </vt:variant>
      <vt:variant>
        <vt:lpwstr>_Toc335658375</vt:lpwstr>
      </vt:variant>
      <vt:variant>
        <vt:i4>1900592</vt:i4>
      </vt:variant>
      <vt:variant>
        <vt:i4>818</vt:i4>
      </vt:variant>
      <vt:variant>
        <vt:i4>0</vt:i4>
      </vt:variant>
      <vt:variant>
        <vt:i4>5</vt:i4>
      </vt:variant>
      <vt:variant>
        <vt:lpwstr/>
      </vt:variant>
      <vt:variant>
        <vt:lpwstr>_Toc335658374</vt:lpwstr>
      </vt:variant>
      <vt:variant>
        <vt:i4>1900592</vt:i4>
      </vt:variant>
      <vt:variant>
        <vt:i4>812</vt:i4>
      </vt:variant>
      <vt:variant>
        <vt:i4>0</vt:i4>
      </vt:variant>
      <vt:variant>
        <vt:i4>5</vt:i4>
      </vt:variant>
      <vt:variant>
        <vt:lpwstr/>
      </vt:variant>
      <vt:variant>
        <vt:lpwstr>_Toc335658373</vt:lpwstr>
      </vt:variant>
      <vt:variant>
        <vt:i4>1900592</vt:i4>
      </vt:variant>
      <vt:variant>
        <vt:i4>806</vt:i4>
      </vt:variant>
      <vt:variant>
        <vt:i4>0</vt:i4>
      </vt:variant>
      <vt:variant>
        <vt:i4>5</vt:i4>
      </vt:variant>
      <vt:variant>
        <vt:lpwstr/>
      </vt:variant>
      <vt:variant>
        <vt:lpwstr>_Toc335658372</vt:lpwstr>
      </vt:variant>
      <vt:variant>
        <vt:i4>1900592</vt:i4>
      </vt:variant>
      <vt:variant>
        <vt:i4>800</vt:i4>
      </vt:variant>
      <vt:variant>
        <vt:i4>0</vt:i4>
      </vt:variant>
      <vt:variant>
        <vt:i4>5</vt:i4>
      </vt:variant>
      <vt:variant>
        <vt:lpwstr/>
      </vt:variant>
      <vt:variant>
        <vt:lpwstr>_Toc335658371</vt:lpwstr>
      </vt:variant>
      <vt:variant>
        <vt:i4>1900592</vt:i4>
      </vt:variant>
      <vt:variant>
        <vt:i4>794</vt:i4>
      </vt:variant>
      <vt:variant>
        <vt:i4>0</vt:i4>
      </vt:variant>
      <vt:variant>
        <vt:i4>5</vt:i4>
      </vt:variant>
      <vt:variant>
        <vt:lpwstr/>
      </vt:variant>
      <vt:variant>
        <vt:lpwstr>_Toc335658370</vt:lpwstr>
      </vt:variant>
      <vt:variant>
        <vt:i4>1835056</vt:i4>
      </vt:variant>
      <vt:variant>
        <vt:i4>788</vt:i4>
      </vt:variant>
      <vt:variant>
        <vt:i4>0</vt:i4>
      </vt:variant>
      <vt:variant>
        <vt:i4>5</vt:i4>
      </vt:variant>
      <vt:variant>
        <vt:lpwstr/>
      </vt:variant>
      <vt:variant>
        <vt:lpwstr>_Toc335658369</vt:lpwstr>
      </vt:variant>
      <vt:variant>
        <vt:i4>1835056</vt:i4>
      </vt:variant>
      <vt:variant>
        <vt:i4>782</vt:i4>
      </vt:variant>
      <vt:variant>
        <vt:i4>0</vt:i4>
      </vt:variant>
      <vt:variant>
        <vt:i4>5</vt:i4>
      </vt:variant>
      <vt:variant>
        <vt:lpwstr/>
      </vt:variant>
      <vt:variant>
        <vt:lpwstr>_Toc335658368</vt:lpwstr>
      </vt:variant>
      <vt:variant>
        <vt:i4>1835056</vt:i4>
      </vt:variant>
      <vt:variant>
        <vt:i4>776</vt:i4>
      </vt:variant>
      <vt:variant>
        <vt:i4>0</vt:i4>
      </vt:variant>
      <vt:variant>
        <vt:i4>5</vt:i4>
      </vt:variant>
      <vt:variant>
        <vt:lpwstr/>
      </vt:variant>
      <vt:variant>
        <vt:lpwstr>_Toc335658367</vt:lpwstr>
      </vt:variant>
      <vt:variant>
        <vt:i4>1900593</vt:i4>
      </vt:variant>
      <vt:variant>
        <vt:i4>767</vt:i4>
      </vt:variant>
      <vt:variant>
        <vt:i4>0</vt:i4>
      </vt:variant>
      <vt:variant>
        <vt:i4>5</vt:i4>
      </vt:variant>
      <vt:variant>
        <vt:lpwstr/>
      </vt:variant>
      <vt:variant>
        <vt:lpwstr>_Toc335658272</vt:lpwstr>
      </vt:variant>
      <vt:variant>
        <vt:i4>1900593</vt:i4>
      </vt:variant>
      <vt:variant>
        <vt:i4>761</vt:i4>
      </vt:variant>
      <vt:variant>
        <vt:i4>0</vt:i4>
      </vt:variant>
      <vt:variant>
        <vt:i4>5</vt:i4>
      </vt:variant>
      <vt:variant>
        <vt:lpwstr/>
      </vt:variant>
      <vt:variant>
        <vt:lpwstr>_Toc335658271</vt:lpwstr>
      </vt:variant>
      <vt:variant>
        <vt:i4>1900593</vt:i4>
      </vt:variant>
      <vt:variant>
        <vt:i4>755</vt:i4>
      </vt:variant>
      <vt:variant>
        <vt:i4>0</vt:i4>
      </vt:variant>
      <vt:variant>
        <vt:i4>5</vt:i4>
      </vt:variant>
      <vt:variant>
        <vt:lpwstr/>
      </vt:variant>
      <vt:variant>
        <vt:lpwstr>_Toc335658270</vt:lpwstr>
      </vt:variant>
      <vt:variant>
        <vt:i4>1835057</vt:i4>
      </vt:variant>
      <vt:variant>
        <vt:i4>749</vt:i4>
      </vt:variant>
      <vt:variant>
        <vt:i4>0</vt:i4>
      </vt:variant>
      <vt:variant>
        <vt:i4>5</vt:i4>
      </vt:variant>
      <vt:variant>
        <vt:lpwstr/>
      </vt:variant>
      <vt:variant>
        <vt:lpwstr>_Toc335658269</vt:lpwstr>
      </vt:variant>
      <vt:variant>
        <vt:i4>1835057</vt:i4>
      </vt:variant>
      <vt:variant>
        <vt:i4>743</vt:i4>
      </vt:variant>
      <vt:variant>
        <vt:i4>0</vt:i4>
      </vt:variant>
      <vt:variant>
        <vt:i4>5</vt:i4>
      </vt:variant>
      <vt:variant>
        <vt:lpwstr/>
      </vt:variant>
      <vt:variant>
        <vt:lpwstr>_Toc335658268</vt:lpwstr>
      </vt:variant>
      <vt:variant>
        <vt:i4>1835057</vt:i4>
      </vt:variant>
      <vt:variant>
        <vt:i4>737</vt:i4>
      </vt:variant>
      <vt:variant>
        <vt:i4>0</vt:i4>
      </vt:variant>
      <vt:variant>
        <vt:i4>5</vt:i4>
      </vt:variant>
      <vt:variant>
        <vt:lpwstr/>
      </vt:variant>
      <vt:variant>
        <vt:lpwstr>_Toc335658267</vt:lpwstr>
      </vt:variant>
      <vt:variant>
        <vt:i4>1835057</vt:i4>
      </vt:variant>
      <vt:variant>
        <vt:i4>731</vt:i4>
      </vt:variant>
      <vt:variant>
        <vt:i4>0</vt:i4>
      </vt:variant>
      <vt:variant>
        <vt:i4>5</vt:i4>
      </vt:variant>
      <vt:variant>
        <vt:lpwstr/>
      </vt:variant>
      <vt:variant>
        <vt:lpwstr>_Toc335658266</vt:lpwstr>
      </vt:variant>
      <vt:variant>
        <vt:i4>1835057</vt:i4>
      </vt:variant>
      <vt:variant>
        <vt:i4>725</vt:i4>
      </vt:variant>
      <vt:variant>
        <vt:i4>0</vt:i4>
      </vt:variant>
      <vt:variant>
        <vt:i4>5</vt:i4>
      </vt:variant>
      <vt:variant>
        <vt:lpwstr/>
      </vt:variant>
      <vt:variant>
        <vt:lpwstr>_Toc335658265</vt:lpwstr>
      </vt:variant>
      <vt:variant>
        <vt:i4>1835057</vt:i4>
      </vt:variant>
      <vt:variant>
        <vt:i4>719</vt:i4>
      </vt:variant>
      <vt:variant>
        <vt:i4>0</vt:i4>
      </vt:variant>
      <vt:variant>
        <vt:i4>5</vt:i4>
      </vt:variant>
      <vt:variant>
        <vt:lpwstr/>
      </vt:variant>
      <vt:variant>
        <vt:lpwstr>_Toc335658264</vt:lpwstr>
      </vt:variant>
      <vt:variant>
        <vt:i4>1835057</vt:i4>
      </vt:variant>
      <vt:variant>
        <vt:i4>713</vt:i4>
      </vt:variant>
      <vt:variant>
        <vt:i4>0</vt:i4>
      </vt:variant>
      <vt:variant>
        <vt:i4>5</vt:i4>
      </vt:variant>
      <vt:variant>
        <vt:lpwstr/>
      </vt:variant>
      <vt:variant>
        <vt:lpwstr>_Toc335658263</vt:lpwstr>
      </vt:variant>
      <vt:variant>
        <vt:i4>1835057</vt:i4>
      </vt:variant>
      <vt:variant>
        <vt:i4>707</vt:i4>
      </vt:variant>
      <vt:variant>
        <vt:i4>0</vt:i4>
      </vt:variant>
      <vt:variant>
        <vt:i4>5</vt:i4>
      </vt:variant>
      <vt:variant>
        <vt:lpwstr/>
      </vt:variant>
      <vt:variant>
        <vt:lpwstr>_Toc335658262</vt:lpwstr>
      </vt:variant>
      <vt:variant>
        <vt:i4>1835057</vt:i4>
      </vt:variant>
      <vt:variant>
        <vt:i4>701</vt:i4>
      </vt:variant>
      <vt:variant>
        <vt:i4>0</vt:i4>
      </vt:variant>
      <vt:variant>
        <vt:i4>5</vt:i4>
      </vt:variant>
      <vt:variant>
        <vt:lpwstr/>
      </vt:variant>
      <vt:variant>
        <vt:lpwstr>_Toc335658261</vt:lpwstr>
      </vt:variant>
      <vt:variant>
        <vt:i4>1835057</vt:i4>
      </vt:variant>
      <vt:variant>
        <vt:i4>695</vt:i4>
      </vt:variant>
      <vt:variant>
        <vt:i4>0</vt:i4>
      </vt:variant>
      <vt:variant>
        <vt:i4>5</vt:i4>
      </vt:variant>
      <vt:variant>
        <vt:lpwstr/>
      </vt:variant>
      <vt:variant>
        <vt:lpwstr>_Toc335658260</vt:lpwstr>
      </vt:variant>
      <vt:variant>
        <vt:i4>2031665</vt:i4>
      </vt:variant>
      <vt:variant>
        <vt:i4>689</vt:i4>
      </vt:variant>
      <vt:variant>
        <vt:i4>0</vt:i4>
      </vt:variant>
      <vt:variant>
        <vt:i4>5</vt:i4>
      </vt:variant>
      <vt:variant>
        <vt:lpwstr/>
      </vt:variant>
      <vt:variant>
        <vt:lpwstr>_Toc335658259</vt:lpwstr>
      </vt:variant>
      <vt:variant>
        <vt:i4>2031665</vt:i4>
      </vt:variant>
      <vt:variant>
        <vt:i4>683</vt:i4>
      </vt:variant>
      <vt:variant>
        <vt:i4>0</vt:i4>
      </vt:variant>
      <vt:variant>
        <vt:i4>5</vt:i4>
      </vt:variant>
      <vt:variant>
        <vt:lpwstr/>
      </vt:variant>
      <vt:variant>
        <vt:lpwstr>_Toc335658258</vt:lpwstr>
      </vt:variant>
      <vt:variant>
        <vt:i4>2031665</vt:i4>
      </vt:variant>
      <vt:variant>
        <vt:i4>677</vt:i4>
      </vt:variant>
      <vt:variant>
        <vt:i4>0</vt:i4>
      </vt:variant>
      <vt:variant>
        <vt:i4>5</vt:i4>
      </vt:variant>
      <vt:variant>
        <vt:lpwstr/>
      </vt:variant>
      <vt:variant>
        <vt:lpwstr>_Toc335658257</vt:lpwstr>
      </vt:variant>
      <vt:variant>
        <vt:i4>2031665</vt:i4>
      </vt:variant>
      <vt:variant>
        <vt:i4>671</vt:i4>
      </vt:variant>
      <vt:variant>
        <vt:i4>0</vt:i4>
      </vt:variant>
      <vt:variant>
        <vt:i4>5</vt:i4>
      </vt:variant>
      <vt:variant>
        <vt:lpwstr/>
      </vt:variant>
      <vt:variant>
        <vt:lpwstr>_Toc335658256</vt:lpwstr>
      </vt:variant>
      <vt:variant>
        <vt:i4>2031665</vt:i4>
      </vt:variant>
      <vt:variant>
        <vt:i4>665</vt:i4>
      </vt:variant>
      <vt:variant>
        <vt:i4>0</vt:i4>
      </vt:variant>
      <vt:variant>
        <vt:i4>5</vt:i4>
      </vt:variant>
      <vt:variant>
        <vt:lpwstr/>
      </vt:variant>
      <vt:variant>
        <vt:lpwstr>_Toc335658255</vt:lpwstr>
      </vt:variant>
      <vt:variant>
        <vt:i4>2031665</vt:i4>
      </vt:variant>
      <vt:variant>
        <vt:i4>659</vt:i4>
      </vt:variant>
      <vt:variant>
        <vt:i4>0</vt:i4>
      </vt:variant>
      <vt:variant>
        <vt:i4>5</vt:i4>
      </vt:variant>
      <vt:variant>
        <vt:lpwstr/>
      </vt:variant>
      <vt:variant>
        <vt:lpwstr>_Toc335658254</vt:lpwstr>
      </vt:variant>
      <vt:variant>
        <vt:i4>2031665</vt:i4>
      </vt:variant>
      <vt:variant>
        <vt:i4>653</vt:i4>
      </vt:variant>
      <vt:variant>
        <vt:i4>0</vt:i4>
      </vt:variant>
      <vt:variant>
        <vt:i4>5</vt:i4>
      </vt:variant>
      <vt:variant>
        <vt:lpwstr/>
      </vt:variant>
      <vt:variant>
        <vt:lpwstr>_Toc335658253</vt:lpwstr>
      </vt:variant>
      <vt:variant>
        <vt:i4>2031665</vt:i4>
      </vt:variant>
      <vt:variant>
        <vt:i4>647</vt:i4>
      </vt:variant>
      <vt:variant>
        <vt:i4>0</vt:i4>
      </vt:variant>
      <vt:variant>
        <vt:i4>5</vt:i4>
      </vt:variant>
      <vt:variant>
        <vt:lpwstr/>
      </vt:variant>
      <vt:variant>
        <vt:lpwstr>_Toc335658252</vt:lpwstr>
      </vt:variant>
      <vt:variant>
        <vt:i4>2031665</vt:i4>
      </vt:variant>
      <vt:variant>
        <vt:i4>641</vt:i4>
      </vt:variant>
      <vt:variant>
        <vt:i4>0</vt:i4>
      </vt:variant>
      <vt:variant>
        <vt:i4>5</vt:i4>
      </vt:variant>
      <vt:variant>
        <vt:lpwstr/>
      </vt:variant>
      <vt:variant>
        <vt:lpwstr>_Toc335658251</vt:lpwstr>
      </vt:variant>
      <vt:variant>
        <vt:i4>2031665</vt:i4>
      </vt:variant>
      <vt:variant>
        <vt:i4>635</vt:i4>
      </vt:variant>
      <vt:variant>
        <vt:i4>0</vt:i4>
      </vt:variant>
      <vt:variant>
        <vt:i4>5</vt:i4>
      </vt:variant>
      <vt:variant>
        <vt:lpwstr/>
      </vt:variant>
      <vt:variant>
        <vt:lpwstr>_Toc335658250</vt:lpwstr>
      </vt:variant>
      <vt:variant>
        <vt:i4>1966129</vt:i4>
      </vt:variant>
      <vt:variant>
        <vt:i4>629</vt:i4>
      </vt:variant>
      <vt:variant>
        <vt:i4>0</vt:i4>
      </vt:variant>
      <vt:variant>
        <vt:i4>5</vt:i4>
      </vt:variant>
      <vt:variant>
        <vt:lpwstr/>
      </vt:variant>
      <vt:variant>
        <vt:lpwstr>_Toc335658249</vt:lpwstr>
      </vt:variant>
      <vt:variant>
        <vt:i4>1966129</vt:i4>
      </vt:variant>
      <vt:variant>
        <vt:i4>623</vt:i4>
      </vt:variant>
      <vt:variant>
        <vt:i4>0</vt:i4>
      </vt:variant>
      <vt:variant>
        <vt:i4>5</vt:i4>
      </vt:variant>
      <vt:variant>
        <vt:lpwstr/>
      </vt:variant>
      <vt:variant>
        <vt:lpwstr>_Toc335658248</vt:lpwstr>
      </vt:variant>
      <vt:variant>
        <vt:i4>1966129</vt:i4>
      </vt:variant>
      <vt:variant>
        <vt:i4>617</vt:i4>
      </vt:variant>
      <vt:variant>
        <vt:i4>0</vt:i4>
      </vt:variant>
      <vt:variant>
        <vt:i4>5</vt:i4>
      </vt:variant>
      <vt:variant>
        <vt:lpwstr/>
      </vt:variant>
      <vt:variant>
        <vt:lpwstr>_Toc335658247</vt:lpwstr>
      </vt:variant>
      <vt:variant>
        <vt:i4>1966129</vt:i4>
      </vt:variant>
      <vt:variant>
        <vt:i4>611</vt:i4>
      </vt:variant>
      <vt:variant>
        <vt:i4>0</vt:i4>
      </vt:variant>
      <vt:variant>
        <vt:i4>5</vt:i4>
      </vt:variant>
      <vt:variant>
        <vt:lpwstr/>
      </vt:variant>
      <vt:variant>
        <vt:lpwstr>_Toc335658246</vt:lpwstr>
      </vt:variant>
      <vt:variant>
        <vt:i4>1966129</vt:i4>
      </vt:variant>
      <vt:variant>
        <vt:i4>605</vt:i4>
      </vt:variant>
      <vt:variant>
        <vt:i4>0</vt:i4>
      </vt:variant>
      <vt:variant>
        <vt:i4>5</vt:i4>
      </vt:variant>
      <vt:variant>
        <vt:lpwstr/>
      </vt:variant>
      <vt:variant>
        <vt:lpwstr>_Toc335658245</vt:lpwstr>
      </vt:variant>
      <vt:variant>
        <vt:i4>1966129</vt:i4>
      </vt:variant>
      <vt:variant>
        <vt:i4>599</vt:i4>
      </vt:variant>
      <vt:variant>
        <vt:i4>0</vt:i4>
      </vt:variant>
      <vt:variant>
        <vt:i4>5</vt:i4>
      </vt:variant>
      <vt:variant>
        <vt:lpwstr/>
      </vt:variant>
      <vt:variant>
        <vt:lpwstr>_Toc335658244</vt:lpwstr>
      </vt:variant>
      <vt:variant>
        <vt:i4>1966129</vt:i4>
      </vt:variant>
      <vt:variant>
        <vt:i4>593</vt:i4>
      </vt:variant>
      <vt:variant>
        <vt:i4>0</vt:i4>
      </vt:variant>
      <vt:variant>
        <vt:i4>5</vt:i4>
      </vt:variant>
      <vt:variant>
        <vt:lpwstr/>
      </vt:variant>
      <vt:variant>
        <vt:lpwstr>_Toc335658243</vt:lpwstr>
      </vt:variant>
      <vt:variant>
        <vt:i4>1966129</vt:i4>
      </vt:variant>
      <vt:variant>
        <vt:i4>587</vt:i4>
      </vt:variant>
      <vt:variant>
        <vt:i4>0</vt:i4>
      </vt:variant>
      <vt:variant>
        <vt:i4>5</vt:i4>
      </vt:variant>
      <vt:variant>
        <vt:lpwstr/>
      </vt:variant>
      <vt:variant>
        <vt:lpwstr>_Toc335658242</vt:lpwstr>
      </vt:variant>
      <vt:variant>
        <vt:i4>1966129</vt:i4>
      </vt:variant>
      <vt:variant>
        <vt:i4>581</vt:i4>
      </vt:variant>
      <vt:variant>
        <vt:i4>0</vt:i4>
      </vt:variant>
      <vt:variant>
        <vt:i4>5</vt:i4>
      </vt:variant>
      <vt:variant>
        <vt:lpwstr/>
      </vt:variant>
      <vt:variant>
        <vt:lpwstr>_Toc335658241</vt:lpwstr>
      </vt:variant>
      <vt:variant>
        <vt:i4>1966129</vt:i4>
      </vt:variant>
      <vt:variant>
        <vt:i4>575</vt:i4>
      </vt:variant>
      <vt:variant>
        <vt:i4>0</vt:i4>
      </vt:variant>
      <vt:variant>
        <vt:i4>5</vt:i4>
      </vt:variant>
      <vt:variant>
        <vt:lpwstr/>
      </vt:variant>
      <vt:variant>
        <vt:lpwstr>_Toc335658240</vt:lpwstr>
      </vt:variant>
      <vt:variant>
        <vt:i4>1638449</vt:i4>
      </vt:variant>
      <vt:variant>
        <vt:i4>569</vt:i4>
      </vt:variant>
      <vt:variant>
        <vt:i4>0</vt:i4>
      </vt:variant>
      <vt:variant>
        <vt:i4>5</vt:i4>
      </vt:variant>
      <vt:variant>
        <vt:lpwstr/>
      </vt:variant>
      <vt:variant>
        <vt:lpwstr>_Toc335658239</vt:lpwstr>
      </vt:variant>
      <vt:variant>
        <vt:i4>1638449</vt:i4>
      </vt:variant>
      <vt:variant>
        <vt:i4>563</vt:i4>
      </vt:variant>
      <vt:variant>
        <vt:i4>0</vt:i4>
      </vt:variant>
      <vt:variant>
        <vt:i4>5</vt:i4>
      </vt:variant>
      <vt:variant>
        <vt:lpwstr/>
      </vt:variant>
      <vt:variant>
        <vt:lpwstr>_Toc335658238</vt:lpwstr>
      </vt:variant>
      <vt:variant>
        <vt:i4>1638449</vt:i4>
      </vt:variant>
      <vt:variant>
        <vt:i4>557</vt:i4>
      </vt:variant>
      <vt:variant>
        <vt:i4>0</vt:i4>
      </vt:variant>
      <vt:variant>
        <vt:i4>5</vt:i4>
      </vt:variant>
      <vt:variant>
        <vt:lpwstr/>
      </vt:variant>
      <vt:variant>
        <vt:lpwstr>_Toc335658237</vt:lpwstr>
      </vt:variant>
      <vt:variant>
        <vt:i4>1245233</vt:i4>
      </vt:variant>
      <vt:variant>
        <vt:i4>386</vt:i4>
      </vt:variant>
      <vt:variant>
        <vt:i4>0</vt:i4>
      </vt:variant>
      <vt:variant>
        <vt:i4>5</vt:i4>
      </vt:variant>
      <vt:variant>
        <vt:lpwstr/>
      </vt:variant>
      <vt:variant>
        <vt:lpwstr>_Toc416535057</vt:lpwstr>
      </vt:variant>
      <vt:variant>
        <vt:i4>1245233</vt:i4>
      </vt:variant>
      <vt:variant>
        <vt:i4>380</vt:i4>
      </vt:variant>
      <vt:variant>
        <vt:i4>0</vt:i4>
      </vt:variant>
      <vt:variant>
        <vt:i4>5</vt:i4>
      </vt:variant>
      <vt:variant>
        <vt:lpwstr/>
      </vt:variant>
      <vt:variant>
        <vt:lpwstr>_Toc416535056</vt:lpwstr>
      </vt:variant>
      <vt:variant>
        <vt:i4>1245233</vt:i4>
      </vt:variant>
      <vt:variant>
        <vt:i4>374</vt:i4>
      </vt:variant>
      <vt:variant>
        <vt:i4>0</vt:i4>
      </vt:variant>
      <vt:variant>
        <vt:i4>5</vt:i4>
      </vt:variant>
      <vt:variant>
        <vt:lpwstr/>
      </vt:variant>
      <vt:variant>
        <vt:lpwstr>_Toc416535055</vt:lpwstr>
      </vt:variant>
      <vt:variant>
        <vt:i4>1245233</vt:i4>
      </vt:variant>
      <vt:variant>
        <vt:i4>368</vt:i4>
      </vt:variant>
      <vt:variant>
        <vt:i4>0</vt:i4>
      </vt:variant>
      <vt:variant>
        <vt:i4>5</vt:i4>
      </vt:variant>
      <vt:variant>
        <vt:lpwstr/>
      </vt:variant>
      <vt:variant>
        <vt:lpwstr>_Toc416535054</vt:lpwstr>
      </vt:variant>
      <vt:variant>
        <vt:i4>1245233</vt:i4>
      </vt:variant>
      <vt:variant>
        <vt:i4>362</vt:i4>
      </vt:variant>
      <vt:variant>
        <vt:i4>0</vt:i4>
      </vt:variant>
      <vt:variant>
        <vt:i4>5</vt:i4>
      </vt:variant>
      <vt:variant>
        <vt:lpwstr/>
      </vt:variant>
      <vt:variant>
        <vt:lpwstr>_Toc416535053</vt:lpwstr>
      </vt:variant>
      <vt:variant>
        <vt:i4>1245233</vt:i4>
      </vt:variant>
      <vt:variant>
        <vt:i4>356</vt:i4>
      </vt:variant>
      <vt:variant>
        <vt:i4>0</vt:i4>
      </vt:variant>
      <vt:variant>
        <vt:i4>5</vt:i4>
      </vt:variant>
      <vt:variant>
        <vt:lpwstr/>
      </vt:variant>
      <vt:variant>
        <vt:lpwstr>_Toc416535052</vt:lpwstr>
      </vt:variant>
      <vt:variant>
        <vt:i4>1245233</vt:i4>
      </vt:variant>
      <vt:variant>
        <vt:i4>350</vt:i4>
      </vt:variant>
      <vt:variant>
        <vt:i4>0</vt:i4>
      </vt:variant>
      <vt:variant>
        <vt:i4>5</vt:i4>
      </vt:variant>
      <vt:variant>
        <vt:lpwstr/>
      </vt:variant>
      <vt:variant>
        <vt:lpwstr>_Toc416535051</vt:lpwstr>
      </vt:variant>
      <vt:variant>
        <vt:i4>1245233</vt:i4>
      </vt:variant>
      <vt:variant>
        <vt:i4>344</vt:i4>
      </vt:variant>
      <vt:variant>
        <vt:i4>0</vt:i4>
      </vt:variant>
      <vt:variant>
        <vt:i4>5</vt:i4>
      </vt:variant>
      <vt:variant>
        <vt:lpwstr/>
      </vt:variant>
      <vt:variant>
        <vt:lpwstr>_Toc416535050</vt:lpwstr>
      </vt:variant>
      <vt:variant>
        <vt:i4>1179697</vt:i4>
      </vt:variant>
      <vt:variant>
        <vt:i4>338</vt:i4>
      </vt:variant>
      <vt:variant>
        <vt:i4>0</vt:i4>
      </vt:variant>
      <vt:variant>
        <vt:i4>5</vt:i4>
      </vt:variant>
      <vt:variant>
        <vt:lpwstr/>
      </vt:variant>
      <vt:variant>
        <vt:lpwstr>_Toc416535049</vt:lpwstr>
      </vt:variant>
      <vt:variant>
        <vt:i4>1179697</vt:i4>
      </vt:variant>
      <vt:variant>
        <vt:i4>332</vt:i4>
      </vt:variant>
      <vt:variant>
        <vt:i4>0</vt:i4>
      </vt:variant>
      <vt:variant>
        <vt:i4>5</vt:i4>
      </vt:variant>
      <vt:variant>
        <vt:lpwstr/>
      </vt:variant>
      <vt:variant>
        <vt:lpwstr>_Toc416535048</vt:lpwstr>
      </vt:variant>
      <vt:variant>
        <vt:i4>1179697</vt:i4>
      </vt:variant>
      <vt:variant>
        <vt:i4>326</vt:i4>
      </vt:variant>
      <vt:variant>
        <vt:i4>0</vt:i4>
      </vt:variant>
      <vt:variant>
        <vt:i4>5</vt:i4>
      </vt:variant>
      <vt:variant>
        <vt:lpwstr/>
      </vt:variant>
      <vt:variant>
        <vt:lpwstr>_Toc416535047</vt:lpwstr>
      </vt:variant>
      <vt:variant>
        <vt:i4>1179697</vt:i4>
      </vt:variant>
      <vt:variant>
        <vt:i4>320</vt:i4>
      </vt:variant>
      <vt:variant>
        <vt:i4>0</vt:i4>
      </vt:variant>
      <vt:variant>
        <vt:i4>5</vt:i4>
      </vt:variant>
      <vt:variant>
        <vt:lpwstr/>
      </vt:variant>
      <vt:variant>
        <vt:lpwstr>_Toc416535046</vt:lpwstr>
      </vt:variant>
      <vt:variant>
        <vt:i4>1179697</vt:i4>
      </vt:variant>
      <vt:variant>
        <vt:i4>314</vt:i4>
      </vt:variant>
      <vt:variant>
        <vt:i4>0</vt:i4>
      </vt:variant>
      <vt:variant>
        <vt:i4>5</vt:i4>
      </vt:variant>
      <vt:variant>
        <vt:lpwstr/>
      </vt:variant>
      <vt:variant>
        <vt:lpwstr>_Toc416535045</vt:lpwstr>
      </vt:variant>
      <vt:variant>
        <vt:i4>1179697</vt:i4>
      </vt:variant>
      <vt:variant>
        <vt:i4>308</vt:i4>
      </vt:variant>
      <vt:variant>
        <vt:i4>0</vt:i4>
      </vt:variant>
      <vt:variant>
        <vt:i4>5</vt:i4>
      </vt:variant>
      <vt:variant>
        <vt:lpwstr/>
      </vt:variant>
      <vt:variant>
        <vt:lpwstr>_Toc416535044</vt:lpwstr>
      </vt:variant>
      <vt:variant>
        <vt:i4>1179697</vt:i4>
      </vt:variant>
      <vt:variant>
        <vt:i4>302</vt:i4>
      </vt:variant>
      <vt:variant>
        <vt:i4>0</vt:i4>
      </vt:variant>
      <vt:variant>
        <vt:i4>5</vt:i4>
      </vt:variant>
      <vt:variant>
        <vt:lpwstr/>
      </vt:variant>
      <vt:variant>
        <vt:lpwstr>_Toc416535043</vt:lpwstr>
      </vt:variant>
      <vt:variant>
        <vt:i4>1179697</vt:i4>
      </vt:variant>
      <vt:variant>
        <vt:i4>296</vt:i4>
      </vt:variant>
      <vt:variant>
        <vt:i4>0</vt:i4>
      </vt:variant>
      <vt:variant>
        <vt:i4>5</vt:i4>
      </vt:variant>
      <vt:variant>
        <vt:lpwstr/>
      </vt:variant>
      <vt:variant>
        <vt:lpwstr>_Toc416535042</vt:lpwstr>
      </vt:variant>
      <vt:variant>
        <vt:i4>1179697</vt:i4>
      </vt:variant>
      <vt:variant>
        <vt:i4>290</vt:i4>
      </vt:variant>
      <vt:variant>
        <vt:i4>0</vt:i4>
      </vt:variant>
      <vt:variant>
        <vt:i4>5</vt:i4>
      </vt:variant>
      <vt:variant>
        <vt:lpwstr/>
      </vt:variant>
      <vt:variant>
        <vt:lpwstr>_Toc416535041</vt:lpwstr>
      </vt:variant>
      <vt:variant>
        <vt:i4>1179697</vt:i4>
      </vt:variant>
      <vt:variant>
        <vt:i4>284</vt:i4>
      </vt:variant>
      <vt:variant>
        <vt:i4>0</vt:i4>
      </vt:variant>
      <vt:variant>
        <vt:i4>5</vt:i4>
      </vt:variant>
      <vt:variant>
        <vt:lpwstr/>
      </vt:variant>
      <vt:variant>
        <vt:lpwstr>_Toc416535040</vt:lpwstr>
      </vt:variant>
      <vt:variant>
        <vt:i4>1376305</vt:i4>
      </vt:variant>
      <vt:variant>
        <vt:i4>278</vt:i4>
      </vt:variant>
      <vt:variant>
        <vt:i4>0</vt:i4>
      </vt:variant>
      <vt:variant>
        <vt:i4>5</vt:i4>
      </vt:variant>
      <vt:variant>
        <vt:lpwstr/>
      </vt:variant>
      <vt:variant>
        <vt:lpwstr>_Toc416535039</vt:lpwstr>
      </vt:variant>
      <vt:variant>
        <vt:i4>1376305</vt:i4>
      </vt:variant>
      <vt:variant>
        <vt:i4>272</vt:i4>
      </vt:variant>
      <vt:variant>
        <vt:i4>0</vt:i4>
      </vt:variant>
      <vt:variant>
        <vt:i4>5</vt:i4>
      </vt:variant>
      <vt:variant>
        <vt:lpwstr/>
      </vt:variant>
      <vt:variant>
        <vt:lpwstr>_Toc416535038</vt:lpwstr>
      </vt:variant>
      <vt:variant>
        <vt:i4>1376305</vt:i4>
      </vt:variant>
      <vt:variant>
        <vt:i4>266</vt:i4>
      </vt:variant>
      <vt:variant>
        <vt:i4>0</vt:i4>
      </vt:variant>
      <vt:variant>
        <vt:i4>5</vt:i4>
      </vt:variant>
      <vt:variant>
        <vt:lpwstr/>
      </vt:variant>
      <vt:variant>
        <vt:lpwstr>_Toc416535037</vt:lpwstr>
      </vt:variant>
      <vt:variant>
        <vt:i4>1376305</vt:i4>
      </vt:variant>
      <vt:variant>
        <vt:i4>260</vt:i4>
      </vt:variant>
      <vt:variant>
        <vt:i4>0</vt:i4>
      </vt:variant>
      <vt:variant>
        <vt:i4>5</vt:i4>
      </vt:variant>
      <vt:variant>
        <vt:lpwstr/>
      </vt:variant>
      <vt:variant>
        <vt:lpwstr>_Toc416535036</vt:lpwstr>
      </vt:variant>
      <vt:variant>
        <vt:i4>1376305</vt:i4>
      </vt:variant>
      <vt:variant>
        <vt:i4>254</vt:i4>
      </vt:variant>
      <vt:variant>
        <vt:i4>0</vt:i4>
      </vt:variant>
      <vt:variant>
        <vt:i4>5</vt:i4>
      </vt:variant>
      <vt:variant>
        <vt:lpwstr/>
      </vt:variant>
      <vt:variant>
        <vt:lpwstr>_Toc416535035</vt:lpwstr>
      </vt:variant>
      <vt:variant>
        <vt:i4>1376305</vt:i4>
      </vt:variant>
      <vt:variant>
        <vt:i4>248</vt:i4>
      </vt:variant>
      <vt:variant>
        <vt:i4>0</vt:i4>
      </vt:variant>
      <vt:variant>
        <vt:i4>5</vt:i4>
      </vt:variant>
      <vt:variant>
        <vt:lpwstr/>
      </vt:variant>
      <vt:variant>
        <vt:lpwstr>_Toc416535034</vt:lpwstr>
      </vt:variant>
      <vt:variant>
        <vt:i4>1376305</vt:i4>
      </vt:variant>
      <vt:variant>
        <vt:i4>242</vt:i4>
      </vt:variant>
      <vt:variant>
        <vt:i4>0</vt:i4>
      </vt:variant>
      <vt:variant>
        <vt:i4>5</vt:i4>
      </vt:variant>
      <vt:variant>
        <vt:lpwstr/>
      </vt:variant>
      <vt:variant>
        <vt:lpwstr>_Toc416535033</vt:lpwstr>
      </vt:variant>
      <vt:variant>
        <vt:i4>1376305</vt:i4>
      </vt:variant>
      <vt:variant>
        <vt:i4>236</vt:i4>
      </vt:variant>
      <vt:variant>
        <vt:i4>0</vt:i4>
      </vt:variant>
      <vt:variant>
        <vt:i4>5</vt:i4>
      </vt:variant>
      <vt:variant>
        <vt:lpwstr/>
      </vt:variant>
      <vt:variant>
        <vt:lpwstr>_Toc416535032</vt:lpwstr>
      </vt:variant>
      <vt:variant>
        <vt:i4>1376305</vt:i4>
      </vt:variant>
      <vt:variant>
        <vt:i4>230</vt:i4>
      </vt:variant>
      <vt:variant>
        <vt:i4>0</vt:i4>
      </vt:variant>
      <vt:variant>
        <vt:i4>5</vt:i4>
      </vt:variant>
      <vt:variant>
        <vt:lpwstr/>
      </vt:variant>
      <vt:variant>
        <vt:lpwstr>_Toc416535031</vt:lpwstr>
      </vt:variant>
      <vt:variant>
        <vt:i4>1376305</vt:i4>
      </vt:variant>
      <vt:variant>
        <vt:i4>224</vt:i4>
      </vt:variant>
      <vt:variant>
        <vt:i4>0</vt:i4>
      </vt:variant>
      <vt:variant>
        <vt:i4>5</vt:i4>
      </vt:variant>
      <vt:variant>
        <vt:lpwstr/>
      </vt:variant>
      <vt:variant>
        <vt:lpwstr>_Toc416535030</vt:lpwstr>
      </vt:variant>
      <vt:variant>
        <vt:i4>1310769</vt:i4>
      </vt:variant>
      <vt:variant>
        <vt:i4>218</vt:i4>
      </vt:variant>
      <vt:variant>
        <vt:i4>0</vt:i4>
      </vt:variant>
      <vt:variant>
        <vt:i4>5</vt:i4>
      </vt:variant>
      <vt:variant>
        <vt:lpwstr/>
      </vt:variant>
      <vt:variant>
        <vt:lpwstr>_Toc416535029</vt:lpwstr>
      </vt:variant>
      <vt:variant>
        <vt:i4>1310769</vt:i4>
      </vt:variant>
      <vt:variant>
        <vt:i4>212</vt:i4>
      </vt:variant>
      <vt:variant>
        <vt:i4>0</vt:i4>
      </vt:variant>
      <vt:variant>
        <vt:i4>5</vt:i4>
      </vt:variant>
      <vt:variant>
        <vt:lpwstr/>
      </vt:variant>
      <vt:variant>
        <vt:lpwstr>_Toc416535028</vt:lpwstr>
      </vt:variant>
      <vt:variant>
        <vt:i4>1310769</vt:i4>
      </vt:variant>
      <vt:variant>
        <vt:i4>206</vt:i4>
      </vt:variant>
      <vt:variant>
        <vt:i4>0</vt:i4>
      </vt:variant>
      <vt:variant>
        <vt:i4>5</vt:i4>
      </vt:variant>
      <vt:variant>
        <vt:lpwstr/>
      </vt:variant>
      <vt:variant>
        <vt:lpwstr>_Toc416535027</vt:lpwstr>
      </vt:variant>
      <vt:variant>
        <vt:i4>1310769</vt:i4>
      </vt:variant>
      <vt:variant>
        <vt:i4>200</vt:i4>
      </vt:variant>
      <vt:variant>
        <vt:i4>0</vt:i4>
      </vt:variant>
      <vt:variant>
        <vt:i4>5</vt:i4>
      </vt:variant>
      <vt:variant>
        <vt:lpwstr/>
      </vt:variant>
      <vt:variant>
        <vt:lpwstr>_Toc416535026</vt:lpwstr>
      </vt:variant>
      <vt:variant>
        <vt:i4>1310769</vt:i4>
      </vt:variant>
      <vt:variant>
        <vt:i4>194</vt:i4>
      </vt:variant>
      <vt:variant>
        <vt:i4>0</vt:i4>
      </vt:variant>
      <vt:variant>
        <vt:i4>5</vt:i4>
      </vt:variant>
      <vt:variant>
        <vt:lpwstr/>
      </vt:variant>
      <vt:variant>
        <vt:lpwstr>_Toc416535025</vt:lpwstr>
      </vt:variant>
      <vt:variant>
        <vt:i4>1310769</vt:i4>
      </vt:variant>
      <vt:variant>
        <vt:i4>188</vt:i4>
      </vt:variant>
      <vt:variant>
        <vt:i4>0</vt:i4>
      </vt:variant>
      <vt:variant>
        <vt:i4>5</vt:i4>
      </vt:variant>
      <vt:variant>
        <vt:lpwstr/>
      </vt:variant>
      <vt:variant>
        <vt:lpwstr>_Toc416535024</vt:lpwstr>
      </vt:variant>
      <vt:variant>
        <vt:i4>1310769</vt:i4>
      </vt:variant>
      <vt:variant>
        <vt:i4>182</vt:i4>
      </vt:variant>
      <vt:variant>
        <vt:i4>0</vt:i4>
      </vt:variant>
      <vt:variant>
        <vt:i4>5</vt:i4>
      </vt:variant>
      <vt:variant>
        <vt:lpwstr/>
      </vt:variant>
      <vt:variant>
        <vt:lpwstr>_Toc416535023</vt:lpwstr>
      </vt:variant>
      <vt:variant>
        <vt:i4>1310769</vt:i4>
      </vt:variant>
      <vt:variant>
        <vt:i4>176</vt:i4>
      </vt:variant>
      <vt:variant>
        <vt:i4>0</vt:i4>
      </vt:variant>
      <vt:variant>
        <vt:i4>5</vt:i4>
      </vt:variant>
      <vt:variant>
        <vt:lpwstr/>
      </vt:variant>
      <vt:variant>
        <vt:lpwstr>_Toc416535022</vt:lpwstr>
      </vt:variant>
      <vt:variant>
        <vt:i4>1310769</vt:i4>
      </vt:variant>
      <vt:variant>
        <vt:i4>170</vt:i4>
      </vt:variant>
      <vt:variant>
        <vt:i4>0</vt:i4>
      </vt:variant>
      <vt:variant>
        <vt:i4>5</vt:i4>
      </vt:variant>
      <vt:variant>
        <vt:lpwstr/>
      </vt:variant>
      <vt:variant>
        <vt:lpwstr>_Toc416535021</vt:lpwstr>
      </vt:variant>
      <vt:variant>
        <vt:i4>1310769</vt:i4>
      </vt:variant>
      <vt:variant>
        <vt:i4>164</vt:i4>
      </vt:variant>
      <vt:variant>
        <vt:i4>0</vt:i4>
      </vt:variant>
      <vt:variant>
        <vt:i4>5</vt:i4>
      </vt:variant>
      <vt:variant>
        <vt:lpwstr/>
      </vt:variant>
      <vt:variant>
        <vt:lpwstr>_Toc416535020</vt:lpwstr>
      </vt:variant>
      <vt:variant>
        <vt:i4>1507377</vt:i4>
      </vt:variant>
      <vt:variant>
        <vt:i4>158</vt:i4>
      </vt:variant>
      <vt:variant>
        <vt:i4>0</vt:i4>
      </vt:variant>
      <vt:variant>
        <vt:i4>5</vt:i4>
      </vt:variant>
      <vt:variant>
        <vt:lpwstr/>
      </vt:variant>
      <vt:variant>
        <vt:lpwstr>_Toc416535019</vt:lpwstr>
      </vt:variant>
      <vt:variant>
        <vt:i4>1507377</vt:i4>
      </vt:variant>
      <vt:variant>
        <vt:i4>152</vt:i4>
      </vt:variant>
      <vt:variant>
        <vt:i4>0</vt:i4>
      </vt:variant>
      <vt:variant>
        <vt:i4>5</vt:i4>
      </vt:variant>
      <vt:variant>
        <vt:lpwstr/>
      </vt:variant>
      <vt:variant>
        <vt:lpwstr>_Toc416535018</vt:lpwstr>
      </vt:variant>
      <vt:variant>
        <vt:i4>1507377</vt:i4>
      </vt:variant>
      <vt:variant>
        <vt:i4>146</vt:i4>
      </vt:variant>
      <vt:variant>
        <vt:i4>0</vt:i4>
      </vt:variant>
      <vt:variant>
        <vt:i4>5</vt:i4>
      </vt:variant>
      <vt:variant>
        <vt:lpwstr/>
      </vt:variant>
      <vt:variant>
        <vt:lpwstr>_Toc416535017</vt:lpwstr>
      </vt:variant>
      <vt:variant>
        <vt:i4>1507377</vt:i4>
      </vt:variant>
      <vt:variant>
        <vt:i4>140</vt:i4>
      </vt:variant>
      <vt:variant>
        <vt:i4>0</vt:i4>
      </vt:variant>
      <vt:variant>
        <vt:i4>5</vt:i4>
      </vt:variant>
      <vt:variant>
        <vt:lpwstr/>
      </vt:variant>
      <vt:variant>
        <vt:lpwstr>_Toc416535016</vt:lpwstr>
      </vt:variant>
      <vt:variant>
        <vt:i4>1507377</vt:i4>
      </vt:variant>
      <vt:variant>
        <vt:i4>134</vt:i4>
      </vt:variant>
      <vt:variant>
        <vt:i4>0</vt:i4>
      </vt:variant>
      <vt:variant>
        <vt:i4>5</vt:i4>
      </vt:variant>
      <vt:variant>
        <vt:lpwstr/>
      </vt:variant>
      <vt:variant>
        <vt:lpwstr>_Toc416535015</vt:lpwstr>
      </vt:variant>
      <vt:variant>
        <vt:i4>1507377</vt:i4>
      </vt:variant>
      <vt:variant>
        <vt:i4>128</vt:i4>
      </vt:variant>
      <vt:variant>
        <vt:i4>0</vt:i4>
      </vt:variant>
      <vt:variant>
        <vt:i4>5</vt:i4>
      </vt:variant>
      <vt:variant>
        <vt:lpwstr/>
      </vt:variant>
      <vt:variant>
        <vt:lpwstr>_Toc416535014</vt:lpwstr>
      </vt:variant>
      <vt:variant>
        <vt:i4>1507377</vt:i4>
      </vt:variant>
      <vt:variant>
        <vt:i4>122</vt:i4>
      </vt:variant>
      <vt:variant>
        <vt:i4>0</vt:i4>
      </vt:variant>
      <vt:variant>
        <vt:i4>5</vt:i4>
      </vt:variant>
      <vt:variant>
        <vt:lpwstr/>
      </vt:variant>
      <vt:variant>
        <vt:lpwstr>_Toc416535013</vt:lpwstr>
      </vt:variant>
      <vt:variant>
        <vt:i4>1507377</vt:i4>
      </vt:variant>
      <vt:variant>
        <vt:i4>116</vt:i4>
      </vt:variant>
      <vt:variant>
        <vt:i4>0</vt:i4>
      </vt:variant>
      <vt:variant>
        <vt:i4>5</vt:i4>
      </vt:variant>
      <vt:variant>
        <vt:lpwstr/>
      </vt:variant>
      <vt:variant>
        <vt:lpwstr>_Toc416535012</vt:lpwstr>
      </vt:variant>
      <vt:variant>
        <vt:i4>1507377</vt:i4>
      </vt:variant>
      <vt:variant>
        <vt:i4>110</vt:i4>
      </vt:variant>
      <vt:variant>
        <vt:i4>0</vt:i4>
      </vt:variant>
      <vt:variant>
        <vt:i4>5</vt:i4>
      </vt:variant>
      <vt:variant>
        <vt:lpwstr/>
      </vt:variant>
      <vt:variant>
        <vt:lpwstr>_Toc416535011</vt:lpwstr>
      </vt:variant>
      <vt:variant>
        <vt:i4>1507377</vt:i4>
      </vt:variant>
      <vt:variant>
        <vt:i4>104</vt:i4>
      </vt:variant>
      <vt:variant>
        <vt:i4>0</vt:i4>
      </vt:variant>
      <vt:variant>
        <vt:i4>5</vt:i4>
      </vt:variant>
      <vt:variant>
        <vt:lpwstr/>
      </vt:variant>
      <vt:variant>
        <vt:lpwstr>_Toc416535010</vt:lpwstr>
      </vt:variant>
      <vt:variant>
        <vt:i4>1441841</vt:i4>
      </vt:variant>
      <vt:variant>
        <vt:i4>98</vt:i4>
      </vt:variant>
      <vt:variant>
        <vt:i4>0</vt:i4>
      </vt:variant>
      <vt:variant>
        <vt:i4>5</vt:i4>
      </vt:variant>
      <vt:variant>
        <vt:lpwstr/>
      </vt:variant>
      <vt:variant>
        <vt:lpwstr>_Toc416535009</vt:lpwstr>
      </vt:variant>
      <vt:variant>
        <vt:i4>1441841</vt:i4>
      </vt:variant>
      <vt:variant>
        <vt:i4>92</vt:i4>
      </vt:variant>
      <vt:variant>
        <vt:i4>0</vt:i4>
      </vt:variant>
      <vt:variant>
        <vt:i4>5</vt:i4>
      </vt:variant>
      <vt:variant>
        <vt:lpwstr/>
      </vt:variant>
      <vt:variant>
        <vt:lpwstr>_Toc416535008</vt:lpwstr>
      </vt:variant>
      <vt:variant>
        <vt:i4>1441841</vt:i4>
      </vt:variant>
      <vt:variant>
        <vt:i4>86</vt:i4>
      </vt:variant>
      <vt:variant>
        <vt:i4>0</vt:i4>
      </vt:variant>
      <vt:variant>
        <vt:i4>5</vt:i4>
      </vt:variant>
      <vt:variant>
        <vt:lpwstr/>
      </vt:variant>
      <vt:variant>
        <vt:lpwstr>_Toc416535007</vt:lpwstr>
      </vt:variant>
      <vt:variant>
        <vt:i4>1441841</vt:i4>
      </vt:variant>
      <vt:variant>
        <vt:i4>80</vt:i4>
      </vt:variant>
      <vt:variant>
        <vt:i4>0</vt:i4>
      </vt:variant>
      <vt:variant>
        <vt:i4>5</vt:i4>
      </vt:variant>
      <vt:variant>
        <vt:lpwstr/>
      </vt:variant>
      <vt:variant>
        <vt:lpwstr>_Toc416535006</vt:lpwstr>
      </vt:variant>
      <vt:variant>
        <vt:i4>1441841</vt:i4>
      </vt:variant>
      <vt:variant>
        <vt:i4>74</vt:i4>
      </vt:variant>
      <vt:variant>
        <vt:i4>0</vt:i4>
      </vt:variant>
      <vt:variant>
        <vt:i4>5</vt:i4>
      </vt:variant>
      <vt:variant>
        <vt:lpwstr/>
      </vt:variant>
      <vt:variant>
        <vt:lpwstr>_Toc416535005</vt:lpwstr>
      </vt:variant>
      <vt:variant>
        <vt:i4>1441841</vt:i4>
      </vt:variant>
      <vt:variant>
        <vt:i4>68</vt:i4>
      </vt:variant>
      <vt:variant>
        <vt:i4>0</vt:i4>
      </vt:variant>
      <vt:variant>
        <vt:i4>5</vt:i4>
      </vt:variant>
      <vt:variant>
        <vt:lpwstr/>
      </vt:variant>
      <vt:variant>
        <vt:lpwstr>_Toc416535004</vt:lpwstr>
      </vt:variant>
      <vt:variant>
        <vt:i4>1441841</vt:i4>
      </vt:variant>
      <vt:variant>
        <vt:i4>62</vt:i4>
      </vt:variant>
      <vt:variant>
        <vt:i4>0</vt:i4>
      </vt:variant>
      <vt:variant>
        <vt:i4>5</vt:i4>
      </vt:variant>
      <vt:variant>
        <vt:lpwstr/>
      </vt:variant>
      <vt:variant>
        <vt:lpwstr>_Toc416535003</vt:lpwstr>
      </vt:variant>
      <vt:variant>
        <vt:i4>1441841</vt:i4>
      </vt:variant>
      <vt:variant>
        <vt:i4>56</vt:i4>
      </vt:variant>
      <vt:variant>
        <vt:i4>0</vt:i4>
      </vt:variant>
      <vt:variant>
        <vt:i4>5</vt:i4>
      </vt:variant>
      <vt:variant>
        <vt:lpwstr/>
      </vt:variant>
      <vt:variant>
        <vt:lpwstr>_Toc416535002</vt:lpwstr>
      </vt:variant>
      <vt:variant>
        <vt:i4>1441841</vt:i4>
      </vt:variant>
      <vt:variant>
        <vt:i4>50</vt:i4>
      </vt:variant>
      <vt:variant>
        <vt:i4>0</vt:i4>
      </vt:variant>
      <vt:variant>
        <vt:i4>5</vt:i4>
      </vt:variant>
      <vt:variant>
        <vt:lpwstr/>
      </vt:variant>
      <vt:variant>
        <vt:lpwstr>_Toc416535001</vt:lpwstr>
      </vt:variant>
      <vt:variant>
        <vt:i4>1441841</vt:i4>
      </vt:variant>
      <vt:variant>
        <vt:i4>44</vt:i4>
      </vt:variant>
      <vt:variant>
        <vt:i4>0</vt:i4>
      </vt:variant>
      <vt:variant>
        <vt:i4>5</vt:i4>
      </vt:variant>
      <vt:variant>
        <vt:lpwstr/>
      </vt:variant>
      <vt:variant>
        <vt:lpwstr>_Toc416535000</vt:lpwstr>
      </vt:variant>
      <vt:variant>
        <vt:i4>1966136</vt:i4>
      </vt:variant>
      <vt:variant>
        <vt:i4>38</vt:i4>
      </vt:variant>
      <vt:variant>
        <vt:i4>0</vt:i4>
      </vt:variant>
      <vt:variant>
        <vt:i4>5</vt:i4>
      </vt:variant>
      <vt:variant>
        <vt:lpwstr/>
      </vt:variant>
      <vt:variant>
        <vt:lpwstr>_Toc416534999</vt:lpwstr>
      </vt:variant>
      <vt:variant>
        <vt:i4>1966136</vt:i4>
      </vt:variant>
      <vt:variant>
        <vt:i4>32</vt:i4>
      </vt:variant>
      <vt:variant>
        <vt:i4>0</vt:i4>
      </vt:variant>
      <vt:variant>
        <vt:i4>5</vt:i4>
      </vt:variant>
      <vt:variant>
        <vt:lpwstr/>
      </vt:variant>
      <vt:variant>
        <vt:lpwstr>_Toc416534998</vt:lpwstr>
      </vt:variant>
      <vt:variant>
        <vt:i4>1966136</vt:i4>
      </vt:variant>
      <vt:variant>
        <vt:i4>26</vt:i4>
      </vt:variant>
      <vt:variant>
        <vt:i4>0</vt:i4>
      </vt:variant>
      <vt:variant>
        <vt:i4>5</vt:i4>
      </vt:variant>
      <vt:variant>
        <vt:lpwstr/>
      </vt:variant>
      <vt:variant>
        <vt:lpwstr>_Toc416534997</vt:lpwstr>
      </vt:variant>
      <vt:variant>
        <vt:i4>1966136</vt:i4>
      </vt:variant>
      <vt:variant>
        <vt:i4>20</vt:i4>
      </vt:variant>
      <vt:variant>
        <vt:i4>0</vt:i4>
      </vt:variant>
      <vt:variant>
        <vt:i4>5</vt:i4>
      </vt:variant>
      <vt:variant>
        <vt:lpwstr/>
      </vt:variant>
      <vt:variant>
        <vt:lpwstr>_Toc416534996</vt:lpwstr>
      </vt:variant>
      <vt:variant>
        <vt:i4>1966136</vt:i4>
      </vt:variant>
      <vt:variant>
        <vt:i4>14</vt:i4>
      </vt:variant>
      <vt:variant>
        <vt:i4>0</vt:i4>
      </vt:variant>
      <vt:variant>
        <vt:i4>5</vt:i4>
      </vt:variant>
      <vt:variant>
        <vt:lpwstr/>
      </vt:variant>
      <vt:variant>
        <vt:lpwstr>_Toc416534995</vt:lpwstr>
      </vt:variant>
      <vt:variant>
        <vt:i4>1966136</vt:i4>
      </vt:variant>
      <vt:variant>
        <vt:i4>8</vt:i4>
      </vt:variant>
      <vt:variant>
        <vt:i4>0</vt:i4>
      </vt:variant>
      <vt:variant>
        <vt:i4>5</vt:i4>
      </vt:variant>
      <vt:variant>
        <vt:lpwstr/>
      </vt:variant>
      <vt:variant>
        <vt:lpwstr>_Toc416534994</vt:lpwstr>
      </vt:variant>
      <vt:variant>
        <vt:i4>1966136</vt:i4>
      </vt:variant>
      <vt:variant>
        <vt:i4>2</vt:i4>
      </vt:variant>
      <vt:variant>
        <vt:i4>0</vt:i4>
      </vt:variant>
      <vt:variant>
        <vt:i4>5</vt:i4>
      </vt:variant>
      <vt:variant>
        <vt:lpwstr/>
      </vt:variant>
      <vt:variant>
        <vt:lpwstr>_Toc416534993</vt:lpwstr>
      </vt:variant>
      <vt:variant>
        <vt:i4>2687031</vt:i4>
      </vt:variant>
      <vt:variant>
        <vt:i4>0</vt:i4>
      </vt:variant>
      <vt:variant>
        <vt:i4>0</vt:i4>
      </vt:variant>
      <vt:variant>
        <vt:i4>5</vt:i4>
      </vt:variant>
      <vt:variant>
        <vt:lpwstr>http://www.ztm.lublin.eu/imgs_upload/banery/doc/urm_496_xxvi_2008.pdf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Autorzy:</dc:title>
  <dc:subject/>
  <dc:creator>Marcin Gromadzki</dc:creator>
  <cp:keywords/>
  <dc:description/>
  <cp:lastModifiedBy>Marcin Gromadzki</cp:lastModifiedBy>
  <cp:revision>3</cp:revision>
  <cp:lastPrinted>2021-12-10T12:56:00Z</cp:lastPrinted>
  <dcterms:created xsi:type="dcterms:W3CDTF">2021-12-10T09:58:00Z</dcterms:created>
  <dcterms:modified xsi:type="dcterms:W3CDTF">2021-12-10T12:58:00Z</dcterms:modified>
</cp:coreProperties>
</file>